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8C6232">
      <w:pPr>
        <w:spacing w:after="0" w:line="240" w:lineRule="auto"/>
        <w:jc w:val="center"/>
        <w:rPr>
          <w:rFonts w:eastAsia="Times New Roman"/>
          <w:b/>
          <w:color w:val="000000" w:themeColor="text1"/>
          <w:sz w:val="56"/>
          <w:szCs w:val="56"/>
          <w14:textFill>
            <w14:solidFill>
              <w14:schemeClr w14:val="tx1"/>
            </w14:solidFill>
          </w14:textFill>
        </w:rPr>
      </w:pPr>
    </w:p>
    <w:p w14:paraId="708C6233">
      <w:pPr>
        <w:spacing w:after="0" w:line="240" w:lineRule="auto"/>
        <w:jc w:val="center"/>
        <w:rPr>
          <w:rFonts w:eastAsia="Times New Roman"/>
          <w:b/>
          <w:color w:val="000000" w:themeColor="text1"/>
          <w:sz w:val="56"/>
          <w:szCs w:val="56"/>
          <w14:textFill>
            <w14:solidFill>
              <w14:schemeClr w14:val="tx1"/>
            </w14:solidFill>
          </w14:textFill>
        </w:rPr>
      </w:pPr>
      <w:r>
        <w:rPr>
          <w:rFonts w:eastAsia="Times New Roman"/>
          <w:b/>
          <w:color w:val="000000" w:themeColor="text1"/>
          <w:sz w:val="56"/>
          <w:szCs w:val="56"/>
          <w14:textFill>
            <w14:solidFill>
              <w14:schemeClr w14:val="tx1"/>
            </w14:solidFill>
          </w14:textFill>
        </w:rPr>
        <w:t xml:space="preserve">BIDDING DOCUMENTS </w:t>
      </w:r>
    </w:p>
    <w:p w14:paraId="708C6234">
      <w:pPr>
        <w:spacing w:after="0" w:line="240" w:lineRule="auto"/>
        <w:ind w:left="142"/>
        <w:jc w:val="center"/>
        <w:rPr>
          <w:rFonts w:eastAsia="Times New Roman"/>
          <w:b/>
          <w:color w:val="000000" w:themeColor="text1"/>
          <w:sz w:val="24"/>
          <w:szCs w:val="24"/>
          <w14:textFill>
            <w14:solidFill>
              <w14:schemeClr w14:val="tx1"/>
            </w14:solidFill>
          </w14:textFill>
        </w:rPr>
      </w:pPr>
    </w:p>
    <w:p w14:paraId="708C6235">
      <w:pPr>
        <w:spacing w:after="0" w:line="240" w:lineRule="auto"/>
        <w:jc w:val="center"/>
        <w:rPr>
          <w:rFonts w:eastAsia="Times New Roman"/>
          <w:color w:val="000000" w:themeColor="text1"/>
          <w:w w:val="95"/>
          <w:sz w:val="36"/>
          <w:szCs w:val="36"/>
          <w14:textFill>
            <w14:solidFill>
              <w14:schemeClr w14:val="tx1"/>
            </w14:solidFill>
          </w14:textFill>
        </w:rPr>
      </w:pPr>
    </w:p>
    <w:p w14:paraId="708C6236">
      <w:pPr>
        <w:spacing w:after="0" w:line="240" w:lineRule="auto"/>
        <w:rPr>
          <w:rFonts w:eastAsia="Times New Roman"/>
          <w:color w:val="000000" w:themeColor="text1"/>
          <w:sz w:val="24"/>
          <w:szCs w:val="24"/>
          <w14:textFill>
            <w14:solidFill>
              <w14:schemeClr w14:val="tx1"/>
            </w14:solidFill>
          </w14:textFill>
        </w:rPr>
      </w:pPr>
    </w:p>
    <w:p w14:paraId="708C6237">
      <w:pPr>
        <w:spacing w:before="120" w:after="120" w:line="240" w:lineRule="auto"/>
        <w:jc w:val="center"/>
        <w:rPr>
          <w:rFonts w:eastAsia="Times New Roman"/>
          <w:b/>
          <w:color w:val="000000" w:themeColor="text1"/>
          <w:sz w:val="36"/>
          <w:szCs w:val="36"/>
          <w:u w:val="single"/>
          <w14:textFill>
            <w14:solidFill>
              <w14:schemeClr w14:val="tx1"/>
            </w14:solidFill>
          </w14:textFill>
        </w:rPr>
      </w:pPr>
      <w:r>
        <w:rPr>
          <w:b/>
          <w:bCs/>
          <w:color w:val="0000FF"/>
          <w:sz w:val="36"/>
          <w:szCs w:val="36"/>
          <w:shd w:val="clear" w:color="auto" w:fill="FFFFFF"/>
        </w:rPr>
        <w:t>Supply and Delivery of Primary equipment and materials (Stage 1)</w:t>
      </w:r>
    </w:p>
    <w:p w14:paraId="708C6238">
      <w:pPr>
        <w:spacing w:after="0" w:line="240" w:lineRule="auto"/>
        <w:ind w:left="142"/>
        <w:jc w:val="center"/>
        <w:rPr>
          <w:rFonts w:eastAsia="Times New Roman"/>
          <w:b/>
          <w:color w:val="000000" w:themeColor="text1"/>
          <w:sz w:val="36"/>
          <w:szCs w:val="36"/>
          <w14:textFill>
            <w14:solidFill>
              <w14:schemeClr w14:val="tx1"/>
            </w14:solidFill>
          </w14:textFill>
        </w:rPr>
      </w:pPr>
    </w:p>
    <w:p w14:paraId="708C6239">
      <w:pPr>
        <w:spacing w:after="0" w:line="240" w:lineRule="auto"/>
        <w:ind w:left="142"/>
        <w:jc w:val="center"/>
        <w:rPr>
          <w:rFonts w:eastAsia="Times New Roman"/>
          <w:b/>
          <w:color w:val="000000" w:themeColor="text1"/>
          <w:sz w:val="36"/>
          <w:szCs w:val="36"/>
          <w14:textFill>
            <w14:solidFill>
              <w14:schemeClr w14:val="tx1"/>
            </w14:solidFill>
          </w14:textFill>
        </w:rPr>
      </w:pPr>
    </w:p>
    <w:p w14:paraId="708C623A">
      <w:pPr>
        <w:spacing w:after="0" w:line="240" w:lineRule="auto"/>
        <w:ind w:left="142"/>
        <w:jc w:val="center"/>
        <w:rPr>
          <w:rFonts w:eastAsia="Times New Roman"/>
          <w:b/>
          <w:color w:val="000000" w:themeColor="text1"/>
          <w:sz w:val="36"/>
          <w:szCs w:val="36"/>
          <w14:textFill>
            <w14:solidFill>
              <w14:schemeClr w14:val="tx1"/>
            </w14:solidFill>
          </w14:textFill>
        </w:rPr>
      </w:pPr>
    </w:p>
    <w:p w14:paraId="708C623B">
      <w:pPr>
        <w:spacing w:after="0" w:line="240" w:lineRule="auto"/>
        <w:ind w:left="142"/>
        <w:jc w:val="center"/>
        <w:rPr>
          <w:rFonts w:eastAsia="Times New Roman"/>
          <w:b/>
          <w:color w:val="000000" w:themeColor="text1"/>
          <w:sz w:val="36"/>
          <w:szCs w:val="36"/>
          <w14:textFill>
            <w14:solidFill>
              <w14:schemeClr w14:val="tx1"/>
            </w14:solidFill>
          </w14:textFill>
        </w:rPr>
      </w:pPr>
    </w:p>
    <w:p w14:paraId="708C623C">
      <w:pPr>
        <w:spacing w:after="0" w:line="240" w:lineRule="auto"/>
        <w:ind w:left="142"/>
        <w:jc w:val="center"/>
        <w:rPr>
          <w:rFonts w:eastAsia="Times New Roman"/>
          <w:b/>
          <w:color w:val="000000" w:themeColor="text1"/>
          <w:sz w:val="36"/>
          <w:szCs w:val="32"/>
          <w:u w:val="single"/>
          <w14:textFill>
            <w14:solidFill>
              <w14:schemeClr w14:val="tx1"/>
            </w14:solidFill>
          </w14:textFill>
        </w:rPr>
      </w:pPr>
      <w:r>
        <w:rPr>
          <w:rFonts w:eastAsia="Times New Roman"/>
          <w:b/>
          <w:color w:val="000000" w:themeColor="text1"/>
          <w:sz w:val="36"/>
          <w:szCs w:val="32"/>
          <w:u w:val="single"/>
          <w14:textFill>
            <w14:solidFill>
              <w14:schemeClr w14:val="tx1"/>
            </w14:solidFill>
          </w14:textFill>
        </w:rPr>
        <w:t>Project:</w:t>
      </w:r>
    </w:p>
    <w:p w14:paraId="708C623D">
      <w:pPr>
        <w:spacing w:after="0" w:line="240" w:lineRule="auto"/>
        <w:ind w:left="142"/>
        <w:jc w:val="center"/>
        <w:rPr>
          <w:rFonts w:eastAsia="Times New Roman"/>
          <w:b/>
          <w:color w:val="000000" w:themeColor="text1"/>
          <w:sz w:val="36"/>
          <w:szCs w:val="36"/>
          <w14:textFill>
            <w14:solidFill>
              <w14:schemeClr w14:val="tx1"/>
            </w14:solidFill>
          </w14:textFill>
        </w:rPr>
      </w:pPr>
      <w:r>
        <w:rPr>
          <w:rFonts w:eastAsia="Times New Roman"/>
          <w:b/>
          <w:color w:val="000000" w:themeColor="text1"/>
          <w:sz w:val="36"/>
          <w:szCs w:val="36"/>
          <w14:textFill>
            <w14:solidFill>
              <w14:schemeClr w14:val="tx1"/>
            </w14:solidFill>
          </w14:textFill>
        </w:rPr>
        <w:t xml:space="preserve">500kV Hai Phong Substation   </w:t>
      </w:r>
    </w:p>
    <w:p w14:paraId="708C623E">
      <w:pPr>
        <w:spacing w:after="0" w:line="240" w:lineRule="auto"/>
        <w:ind w:left="142"/>
        <w:jc w:val="center"/>
        <w:rPr>
          <w:rFonts w:eastAsia="Times New Roman"/>
          <w:b/>
          <w:color w:val="000000" w:themeColor="text1"/>
          <w:sz w:val="36"/>
          <w:szCs w:val="36"/>
          <w14:textFill>
            <w14:solidFill>
              <w14:schemeClr w14:val="tx1"/>
            </w14:solidFill>
          </w14:textFill>
        </w:rPr>
      </w:pPr>
    </w:p>
    <w:p w14:paraId="708C623F">
      <w:pPr>
        <w:spacing w:after="0" w:line="240" w:lineRule="auto"/>
        <w:ind w:left="142"/>
        <w:jc w:val="center"/>
        <w:rPr>
          <w:rFonts w:eastAsia="Times New Roman"/>
          <w:b/>
          <w:color w:val="000000" w:themeColor="text1"/>
          <w:sz w:val="36"/>
          <w:szCs w:val="36"/>
          <w14:textFill>
            <w14:solidFill>
              <w14:schemeClr w14:val="tx1"/>
            </w14:solidFill>
          </w14:textFill>
        </w:rPr>
      </w:pPr>
    </w:p>
    <w:p w14:paraId="708C6240">
      <w:pPr>
        <w:spacing w:after="0" w:line="240" w:lineRule="auto"/>
        <w:ind w:left="142"/>
        <w:jc w:val="center"/>
        <w:rPr>
          <w:rFonts w:eastAsia="Times New Roman"/>
          <w:b/>
          <w:color w:val="000000" w:themeColor="text1"/>
          <w:sz w:val="40"/>
          <w:szCs w:val="40"/>
          <w14:textFill>
            <w14:solidFill>
              <w14:schemeClr w14:val="tx1"/>
            </w14:solidFill>
          </w14:textFill>
        </w:rPr>
      </w:pPr>
    </w:p>
    <w:p w14:paraId="708C6241">
      <w:pPr>
        <w:spacing w:after="0" w:line="240" w:lineRule="auto"/>
        <w:jc w:val="center"/>
        <w:rPr>
          <w:rFonts w:eastAsia="Times New Roman"/>
          <w:b/>
          <w:color w:val="000000" w:themeColor="text1"/>
          <w:sz w:val="36"/>
          <w:szCs w:val="36"/>
          <w:u w:val="single"/>
          <w14:textFill>
            <w14:solidFill>
              <w14:schemeClr w14:val="tx1"/>
            </w14:solidFill>
          </w14:textFill>
        </w:rPr>
      </w:pPr>
      <w:r>
        <w:rPr>
          <w:rFonts w:eastAsia="Times New Roman"/>
          <w:b/>
          <w:color w:val="000000" w:themeColor="text1"/>
          <w:sz w:val="36"/>
          <w:szCs w:val="36"/>
          <w:u w:val="single"/>
          <w14:textFill>
            <w14:solidFill>
              <w14:schemeClr w14:val="tx1"/>
            </w14:solidFill>
          </w14:textFill>
        </w:rPr>
        <w:t>Purchaser:</w:t>
      </w:r>
    </w:p>
    <w:p w14:paraId="708C6242">
      <w:pPr>
        <w:spacing w:after="0" w:line="240" w:lineRule="auto"/>
        <w:jc w:val="center"/>
        <w:rPr>
          <w:rFonts w:eastAsia="Times New Roman"/>
          <w:b/>
          <w:color w:val="000000" w:themeColor="text1"/>
          <w:sz w:val="32"/>
          <w:szCs w:val="32"/>
          <w14:textFill>
            <w14:solidFill>
              <w14:schemeClr w14:val="tx1"/>
            </w14:solidFill>
          </w14:textFill>
        </w:rPr>
      </w:pPr>
      <w:r>
        <w:rPr>
          <w:rFonts w:eastAsia="Times New Roman"/>
          <w:b/>
          <w:color w:val="000000" w:themeColor="text1"/>
          <w:sz w:val="32"/>
          <w:szCs w:val="32"/>
          <w14:textFill>
            <w14:solidFill>
              <w14:schemeClr w14:val="tx1"/>
            </w14:solidFill>
          </w14:textFill>
        </w:rPr>
        <w:t xml:space="preserve">  NATIONAL POWER TRANSMISSION CORPORATION</w:t>
      </w:r>
    </w:p>
    <w:p w14:paraId="708C6243">
      <w:pPr>
        <w:spacing w:after="0" w:line="240" w:lineRule="auto"/>
        <w:jc w:val="center"/>
        <w:rPr>
          <w:rFonts w:eastAsia="Times New Roman"/>
          <w:b/>
          <w:color w:val="000000" w:themeColor="text1"/>
          <w:sz w:val="36"/>
          <w:szCs w:val="36"/>
          <w14:textFill>
            <w14:solidFill>
              <w14:schemeClr w14:val="tx1"/>
            </w14:solidFill>
          </w14:textFill>
        </w:rPr>
      </w:pPr>
      <w:r>
        <w:rPr>
          <w:rFonts w:eastAsia="Times New Roman"/>
          <w:b/>
          <w:color w:val="000000" w:themeColor="text1"/>
          <w:sz w:val="32"/>
          <w:szCs w:val="32"/>
          <w14:textFill>
            <w14:solidFill>
              <w14:schemeClr w14:val="tx1"/>
            </w14:solidFill>
          </w14:textFill>
        </w:rPr>
        <w:t>NORTHERN POWER PROJECTS MANAGEMENT BOARD (NPMB)</w:t>
      </w:r>
    </w:p>
    <w:p w14:paraId="708C6244">
      <w:pPr>
        <w:spacing w:after="0" w:line="240" w:lineRule="auto"/>
        <w:jc w:val="center"/>
        <w:rPr>
          <w:rFonts w:eastAsia="Times New Roman"/>
          <w:b/>
          <w:color w:val="000000" w:themeColor="text1"/>
          <w:sz w:val="36"/>
          <w:szCs w:val="36"/>
          <w14:textFill>
            <w14:solidFill>
              <w14:schemeClr w14:val="tx1"/>
            </w14:solidFill>
          </w14:textFill>
        </w:rPr>
      </w:pPr>
    </w:p>
    <w:p w14:paraId="708C6245">
      <w:pPr>
        <w:spacing w:after="0" w:line="240" w:lineRule="auto"/>
        <w:jc w:val="center"/>
        <w:rPr>
          <w:rFonts w:eastAsia="Times New Roman"/>
          <w:b/>
          <w:color w:val="000000" w:themeColor="text1"/>
          <w:sz w:val="40"/>
          <w:szCs w:val="40"/>
          <w14:textFill>
            <w14:solidFill>
              <w14:schemeClr w14:val="tx1"/>
            </w14:solidFill>
          </w14:textFill>
        </w:rPr>
      </w:pPr>
    </w:p>
    <w:tbl>
      <w:tblPr>
        <w:tblStyle w:val="12"/>
        <w:tblW w:w="9113" w:type="dxa"/>
        <w:tblInd w:w="0" w:type="dxa"/>
        <w:tblLayout w:type="autofit"/>
        <w:tblCellMar>
          <w:top w:w="0" w:type="dxa"/>
          <w:left w:w="108" w:type="dxa"/>
          <w:bottom w:w="0" w:type="dxa"/>
          <w:right w:w="108" w:type="dxa"/>
        </w:tblCellMar>
      </w:tblPr>
      <w:tblGrid>
        <w:gridCol w:w="4219"/>
        <w:gridCol w:w="4894"/>
      </w:tblGrid>
      <w:tr w14:paraId="708C6255">
        <w:tblPrEx>
          <w:tblCellMar>
            <w:top w:w="0" w:type="dxa"/>
            <w:left w:w="108" w:type="dxa"/>
            <w:bottom w:w="0" w:type="dxa"/>
            <w:right w:w="108" w:type="dxa"/>
          </w:tblCellMar>
        </w:tblPrEx>
        <w:tc>
          <w:tcPr>
            <w:tcW w:w="4219" w:type="dxa"/>
          </w:tcPr>
          <w:p w14:paraId="708C6246">
            <w:pPr>
              <w:tabs>
                <w:tab w:val="left" w:pos="1200"/>
              </w:tabs>
              <w:spacing w:after="0" w:line="240" w:lineRule="auto"/>
              <w:jc w:val="center"/>
              <w:rPr>
                <w:rFonts w:eastAsia="Times New Roman"/>
                <w:b/>
                <w:color w:val="000000" w:themeColor="text1"/>
                <w:sz w:val="26"/>
                <w:szCs w:val="24"/>
                <w14:textFill>
                  <w14:solidFill>
                    <w14:schemeClr w14:val="tx1"/>
                  </w14:solidFill>
                </w14:textFill>
              </w:rPr>
            </w:pPr>
            <w:r>
              <w:rPr>
                <w:rFonts w:eastAsia="Times New Roman"/>
                <w:b/>
                <w:color w:val="000000" w:themeColor="text1"/>
                <w:sz w:val="26"/>
                <w:szCs w:val="24"/>
                <w14:textFill>
                  <w14:solidFill>
                    <w14:schemeClr w14:val="tx1"/>
                  </w14:solidFill>
                </w14:textFill>
              </w:rPr>
              <w:t>Power Engineering Consulting Joint Stock Company 3</w:t>
            </w:r>
          </w:p>
          <w:p w14:paraId="708C6247">
            <w:pPr>
              <w:spacing w:after="0" w:line="240" w:lineRule="auto"/>
              <w:jc w:val="center"/>
              <w:rPr>
                <w:rFonts w:eastAsia="Times New Roman"/>
                <w:b/>
                <w:color w:val="000000" w:themeColor="text1"/>
                <w:sz w:val="26"/>
                <w:szCs w:val="24"/>
                <w14:textFill>
                  <w14:solidFill>
                    <w14:schemeClr w14:val="tx1"/>
                  </w14:solidFill>
                </w14:textFill>
              </w:rPr>
            </w:pPr>
          </w:p>
          <w:p w14:paraId="708C6248">
            <w:pPr>
              <w:spacing w:after="0" w:line="240" w:lineRule="auto"/>
              <w:jc w:val="center"/>
              <w:rPr>
                <w:rFonts w:eastAsia="Times New Roman"/>
                <w:b/>
                <w:color w:val="000000" w:themeColor="text1"/>
                <w:sz w:val="26"/>
                <w:szCs w:val="24"/>
                <w14:textFill>
                  <w14:solidFill>
                    <w14:schemeClr w14:val="tx1"/>
                  </w14:solidFill>
                </w14:textFill>
              </w:rPr>
            </w:pPr>
          </w:p>
          <w:p w14:paraId="708C6249">
            <w:pPr>
              <w:spacing w:after="0" w:line="240" w:lineRule="auto"/>
              <w:jc w:val="center"/>
              <w:rPr>
                <w:rFonts w:eastAsia="Times New Roman"/>
                <w:b/>
                <w:color w:val="000000" w:themeColor="text1"/>
                <w:sz w:val="26"/>
                <w:szCs w:val="24"/>
                <w14:textFill>
                  <w14:solidFill>
                    <w14:schemeClr w14:val="tx1"/>
                  </w14:solidFill>
                </w14:textFill>
              </w:rPr>
            </w:pPr>
          </w:p>
          <w:p w14:paraId="708C624A">
            <w:pPr>
              <w:spacing w:after="0" w:line="240" w:lineRule="auto"/>
              <w:jc w:val="center"/>
              <w:rPr>
                <w:rFonts w:eastAsia="Times New Roman"/>
                <w:b/>
                <w:color w:val="000000" w:themeColor="text1"/>
                <w:sz w:val="26"/>
                <w:szCs w:val="24"/>
                <w14:textFill>
                  <w14:solidFill>
                    <w14:schemeClr w14:val="tx1"/>
                  </w14:solidFill>
                </w14:textFill>
              </w:rPr>
            </w:pPr>
          </w:p>
          <w:p w14:paraId="708C624B">
            <w:pPr>
              <w:spacing w:after="0" w:line="240" w:lineRule="auto"/>
              <w:jc w:val="center"/>
              <w:rPr>
                <w:rFonts w:eastAsia="Times New Roman"/>
                <w:b/>
                <w:color w:val="000000" w:themeColor="text1"/>
                <w:sz w:val="26"/>
                <w:szCs w:val="24"/>
                <w14:textFill>
                  <w14:solidFill>
                    <w14:schemeClr w14:val="tx1"/>
                  </w14:solidFill>
                </w14:textFill>
              </w:rPr>
            </w:pPr>
          </w:p>
          <w:p w14:paraId="708C624C">
            <w:pPr>
              <w:spacing w:after="0" w:line="240" w:lineRule="auto"/>
              <w:jc w:val="center"/>
              <w:rPr>
                <w:rFonts w:eastAsia="Times New Roman"/>
                <w:b/>
                <w:color w:val="000000" w:themeColor="text1"/>
                <w:sz w:val="20"/>
                <w:szCs w:val="20"/>
                <w14:textFill>
                  <w14:solidFill>
                    <w14:schemeClr w14:val="tx1"/>
                  </w14:solidFill>
                </w14:textFill>
              </w:rPr>
            </w:pPr>
          </w:p>
        </w:tc>
        <w:tc>
          <w:tcPr>
            <w:tcW w:w="4894" w:type="dxa"/>
          </w:tcPr>
          <w:p w14:paraId="708C624D">
            <w:pPr>
              <w:spacing w:after="0" w:line="240" w:lineRule="auto"/>
              <w:jc w:val="center"/>
              <w:rPr>
                <w:rFonts w:eastAsia="Times New Roman"/>
                <w:b/>
                <w:color w:val="000000" w:themeColor="text1"/>
                <w:sz w:val="26"/>
                <w:szCs w:val="24"/>
                <w14:textFill>
                  <w14:solidFill>
                    <w14:schemeClr w14:val="tx1"/>
                  </w14:solidFill>
                </w14:textFill>
              </w:rPr>
            </w:pPr>
            <w:r>
              <w:rPr>
                <w:rFonts w:eastAsia="Times New Roman"/>
                <w:b/>
                <w:color w:val="000000" w:themeColor="text1"/>
                <w:sz w:val="26"/>
                <w:szCs w:val="24"/>
                <w14:textFill>
                  <w14:solidFill>
                    <w14:schemeClr w14:val="tx1"/>
                  </w14:solidFill>
                </w14:textFill>
              </w:rPr>
              <w:t>Northern Power Projects Management Board</w:t>
            </w:r>
          </w:p>
          <w:p w14:paraId="708C624E">
            <w:pPr>
              <w:spacing w:after="0" w:line="240" w:lineRule="auto"/>
              <w:jc w:val="center"/>
              <w:rPr>
                <w:rFonts w:eastAsia="Times New Roman"/>
                <w:b/>
                <w:color w:val="000000" w:themeColor="text1"/>
                <w:sz w:val="26"/>
                <w:szCs w:val="24"/>
                <w14:textFill>
                  <w14:solidFill>
                    <w14:schemeClr w14:val="tx1"/>
                  </w14:solidFill>
                </w14:textFill>
              </w:rPr>
            </w:pPr>
          </w:p>
          <w:p w14:paraId="708C624F">
            <w:pPr>
              <w:spacing w:after="0" w:line="240" w:lineRule="auto"/>
              <w:jc w:val="center"/>
              <w:rPr>
                <w:rFonts w:eastAsia="Times New Roman"/>
                <w:b/>
                <w:color w:val="000000" w:themeColor="text1"/>
                <w:sz w:val="26"/>
                <w:szCs w:val="24"/>
                <w14:textFill>
                  <w14:solidFill>
                    <w14:schemeClr w14:val="tx1"/>
                  </w14:solidFill>
                </w14:textFill>
              </w:rPr>
            </w:pPr>
          </w:p>
          <w:p w14:paraId="708C6250">
            <w:pPr>
              <w:spacing w:after="0" w:line="240" w:lineRule="auto"/>
              <w:jc w:val="center"/>
              <w:rPr>
                <w:rFonts w:eastAsia="Times New Roman"/>
                <w:b/>
                <w:color w:val="000000" w:themeColor="text1"/>
                <w:sz w:val="26"/>
                <w:szCs w:val="24"/>
                <w14:textFill>
                  <w14:solidFill>
                    <w14:schemeClr w14:val="tx1"/>
                  </w14:solidFill>
                </w14:textFill>
              </w:rPr>
            </w:pPr>
          </w:p>
          <w:p w14:paraId="708C6251">
            <w:pPr>
              <w:spacing w:after="0" w:line="240" w:lineRule="auto"/>
              <w:jc w:val="center"/>
              <w:rPr>
                <w:rFonts w:eastAsia="Times New Roman"/>
                <w:b/>
                <w:color w:val="000000" w:themeColor="text1"/>
                <w:sz w:val="26"/>
                <w:szCs w:val="24"/>
                <w14:textFill>
                  <w14:solidFill>
                    <w14:schemeClr w14:val="tx1"/>
                  </w14:solidFill>
                </w14:textFill>
              </w:rPr>
            </w:pPr>
          </w:p>
          <w:p w14:paraId="708C6252">
            <w:pPr>
              <w:spacing w:after="0" w:line="240" w:lineRule="auto"/>
              <w:jc w:val="center"/>
              <w:rPr>
                <w:rFonts w:eastAsia="Times New Roman"/>
                <w:b/>
                <w:color w:val="000000" w:themeColor="text1"/>
                <w:sz w:val="26"/>
                <w:szCs w:val="24"/>
                <w14:textFill>
                  <w14:solidFill>
                    <w14:schemeClr w14:val="tx1"/>
                  </w14:solidFill>
                </w14:textFill>
              </w:rPr>
            </w:pPr>
          </w:p>
          <w:p w14:paraId="708C6253">
            <w:pPr>
              <w:spacing w:after="0" w:line="240" w:lineRule="auto"/>
              <w:jc w:val="center"/>
              <w:rPr>
                <w:rFonts w:eastAsia="Times New Roman"/>
                <w:b/>
                <w:color w:val="000000" w:themeColor="text1"/>
                <w:sz w:val="26"/>
                <w:szCs w:val="24"/>
                <w14:textFill>
                  <w14:solidFill>
                    <w14:schemeClr w14:val="tx1"/>
                  </w14:solidFill>
                </w14:textFill>
              </w:rPr>
            </w:pPr>
          </w:p>
          <w:p w14:paraId="708C6254">
            <w:pPr>
              <w:spacing w:after="0" w:line="240" w:lineRule="auto"/>
              <w:jc w:val="center"/>
              <w:rPr>
                <w:rFonts w:eastAsia="Times New Roman"/>
                <w:b/>
                <w:color w:val="000000" w:themeColor="text1"/>
                <w:sz w:val="26"/>
                <w:szCs w:val="24"/>
                <w14:textFill>
                  <w14:solidFill>
                    <w14:schemeClr w14:val="tx1"/>
                  </w14:solidFill>
                </w14:textFill>
              </w:rPr>
            </w:pPr>
          </w:p>
        </w:tc>
      </w:tr>
    </w:tbl>
    <w:p w14:paraId="708C6256">
      <w:pPr>
        <w:spacing w:after="0" w:line="240" w:lineRule="auto"/>
        <w:jc w:val="center"/>
        <w:rPr>
          <w:rFonts w:eastAsia="Times New Roman"/>
          <w:b/>
          <w:color w:val="000000" w:themeColor="text1"/>
          <w:sz w:val="40"/>
          <w:szCs w:val="40"/>
          <w14:textFill>
            <w14:solidFill>
              <w14:schemeClr w14:val="tx1"/>
            </w14:solidFill>
          </w14:textFill>
        </w:rPr>
      </w:pPr>
    </w:p>
    <w:p w14:paraId="708C6257">
      <w:pPr>
        <w:spacing w:after="0" w:line="240" w:lineRule="auto"/>
        <w:jc w:val="center"/>
        <w:rPr>
          <w:rFonts w:eastAsia="Times New Roman"/>
          <w:b/>
          <w:color w:val="000000" w:themeColor="text1"/>
          <w14:textFill>
            <w14:solidFill>
              <w14:schemeClr w14:val="tx1"/>
            </w14:solidFill>
          </w14:textFill>
        </w:rPr>
      </w:pPr>
    </w:p>
    <w:p w14:paraId="708C6258">
      <w:pPr>
        <w:spacing w:after="0" w:line="240" w:lineRule="auto"/>
        <w:jc w:val="center"/>
        <w:rPr>
          <w:rFonts w:eastAsia="Times New Roman"/>
          <w:b/>
          <w:color w:val="000000" w:themeColor="text1"/>
          <w14:textFill>
            <w14:solidFill>
              <w14:schemeClr w14:val="tx1"/>
            </w14:solidFill>
          </w14:textFill>
        </w:rPr>
      </w:pPr>
    </w:p>
    <w:p w14:paraId="708C6259">
      <w:pPr>
        <w:pStyle w:val="69"/>
        <w:spacing w:before="0" w:after="0"/>
        <w:rPr>
          <w:rFonts w:ascii="Times New Roman" w:hAnsi="Times New Roman"/>
          <w:color w:val="000000" w:themeColor="text1"/>
          <w:kern w:val="0"/>
          <w:sz w:val="28"/>
          <w:szCs w:val="28"/>
          <w:lang w:val="en-US"/>
          <w14:textFill>
            <w14:solidFill>
              <w14:schemeClr w14:val="tx1"/>
            </w14:solidFill>
          </w14:textFill>
        </w:rPr>
      </w:pPr>
      <w:r>
        <w:rPr>
          <w:rFonts w:ascii="Times New Roman" w:hAnsi="Times New Roman"/>
          <w:color w:val="000000" w:themeColor="text1"/>
          <w:kern w:val="0"/>
          <w:sz w:val="28"/>
          <w:szCs w:val="28"/>
          <w:lang w:val="en-US"/>
          <w14:textFill>
            <w14:solidFill>
              <w14:schemeClr w14:val="tx1"/>
            </w14:solidFill>
          </w14:textFill>
        </w:rPr>
        <w:t>Hanoi</w:t>
      </w:r>
      <w:r>
        <w:rPr>
          <w:rFonts w:ascii="Times New Roman" w:hAnsi="Times New Roman"/>
          <w:color w:val="000000" w:themeColor="text1"/>
          <w:kern w:val="0"/>
          <w:sz w:val="28"/>
          <w:szCs w:val="28"/>
          <w14:textFill>
            <w14:solidFill>
              <w14:schemeClr w14:val="tx1"/>
            </w14:solidFill>
          </w14:textFill>
        </w:rPr>
        <w:t xml:space="preserve">, </w:t>
      </w:r>
      <w:r>
        <w:rPr>
          <w:rFonts w:ascii="Times New Roman" w:hAnsi="Times New Roman"/>
          <w:color w:val="000000" w:themeColor="text1"/>
          <w:kern w:val="0"/>
          <w:sz w:val="28"/>
          <w:szCs w:val="28"/>
          <w:lang w:val="en-US"/>
          <w14:textFill>
            <w14:solidFill>
              <w14:schemeClr w14:val="tx1"/>
            </w14:solidFill>
          </w14:textFill>
        </w:rPr>
        <w:t>August</w:t>
      </w:r>
      <w:r>
        <w:rPr>
          <w:rFonts w:ascii="Times New Roman" w:hAnsi="Times New Roman"/>
          <w:color w:val="000000" w:themeColor="text1"/>
          <w:kern w:val="0"/>
          <w:sz w:val="28"/>
          <w:szCs w:val="28"/>
          <w14:textFill>
            <w14:solidFill>
              <w14:schemeClr w14:val="tx1"/>
            </w14:solidFill>
          </w14:textFill>
        </w:rPr>
        <w:t>/20</w:t>
      </w:r>
      <w:r>
        <w:rPr>
          <w:rFonts w:ascii="Times New Roman" w:hAnsi="Times New Roman"/>
          <w:color w:val="000000" w:themeColor="text1"/>
          <w:kern w:val="0"/>
          <w:sz w:val="28"/>
          <w:szCs w:val="28"/>
          <w:lang w:val="en-US"/>
          <w14:textFill>
            <w14:solidFill>
              <w14:schemeClr w14:val="tx1"/>
            </w14:solidFill>
          </w14:textFill>
        </w:rPr>
        <w:t>25</w:t>
      </w:r>
    </w:p>
    <w:p w14:paraId="708C625A">
      <w:pPr>
        <w:spacing w:before="40" w:after="40" w:line="240" w:lineRule="auto"/>
        <w:jc w:val="center"/>
        <w:rPr>
          <w:color w:val="000000" w:themeColor="text1"/>
          <w14:textFill>
            <w14:solidFill>
              <w14:schemeClr w14:val="tx1"/>
            </w14:solidFill>
          </w14:textFill>
        </w:rPr>
      </w:pPr>
      <w:r>
        <w:rPr>
          <w:b/>
          <w:color w:val="000000" w:themeColor="text1"/>
          <w14:textFill>
            <w14:solidFill>
              <w14:schemeClr w14:val="tx1"/>
            </w14:solidFill>
          </w14:textFill>
        </w:rPr>
        <w:t>TABLE OF CONTENTS</w:t>
      </w:r>
    </w:p>
    <w:tbl>
      <w:tblPr>
        <w:tblStyle w:val="12"/>
        <w:tblW w:w="9831" w:type="dxa"/>
        <w:tblInd w:w="-176" w:type="dxa"/>
        <w:tblLayout w:type="fixed"/>
        <w:tblCellMar>
          <w:top w:w="0" w:type="dxa"/>
          <w:left w:w="108" w:type="dxa"/>
          <w:bottom w:w="0" w:type="dxa"/>
          <w:right w:w="108" w:type="dxa"/>
        </w:tblCellMar>
      </w:tblPr>
      <w:tblGrid>
        <w:gridCol w:w="8931"/>
        <w:gridCol w:w="900"/>
      </w:tblGrid>
      <w:tr w14:paraId="708C625D">
        <w:tblPrEx>
          <w:tblCellMar>
            <w:top w:w="0" w:type="dxa"/>
            <w:left w:w="108" w:type="dxa"/>
            <w:bottom w:w="0" w:type="dxa"/>
            <w:right w:w="108" w:type="dxa"/>
          </w:tblCellMar>
        </w:tblPrEx>
        <w:tc>
          <w:tcPr>
            <w:tcW w:w="8931" w:type="dxa"/>
          </w:tcPr>
          <w:p w14:paraId="708C625B">
            <w:pPr>
              <w:spacing w:before="60" w:after="60" w:line="264" w:lineRule="auto"/>
              <w:ind w:right="-250"/>
              <w:rPr>
                <w:strike/>
                <w:color w:val="000000" w:themeColor="text1"/>
                <w14:textFill>
                  <w14:solidFill>
                    <w14:schemeClr w14:val="tx1"/>
                  </w14:solidFill>
                </w14:textFill>
              </w:rPr>
            </w:pPr>
          </w:p>
        </w:tc>
        <w:tc>
          <w:tcPr>
            <w:tcW w:w="900" w:type="dxa"/>
          </w:tcPr>
          <w:p w14:paraId="708C625C">
            <w:pPr>
              <w:spacing w:before="60" w:after="60" w:line="264" w:lineRule="auto"/>
              <w:jc w:val="center"/>
              <w:rPr>
                <w:strike/>
                <w:color w:val="000000" w:themeColor="text1"/>
                <w14:textFill>
                  <w14:solidFill>
                    <w14:schemeClr w14:val="tx1"/>
                  </w14:solidFill>
                </w14:textFill>
              </w:rPr>
            </w:pPr>
          </w:p>
        </w:tc>
      </w:tr>
      <w:tr w14:paraId="708C6260">
        <w:tblPrEx>
          <w:tblCellMar>
            <w:top w:w="0" w:type="dxa"/>
            <w:left w:w="108" w:type="dxa"/>
            <w:bottom w:w="0" w:type="dxa"/>
            <w:right w:w="108" w:type="dxa"/>
          </w:tblCellMar>
        </w:tblPrEx>
        <w:trPr>
          <w:trHeight w:val="428" w:hRule="atLeast"/>
        </w:trPr>
        <w:tc>
          <w:tcPr>
            <w:tcW w:w="8931" w:type="dxa"/>
          </w:tcPr>
          <w:p w14:paraId="708C625E">
            <w:pPr>
              <w:spacing w:before="60" w:after="60" w:line="264" w:lineRule="auto"/>
              <w:ind w:right="-250"/>
              <w:rPr>
                <w:color w:val="000000" w:themeColor="text1"/>
                <w14:textFill>
                  <w14:solidFill>
                    <w14:schemeClr w14:val="tx1"/>
                  </w14:solidFill>
                </w14:textFill>
              </w:rPr>
            </w:pPr>
            <w:r>
              <w:rPr>
                <w:color w:val="000000" w:themeColor="text1"/>
                <w14:textFill>
                  <w14:solidFill>
                    <w14:schemeClr w14:val="tx1"/>
                  </w14:solidFill>
                </w14:textFill>
              </w:rPr>
              <w:t>Abbreviations</w:t>
            </w:r>
            <w:r>
              <w:rPr>
                <w:rStyle w:val="36"/>
                <w:color w:val="000000" w:themeColor="text1"/>
                <w14:textFill>
                  <w14:solidFill>
                    <w14:schemeClr w14:val="tx1"/>
                  </w14:solidFill>
                </w14:textFill>
              </w:rPr>
              <w:t xml:space="preserve"> . . . . . . . . . . . . . . . . . . . . . . . . . . . . . . . . . . . . . . . . . . . . . . . . . . . .</w:t>
            </w:r>
          </w:p>
        </w:tc>
        <w:tc>
          <w:tcPr>
            <w:tcW w:w="900" w:type="dxa"/>
          </w:tcPr>
          <w:p w14:paraId="708C625F">
            <w:pPr>
              <w:spacing w:before="60" w:after="60" w:line="264" w:lineRule="auto"/>
              <w:jc w:val="center"/>
              <w:rPr>
                <w:color w:val="000000" w:themeColor="text1"/>
                <w14:textFill>
                  <w14:solidFill>
                    <w14:schemeClr w14:val="tx1"/>
                  </w14:solidFill>
                </w14:textFill>
              </w:rPr>
            </w:pPr>
          </w:p>
        </w:tc>
      </w:tr>
      <w:tr w14:paraId="708C6263">
        <w:tblPrEx>
          <w:tblCellMar>
            <w:top w:w="0" w:type="dxa"/>
            <w:left w:w="108" w:type="dxa"/>
            <w:bottom w:w="0" w:type="dxa"/>
            <w:right w:w="108" w:type="dxa"/>
          </w:tblCellMar>
        </w:tblPrEx>
        <w:trPr>
          <w:trHeight w:val="419" w:hRule="atLeast"/>
        </w:trPr>
        <w:tc>
          <w:tcPr>
            <w:tcW w:w="8931" w:type="dxa"/>
          </w:tcPr>
          <w:p w14:paraId="708C6261">
            <w:pPr>
              <w:spacing w:before="60" w:after="60" w:line="264" w:lineRule="auto"/>
              <w:ind w:right="-250"/>
              <w:rPr>
                <w:color w:val="000000" w:themeColor="text1"/>
                <w14:textFill>
                  <w14:solidFill>
                    <w14:schemeClr w14:val="tx1"/>
                  </w14:solidFill>
                </w14:textFill>
              </w:rPr>
            </w:pPr>
            <w:r>
              <w:rPr>
                <w:b/>
                <w:color w:val="000000" w:themeColor="text1"/>
                <w14:textFill>
                  <w14:solidFill>
                    <w14:schemeClr w14:val="tx1"/>
                  </w14:solidFill>
                </w14:textFill>
              </w:rPr>
              <w:t xml:space="preserve">Part 1 – </w:t>
            </w:r>
            <w:r>
              <w:rPr>
                <w:b/>
                <w:color w:val="000000" w:themeColor="text1"/>
                <w:szCs w:val="24"/>
                <w14:textFill>
                  <w14:solidFill>
                    <w14:schemeClr w14:val="tx1"/>
                  </w14:solidFill>
                </w14:textFill>
              </w:rPr>
              <w:t>BIDDING PROCEDURES</w:t>
            </w:r>
            <w:r>
              <w:rPr>
                <w:rStyle w:val="36"/>
                <w:color w:val="000000" w:themeColor="text1"/>
                <w14:textFill>
                  <w14:solidFill>
                    <w14:schemeClr w14:val="tx1"/>
                  </w14:solidFill>
                </w14:textFill>
              </w:rPr>
              <w:t xml:space="preserve">  . . . . . . . . . . . . . . . . . . . . . . . . . . . . . . . . . </w:t>
            </w:r>
          </w:p>
        </w:tc>
        <w:tc>
          <w:tcPr>
            <w:tcW w:w="900" w:type="dxa"/>
          </w:tcPr>
          <w:p w14:paraId="708C6262">
            <w:pPr>
              <w:spacing w:before="60" w:after="60" w:line="264" w:lineRule="auto"/>
              <w:jc w:val="center"/>
              <w:rPr>
                <w:color w:val="000000" w:themeColor="text1"/>
                <w14:textFill>
                  <w14:solidFill>
                    <w14:schemeClr w14:val="tx1"/>
                  </w14:solidFill>
                </w14:textFill>
              </w:rPr>
            </w:pPr>
          </w:p>
        </w:tc>
      </w:tr>
      <w:tr w14:paraId="708C6266">
        <w:tblPrEx>
          <w:tblCellMar>
            <w:top w:w="0" w:type="dxa"/>
            <w:left w:w="108" w:type="dxa"/>
            <w:bottom w:w="0" w:type="dxa"/>
            <w:right w:w="108" w:type="dxa"/>
          </w:tblCellMar>
        </w:tblPrEx>
        <w:tc>
          <w:tcPr>
            <w:tcW w:w="8931" w:type="dxa"/>
          </w:tcPr>
          <w:p w14:paraId="708C6264">
            <w:pPr>
              <w:spacing w:before="60" w:after="60" w:line="264" w:lineRule="auto"/>
              <w:ind w:right="-250"/>
              <w:rPr>
                <w:color w:val="000000" w:themeColor="text1"/>
                <w14:textFill>
                  <w14:solidFill>
                    <w14:schemeClr w14:val="tx1"/>
                  </w14:solidFill>
                </w14:textFill>
              </w:rPr>
            </w:pPr>
            <w:r>
              <w:rPr>
                <w:color w:val="000000" w:themeColor="text1"/>
                <w14:textFill>
                  <w14:solidFill>
                    <w14:schemeClr w14:val="tx1"/>
                  </w14:solidFill>
                </w14:textFill>
              </w:rPr>
              <w:t xml:space="preserve">Section I. </w:t>
            </w:r>
            <w:r>
              <w:rPr>
                <w:color w:val="000000" w:themeColor="text1"/>
                <w:szCs w:val="24"/>
                <w14:textFill>
                  <w14:solidFill>
                    <w14:schemeClr w14:val="tx1"/>
                  </w14:solidFill>
                </w14:textFill>
              </w:rPr>
              <w:t>Instructions to Bidders (ITB)</w:t>
            </w:r>
            <w:r>
              <w:rPr>
                <w:rStyle w:val="36"/>
                <w:color w:val="000000" w:themeColor="text1"/>
                <w14:textFill>
                  <w14:solidFill>
                    <w14:schemeClr w14:val="tx1"/>
                  </w14:solidFill>
                </w14:textFill>
              </w:rPr>
              <w:t>. . . . . . . . . . . . . . . . . . . . . . . . . . . . . . . . .</w:t>
            </w:r>
          </w:p>
        </w:tc>
        <w:tc>
          <w:tcPr>
            <w:tcW w:w="900" w:type="dxa"/>
          </w:tcPr>
          <w:p w14:paraId="708C6265">
            <w:pPr>
              <w:spacing w:before="60" w:after="60" w:line="264" w:lineRule="auto"/>
              <w:jc w:val="center"/>
              <w:rPr>
                <w:color w:val="000000" w:themeColor="text1"/>
                <w14:textFill>
                  <w14:solidFill>
                    <w14:schemeClr w14:val="tx1"/>
                  </w14:solidFill>
                </w14:textFill>
              </w:rPr>
            </w:pPr>
          </w:p>
        </w:tc>
      </w:tr>
      <w:tr w14:paraId="708C6269">
        <w:tblPrEx>
          <w:tblCellMar>
            <w:top w:w="0" w:type="dxa"/>
            <w:left w:w="108" w:type="dxa"/>
            <w:bottom w:w="0" w:type="dxa"/>
            <w:right w:w="108" w:type="dxa"/>
          </w:tblCellMar>
        </w:tblPrEx>
        <w:tc>
          <w:tcPr>
            <w:tcW w:w="8931" w:type="dxa"/>
          </w:tcPr>
          <w:p w14:paraId="708C6267">
            <w:pPr>
              <w:spacing w:before="60" w:after="60" w:line="264" w:lineRule="auto"/>
              <w:ind w:right="-250"/>
              <w:rPr>
                <w:color w:val="000000" w:themeColor="text1"/>
                <w14:textFill>
                  <w14:solidFill>
                    <w14:schemeClr w14:val="tx1"/>
                  </w14:solidFill>
                </w14:textFill>
              </w:rPr>
            </w:pPr>
            <w:r>
              <w:rPr>
                <w:color w:val="000000" w:themeColor="text1"/>
                <w14:textFill>
                  <w14:solidFill>
                    <w14:schemeClr w14:val="tx1"/>
                  </w14:solidFill>
                </w14:textFill>
              </w:rPr>
              <w:t xml:space="preserve">Section II. </w:t>
            </w:r>
            <w:r>
              <w:rPr>
                <w:color w:val="000000" w:themeColor="text1"/>
                <w:szCs w:val="24"/>
                <w14:textFill>
                  <w14:solidFill>
                    <w14:schemeClr w14:val="tx1"/>
                  </w14:solidFill>
                </w14:textFill>
              </w:rPr>
              <w:t>Bid Data Sheet (BDS)</w:t>
            </w:r>
            <w:r>
              <w:rPr>
                <w:rStyle w:val="36"/>
                <w:color w:val="000000" w:themeColor="text1"/>
                <w14:textFill>
                  <w14:solidFill>
                    <w14:schemeClr w14:val="tx1"/>
                  </w14:solidFill>
                </w14:textFill>
              </w:rPr>
              <w:t xml:space="preserve"> .. . . . . . . . . . . . . . . . . . . . . . . . . . . . . . . .</w:t>
            </w:r>
          </w:p>
        </w:tc>
        <w:tc>
          <w:tcPr>
            <w:tcW w:w="900" w:type="dxa"/>
          </w:tcPr>
          <w:p w14:paraId="708C6268">
            <w:pPr>
              <w:spacing w:before="60" w:after="60" w:line="264" w:lineRule="auto"/>
              <w:jc w:val="center"/>
              <w:rPr>
                <w:color w:val="000000" w:themeColor="text1"/>
                <w14:textFill>
                  <w14:solidFill>
                    <w14:schemeClr w14:val="tx1"/>
                  </w14:solidFill>
                </w14:textFill>
              </w:rPr>
            </w:pPr>
          </w:p>
        </w:tc>
      </w:tr>
      <w:tr w14:paraId="708C626C">
        <w:tblPrEx>
          <w:tblCellMar>
            <w:top w:w="0" w:type="dxa"/>
            <w:left w:w="108" w:type="dxa"/>
            <w:bottom w:w="0" w:type="dxa"/>
            <w:right w:w="108" w:type="dxa"/>
          </w:tblCellMar>
        </w:tblPrEx>
        <w:tc>
          <w:tcPr>
            <w:tcW w:w="8931" w:type="dxa"/>
          </w:tcPr>
          <w:p w14:paraId="708C626A">
            <w:pPr>
              <w:spacing w:before="60" w:after="60" w:line="264" w:lineRule="auto"/>
              <w:ind w:left="1440" w:right="-250" w:hanging="1440"/>
              <w:rPr>
                <w:i/>
                <w:color w:val="000000" w:themeColor="text1"/>
                <w14:textFill>
                  <w14:solidFill>
                    <w14:schemeClr w14:val="tx1"/>
                  </w14:solidFill>
                </w14:textFill>
              </w:rPr>
            </w:pPr>
            <w:r>
              <w:rPr>
                <w:color w:val="000000" w:themeColor="text1"/>
                <w14:textFill>
                  <w14:solidFill>
                    <w14:schemeClr w14:val="tx1"/>
                  </w14:solidFill>
                </w14:textFill>
              </w:rPr>
              <w:t xml:space="preserve">Section III. </w:t>
            </w:r>
            <w:r>
              <w:rPr>
                <w:color w:val="000000" w:themeColor="text1"/>
                <w:szCs w:val="24"/>
                <w14:textFill>
                  <w14:solidFill>
                    <w14:schemeClr w14:val="tx1"/>
                  </w14:solidFill>
                </w14:textFill>
              </w:rPr>
              <w:t xml:space="preserve">Bid Evaluation Criteria . . . </w:t>
            </w:r>
            <w:r>
              <w:rPr>
                <w:rStyle w:val="36"/>
                <w:color w:val="000000" w:themeColor="text1"/>
                <w14:textFill>
                  <w14:solidFill>
                    <w14:schemeClr w14:val="tx1"/>
                  </w14:solidFill>
                </w14:textFill>
              </w:rPr>
              <w:t>. . . .. . . . . . . . . . . . . . . . . . . . . . . . . . . .</w:t>
            </w:r>
          </w:p>
        </w:tc>
        <w:tc>
          <w:tcPr>
            <w:tcW w:w="900" w:type="dxa"/>
          </w:tcPr>
          <w:p w14:paraId="708C626B">
            <w:pPr>
              <w:spacing w:before="60" w:after="60" w:line="264" w:lineRule="auto"/>
              <w:jc w:val="center"/>
              <w:rPr>
                <w:color w:val="000000" w:themeColor="text1"/>
                <w14:textFill>
                  <w14:solidFill>
                    <w14:schemeClr w14:val="tx1"/>
                  </w14:solidFill>
                </w14:textFill>
              </w:rPr>
            </w:pPr>
          </w:p>
        </w:tc>
      </w:tr>
      <w:tr w14:paraId="708C626F">
        <w:tblPrEx>
          <w:tblCellMar>
            <w:top w:w="0" w:type="dxa"/>
            <w:left w:w="108" w:type="dxa"/>
            <w:bottom w:w="0" w:type="dxa"/>
            <w:right w:w="108" w:type="dxa"/>
          </w:tblCellMar>
        </w:tblPrEx>
        <w:trPr>
          <w:trHeight w:val="491" w:hRule="atLeast"/>
        </w:trPr>
        <w:tc>
          <w:tcPr>
            <w:tcW w:w="8931" w:type="dxa"/>
          </w:tcPr>
          <w:p w14:paraId="708C626D">
            <w:pPr>
              <w:spacing w:before="60" w:after="60" w:line="264" w:lineRule="auto"/>
              <w:ind w:right="-250"/>
              <w:rPr>
                <w:color w:val="000000" w:themeColor="text1"/>
                <w14:textFill>
                  <w14:solidFill>
                    <w14:schemeClr w14:val="tx1"/>
                  </w14:solidFill>
                </w14:textFill>
              </w:rPr>
            </w:pPr>
            <w:r>
              <w:rPr>
                <w:color w:val="000000" w:themeColor="text1"/>
                <w14:textFill>
                  <w14:solidFill>
                    <w14:schemeClr w14:val="tx1"/>
                  </w14:solidFill>
                </w14:textFill>
              </w:rPr>
              <w:t xml:space="preserve">Section IV. </w:t>
            </w:r>
            <w:r>
              <w:rPr>
                <w:color w:val="000000" w:themeColor="text1"/>
                <w:szCs w:val="24"/>
                <w14:textFill>
                  <w14:solidFill>
                    <w14:schemeClr w14:val="tx1"/>
                  </w14:solidFill>
                </w14:textFill>
              </w:rPr>
              <w:t>Bidding Forms. . . .</w:t>
            </w:r>
            <w:r>
              <w:rPr>
                <w:rStyle w:val="36"/>
                <w:color w:val="000000" w:themeColor="text1"/>
                <w14:textFill>
                  <w14:solidFill>
                    <w14:schemeClr w14:val="tx1"/>
                  </w14:solidFill>
                </w14:textFill>
              </w:rPr>
              <w:t>. . . . . . . . . . . . . . . . . . . . . . . . . . . . . . . . . . . . …</w:t>
            </w:r>
          </w:p>
        </w:tc>
        <w:tc>
          <w:tcPr>
            <w:tcW w:w="900" w:type="dxa"/>
          </w:tcPr>
          <w:p w14:paraId="708C626E">
            <w:pPr>
              <w:spacing w:before="60" w:after="60" w:line="264" w:lineRule="auto"/>
              <w:jc w:val="center"/>
              <w:rPr>
                <w:color w:val="000000" w:themeColor="text1"/>
                <w14:textFill>
                  <w14:solidFill>
                    <w14:schemeClr w14:val="tx1"/>
                  </w14:solidFill>
                </w14:textFill>
              </w:rPr>
            </w:pPr>
          </w:p>
        </w:tc>
      </w:tr>
      <w:tr w14:paraId="708C6272">
        <w:tblPrEx>
          <w:tblCellMar>
            <w:top w:w="0" w:type="dxa"/>
            <w:left w:w="108" w:type="dxa"/>
            <w:bottom w:w="0" w:type="dxa"/>
            <w:right w:w="108" w:type="dxa"/>
          </w:tblCellMar>
        </w:tblPrEx>
        <w:trPr>
          <w:trHeight w:val="400" w:hRule="atLeast"/>
        </w:trPr>
        <w:tc>
          <w:tcPr>
            <w:tcW w:w="8931" w:type="dxa"/>
          </w:tcPr>
          <w:p w14:paraId="708C6270">
            <w:pPr>
              <w:spacing w:before="60" w:after="60" w:line="264" w:lineRule="auto"/>
              <w:ind w:right="-250"/>
              <w:rPr>
                <w:color w:val="000000" w:themeColor="text1"/>
                <w14:textFill>
                  <w14:solidFill>
                    <w14:schemeClr w14:val="tx1"/>
                  </w14:solidFill>
                </w14:textFill>
              </w:rPr>
            </w:pPr>
            <w:r>
              <w:rPr>
                <w:b/>
                <w:color w:val="000000" w:themeColor="text1"/>
                <w14:textFill>
                  <w14:solidFill>
                    <w14:schemeClr w14:val="tx1"/>
                  </w14:solidFill>
                </w14:textFill>
              </w:rPr>
              <w:t xml:space="preserve">Part 2 – </w:t>
            </w:r>
            <w:r>
              <w:rPr>
                <w:b/>
                <w:color w:val="000000" w:themeColor="text1"/>
                <w:szCs w:val="24"/>
                <w14:textFill>
                  <w14:solidFill>
                    <w14:schemeClr w14:val="tx1"/>
                  </w14:solidFill>
                </w14:textFill>
              </w:rPr>
              <w:t>SUPPLY REQUIREMENTS</w:t>
            </w:r>
            <w:r>
              <w:rPr>
                <w:rStyle w:val="36"/>
                <w:color w:val="000000" w:themeColor="text1"/>
                <w14:textFill>
                  <w14:solidFill>
                    <w14:schemeClr w14:val="tx1"/>
                  </w14:solidFill>
                </w14:textFill>
              </w:rPr>
              <w:t xml:space="preserve">. . . . . . . . . . . . . . . . . . . . . . . . . . . . . . . </w:t>
            </w:r>
          </w:p>
        </w:tc>
        <w:tc>
          <w:tcPr>
            <w:tcW w:w="900" w:type="dxa"/>
          </w:tcPr>
          <w:p w14:paraId="708C6271">
            <w:pPr>
              <w:spacing w:before="60" w:after="60" w:line="264" w:lineRule="auto"/>
              <w:jc w:val="center"/>
              <w:rPr>
                <w:color w:val="000000" w:themeColor="text1"/>
                <w14:textFill>
                  <w14:solidFill>
                    <w14:schemeClr w14:val="tx1"/>
                  </w14:solidFill>
                </w14:textFill>
              </w:rPr>
            </w:pPr>
          </w:p>
        </w:tc>
      </w:tr>
      <w:tr w14:paraId="708C6277">
        <w:tblPrEx>
          <w:tblCellMar>
            <w:top w:w="0" w:type="dxa"/>
            <w:left w:w="108" w:type="dxa"/>
            <w:bottom w:w="0" w:type="dxa"/>
            <w:right w:w="108" w:type="dxa"/>
          </w:tblCellMar>
        </w:tblPrEx>
        <w:trPr>
          <w:trHeight w:val="400" w:hRule="atLeast"/>
        </w:trPr>
        <w:tc>
          <w:tcPr>
            <w:tcW w:w="8931" w:type="dxa"/>
          </w:tcPr>
          <w:p w14:paraId="708C6273">
            <w:pPr>
              <w:spacing w:before="60" w:after="60" w:line="264" w:lineRule="auto"/>
              <w:ind w:right="-250"/>
              <w:rPr>
                <w:rStyle w:val="36"/>
                <w:color w:val="000000" w:themeColor="text1"/>
                <w14:textFill>
                  <w14:solidFill>
                    <w14:schemeClr w14:val="tx1"/>
                  </w14:solidFill>
                </w14:textFill>
              </w:rPr>
            </w:pPr>
            <w:r>
              <w:rPr>
                <w:color w:val="000000" w:themeColor="text1"/>
                <w14:textFill>
                  <w14:solidFill>
                    <w14:schemeClr w14:val="tx1"/>
                  </w14:solidFill>
                </w14:textFill>
              </w:rPr>
              <w:t>Section V-1. Scope of supply</w:t>
            </w:r>
            <w:r>
              <w:rPr>
                <w:rStyle w:val="36"/>
                <w:color w:val="000000" w:themeColor="text1"/>
                <w14:textFill>
                  <w14:solidFill>
                    <w14:schemeClr w14:val="tx1"/>
                  </w14:solidFill>
                </w14:textFill>
              </w:rPr>
              <w:t xml:space="preserve"> . . . . . . . . . . . . . . . . . . . . . . . . . . . . . . . . . . . . . . . </w:t>
            </w:r>
          </w:p>
          <w:p w14:paraId="708C6274">
            <w:pPr>
              <w:spacing w:before="60" w:after="60" w:line="264" w:lineRule="auto"/>
              <w:ind w:right="-250"/>
              <w:rPr>
                <w:rStyle w:val="36"/>
                <w:color w:val="000000" w:themeColor="text1"/>
                <w14:textFill>
                  <w14:solidFill>
                    <w14:schemeClr w14:val="tx1"/>
                  </w14:solidFill>
                </w14:textFill>
              </w:rPr>
            </w:pPr>
            <w:r>
              <w:rPr>
                <w:color w:val="000000" w:themeColor="text1"/>
                <w14:textFill>
                  <w14:solidFill>
                    <w14:schemeClr w14:val="tx1"/>
                  </w14:solidFill>
                </w14:textFill>
              </w:rPr>
              <w:t>Section V-2. Technical specifications</w:t>
            </w:r>
            <w:r>
              <w:rPr>
                <w:rStyle w:val="36"/>
                <w:color w:val="000000" w:themeColor="text1"/>
                <w14:textFill>
                  <w14:solidFill>
                    <w14:schemeClr w14:val="tx1"/>
                  </w14:solidFill>
                </w14:textFill>
              </w:rPr>
              <w:t xml:space="preserve"> . . . . . . . . . . . . . . . . . . . . . . . . . . . . . . . . . . </w:t>
            </w:r>
          </w:p>
          <w:p w14:paraId="708C6275">
            <w:pPr>
              <w:spacing w:before="60" w:after="60" w:line="264" w:lineRule="auto"/>
              <w:ind w:right="-250"/>
              <w:rPr>
                <w:color w:val="000000" w:themeColor="text1"/>
                <w:u w:val="single"/>
                <w14:textFill>
                  <w14:solidFill>
                    <w14:schemeClr w14:val="tx1"/>
                  </w14:solidFill>
                </w14:textFill>
              </w:rPr>
            </w:pPr>
            <w:r>
              <w:rPr>
                <w:color w:val="000000" w:themeColor="text1"/>
                <w14:textFill>
                  <w14:solidFill>
                    <w14:schemeClr w14:val="tx1"/>
                  </w14:solidFill>
                </w14:textFill>
              </w:rPr>
              <w:t>Section V-3. Technical data sheets</w:t>
            </w:r>
            <w:r>
              <w:rPr>
                <w:rStyle w:val="36"/>
                <w:color w:val="000000" w:themeColor="text1"/>
                <w14:textFill>
                  <w14:solidFill>
                    <w14:schemeClr w14:val="tx1"/>
                  </w14:solidFill>
                </w14:textFill>
              </w:rPr>
              <w:t xml:space="preserve">. . . . . . . . . . . . . . . . . . . . . .  . . . . . . . . . . . </w:t>
            </w:r>
          </w:p>
        </w:tc>
        <w:tc>
          <w:tcPr>
            <w:tcW w:w="900" w:type="dxa"/>
          </w:tcPr>
          <w:p w14:paraId="708C6276">
            <w:pPr>
              <w:spacing w:before="60" w:after="60" w:line="264" w:lineRule="auto"/>
              <w:jc w:val="center"/>
              <w:rPr>
                <w:color w:val="000000" w:themeColor="text1"/>
                <w14:textFill>
                  <w14:solidFill>
                    <w14:schemeClr w14:val="tx1"/>
                  </w14:solidFill>
                </w14:textFill>
              </w:rPr>
            </w:pPr>
          </w:p>
        </w:tc>
      </w:tr>
      <w:tr w14:paraId="708C627A">
        <w:tblPrEx>
          <w:tblCellMar>
            <w:top w:w="0" w:type="dxa"/>
            <w:left w:w="108" w:type="dxa"/>
            <w:bottom w:w="0" w:type="dxa"/>
            <w:right w:w="108" w:type="dxa"/>
          </w:tblCellMar>
        </w:tblPrEx>
        <w:trPr>
          <w:trHeight w:val="417" w:hRule="atLeast"/>
        </w:trPr>
        <w:tc>
          <w:tcPr>
            <w:tcW w:w="8931" w:type="dxa"/>
          </w:tcPr>
          <w:p w14:paraId="708C6278">
            <w:pPr>
              <w:keepNext/>
              <w:keepLines/>
              <w:spacing w:before="60" w:after="60" w:line="264" w:lineRule="auto"/>
              <w:ind w:right="-250"/>
              <w:rPr>
                <w:b/>
                <w:color w:val="000000" w:themeColor="text1"/>
                <w14:textFill>
                  <w14:solidFill>
                    <w14:schemeClr w14:val="tx1"/>
                  </w14:solidFill>
                </w14:textFill>
              </w:rPr>
            </w:pPr>
            <w:r>
              <w:rPr>
                <w:b/>
                <w:color w:val="000000" w:themeColor="text1"/>
                <w14:textFill>
                  <w14:solidFill>
                    <w14:schemeClr w14:val="tx1"/>
                  </w14:solidFill>
                </w14:textFill>
              </w:rPr>
              <w:t xml:space="preserve">Part 3 – </w:t>
            </w:r>
            <w:r>
              <w:rPr>
                <w:b/>
                <w:color w:val="000000" w:themeColor="text1"/>
                <w:szCs w:val="24"/>
                <w14:textFill>
                  <w14:solidFill>
                    <w14:schemeClr w14:val="tx1"/>
                  </w14:solidFill>
                </w14:textFill>
              </w:rPr>
              <w:t>CONDITIONS AND FORMS OF CONTRACT</w:t>
            </w:r>
            <w:r>
              <w:rPr>
                <w:rStyle w:val="36"/>
                <w:color w:val="000000" w:themeColor="text1"/>
                <w14:textFill>
                  <w14:solidFill>
                    <w14:schemeClr w14:val="tx1"/>
                  </w14:solidFill>
                </w14:textFill>
              </w:rPr>
              <w:t xml:space="preserve">. . . . . . . . . .  . . . . </w:t>
            </w:r>
          </w:p>
        </w:tc>
        <w:tc>
          <w:tcPr>
            <w:tcW w:w="900" w:type="dxa"/>
          </w:tcPr>
          <w:p w14:paraId="708C6279">
            <w:pPr>
              <w:spacing w:before="60" w:after="60" w:line="264" w:lineRule="auto"/>
              <w:jc w:val="center"/>
              <w:rPr>
                <w:color w:val="000000" w:themeColor="text1"/>
                <w14:textFill>
                  <w14:solidFill>
                    <w14:schemeClr w14:val="tx1"/>
                  </w14:solidFill>
                </w14:textFill>
              </w:rPr>
            </w:pPr>
          </w:p>
        </w:tc>
      </w:tr>
      <w:tr w14:paraId="708C627D">
        <w:tblPrEx>
          <w:tblCellMar>
            <w:top w:w="0" w:type="dxa"/>
            <w:left w:w="108" w:type="dxa"/>
            <w:bottom w:w="0" w:type="dxa"/>
            <w:right w:w="108" w:type="dxa"/>
          </w:tblCellMar>
        </w:tblPrEx>
        <w:tc>
          <w:tcPr>
            <w:tcW w:w="8931" w:type="dxa"/>
          </w:tcPr>
          <w:p w14:paraId="708C627B">
            <w:pPr>
              <w:spacing w:before="60" w:after="60" w:line="264" w:lineRule="auto"/>
              <w:ind w:right="-250"/>
              <w:rPr>
                <w:color w:val="000000" w:themeColor="text1"/>
                <w14:textFill>
                  <w14:solidFill>
                    <w14:schemeClr w14:val="tx1"/>
                  </w14:solidFill>
                </w14:textFill>
              </w:rPr>
            </w:pPr>
            <w:r>
              <w:rPr>
                <w:color w:val="000000" w:themeColor="text1"/>
                <w14:textFill>
                  <w14:solidFill>
                    <w14:schemeClr w14:val="tx1"/>
                  </w14:solidFill>
                </w14:textFill>
              </w:rPr>
              <w:t xml:space="preserve">Section VI. </w:t>
            </w:r>
            <w:r>
              <w:rPr>
                <w:color w:val="000000" w:themeColor="text1"/>
                <w:szCs w:val="24"/>
                <w14:textFill>
                  <w14:solidFill>
                    <w14:schemeClr w14:val="tx1"/>
                  </w14:solidFill>
                </w14:textFill>
              </w:rPr>
              <w:t>General Conditions of Contract (GCC)</w:t>
            </w:r>
            <w:r>
              <w:rPr>
                <w:rStyle w:val="36"/>
                <w:color w:val="000000" w:themeColor="text1"/>
                <w14:textFill>
                  <w14:solidFill>
                    <w14:schemeClr w14:val="tx1"/>
                  </w14:solidFill>
                </w14:textFill>
              </w:rPr>
              <w:t xml:space="preserve"> . . . . . . . . . . . . . . . . . . . . . . .</w:t>
            </w:r>
          </w:p>
        </w:tc>
        <w:tc>
          <w:tcPr>
            <w:tcW w:w="900" w:type="dxa"/>
          </w:tcPr>
          <w:p w14:paraId="708C627C">
            <w:pPr>
              <w:spacing w:before="60" w:after="60" w:line="264" w:lineRule="auto"/>
              <w:jc w:val="center"/>
              <w:rPr>
                <w:color w:val="000000" w:themeColor="text1"/>
                <w14:textFill>
                  <w14:solidFill>
                    <w14:schemeClr w14:val="tx1"/>
                  </w14:solidFill>
                </w14:textFill>
              </w:rPr>
            </w:pPr>
          </w:p>
        </w:tc>
      </w:tr>
      <w:tr w14:paraId="708C6280">
        <w:tblPrEx>
          <w:tblCellMar>
            <w:top w:w="0" w:type="dxa"/>
            <w:left w:w="108" w:type="dxa"/>
            <w:bottom w:w="0" w:type="dxa"/>
            <w:right w:w="108" w:type="dxa"/>
          </w:tblCellMar>
        </w:tblPrEx>
        <w:tc>
          <w:tcPr>
            <w:tcW w:w="8931" w:type="dxa"/>
          </w:tcPr>
          <w:p w14:paraId="708C627E">
            <w:pPr>
              <w:pStyle w:val="80"/>
              <w:spacing w:before="60" w:after="60" w:line="264" w:lineRule="auto"/>
              <w:ind w:right="-250"/>
              <w:rPr>
                <w:color w:val="000000" w:themeColor="text1"/>
                <w:lang w:val="en-US" w:eastAsia="en-US"/>
                <w14:textFill>
                  <w14:solidFill>
                    <w14:schemeClr w14:val="tx1"/>
                  </w14:solidFill>
                </w14:textFill>
              </w:rPr>
            </w:pPr>
            <w:r>
              <w:rPr>
                <w:b w:val="0"/>
                <w:color w:val="000000" w:themeColor="text1"/>
                <w:lang w:val="en-US" w:eastAsia="en-US"/>
                <w14:textFill>
                  <w14:solidFill>
                    <w14:schemeClr w14:val="tx1"/>
                  </w14:solidFill>
                </w14:textFill>
              </w:rPr>
              <w:t xml:space="preserve">Section VII. </w:t>
            </w:r>
            <w:r>
              <w:rPr>
                <w:b w:val="0"/>
                <w:color w:val="000000" w:themeColor="text1"/>
                <w:szCs w:val="24"/>
                <w:lang w:val="en-US" w:eastAsia="en-US"/>
                <w14:textFill>
                  <w14:solidFill>
                    <w14:schemeClr w14:val="tx1"/>
                  </w14:solidFill>
                </w14:textFill>
              </w:rPr>
              <w:t>Special Conditions of Contract (SCC)</w:t>
            </w:r>
            <w:r>
              <w:rPr>
                <w:rStyle w:val="36"/>
                <w:b w:val="0"/>
                <w:color w:val="000000" w:themeColor="text1"/>
                <w:lang w:val="en-US" w:eastAsia="en-US"/>
                <w14:textFill>
                  <w14:solidFill>
                    <w14:schemeClr w14:val="tx1"/>
                  </w14:solidFill>
                </w14:textFill>
              </w:rPr>
              <w:t>. . . . . . . . . . . . . . . . . . . . . .</w:t>
            </w:r>
          </w:p>
        </w:tc>
        <w:tc>
          <w:tcPr>
            <w:tcW w:w="900" w:type="dxa"/>
          </w:tcPr>
          <w:p w14:paraId="708C627F">
            <w:pPr>
              <w:spacing w:before="60" w:after="60" w:line="264" w:lineRule="auto"/>
              <w:jc w:val="center"/>
              <w:rPr>
                <w:color w:val="000000" w:themeColor="text1"/>
                <w14:textFill>
                  <w14:solidFill>
                    <w14:schemeClr w14:val="tx1"/>
                  </w14:solidFill>
                </w14:textFill>
              </w:rPr>
            </w:pPr>
          </w:p>
        </w:tc>
      </w:tr>
      <w:tr w14:paraId="708C6283">
        <w:tblPrEx>
          <w:tblCellMar>
            <w:top w:w="0" w:type="dxa"/>
            <w:left w:w="108" w:type="dxa"/>
            <w:bottom w:w="0" w:type="dxa"/>
            <w:right w:w="108" w:type="dxa"/>
          </w:tblCellMar>
        </w:tblPrEx>
        <w:tc>
          <w:tcPr>
            <w:tcW w:w="8931" w:type="dxa"/>
          </w:tcPr>
          <w:p w14:paraId="708C6281">
            <w:pPr>
              <w:spacing w:before="60" w:after="60" w:line="264" w:lineRule="auto"/>
              <w:ind w:right="-250"/>
              <w:rPr>
                <w:color w:val="000000" w:themeColor="text1"/>
                <w14:textFill>
                  <w14:solidFill>
                    <w14:schemeClr w14:val="tx1"/>
                  </w14:solidFill>
                </w14:textFill>
              </w:rPr>
            </w:pPr>
            <w:r>
              <w:rPr>
                <w:bCs/>
                <w:color w:val="000000" w:themeColor="text1"/>
                <w14:textFill>
                  <w14:solidFill>
                    <w14:schemeClr w14:val="tx1"/>
                  </w14:solidFill>
                </w14:textFill>
              </w:rPr>
              <w:t>Section VIII. Contract Forms</w:t>
            </w:r>
            <w:r>
              <w:rPr>
                <w:bCs/>
                <w:color w:val="000000" w:themeColor="text1"/>
                <w:szCs w:val="24"/>
                <w14:textFill>
                  <w14:solidFill>
                    <w14:schemeClr w14:val="tx1"/>
                  </w14:solidFill>
                </w14:textFill>
              </w:rPr>
              <w:t>. . .</w:t>
            </w:r>
            <w:r>
              <w:rPr>
                <w:color w:val="000000" w:themeColor="text1"/>
                <w:szCs w:val="24"/>
                <w14:textFill>
                  <w14:solidFill>
                    <w14:schemeClr w14:val="tx1"/>
                  </w14:solidFill>
                </w14:textFill>
              </w:rPr>
              <w:t xml:space="preserve"> . . . . </w:t>
            </w:r>
            <w:r>
              <w:rPr>
                <w:rStyle w:val="36"/>
                <w:color w:val="000000" w:themeColor="text1"/>
                <w14:textFill>
                  <w14:solidFill>
                    <w14:schemeClr w14:val="tx1"/>
                  </w14:solidFill>
                </w14:textFill>
              </w:rPr>
              <w:t>. . . . . . . . . . . . . . . . . . . . . . . . . . . . . . . .</w:t>
            </w:r>
          </w:p>
        </w:tc>
        <w:tc>
          <w:tcPr>
            <w:tcW w:w="900" w:type="dxa"/>
          </w:tcPr>
          <w:p w14:paraId="708C6282">
            <w:pPr>
              <w:spacing w:before="60" w:after="60" w:line="264" w:lineRule="auto"/>
              <w:jc w:val="center"/>
              <w:rPr>
                <w:color w:val="000000" w:themeColor="text1"/>
                <w14:textFill>
                  <w14:solidFill>
                    <w14:schemeClr w14:val="tx1"/>
                  </w14:solidFill>
                </w14:textFill>
              </w:rPr>
            </w:pPr>
          </w:p>
        </w:tc>
      </w:tr>
    </w:tbl>
    <w:p w14:paraId="708C6284">
      <w:pPr>
        <w:keepNext/>
        <w:keepLines/>
        <w:rPr>
          <w:b/>
          <w:color w:val="000000" w:themeColor="text1"/>
          <w14:textFill>
            <w14:solidFill>
              <w14:schemeClr w14:val="tx1"/>
            </w14:solidFill>
          </w14:textFill>
        </w:rPr>
      </w:pPr>
    </w:p>
    <w:p w14:paraId="708C6285">
      <w:pPr>
        <w:rPr>
          <w:b/>
          <w:color w:val="000000" w:themeColor="text1"/>
          <w:spacing w:val="80"/>
          <w:kern w:val="28"/>
          <w:sz w:val="40"/>
          <w14:textFill>
            <w14:solidFill>
              <w14:schemeClr w14:val="tx1"/>
            </w14:solidFill>
          </w14:textFill>
        </w:rPr>
      </w:pPr>
    </w:p>
    <w:p w14:paraId="708C6286">
      <w:pPr>
        <w:pStyle w:val="25"/>
        <w:tabs>
          <w:tab w:val="left" w:pos="910"/>
          <w:tab w:val="center" w:pos="4536"/>
        </w:tabs>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ab/>
      </w:r>
    </w:p>
    <w:p w14:paraId="708C6287">
      <w:pPr>
        <w:rPr>
          <w:color w:val="000000" w:themeColor="text1"/>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footnotePr>
            <w:numRestart w:val="eachPage"/>
          </w:footnotePr>
          <w:pgSz w:w="11907" w:h="16840"/>
          <w:pgMar w:top="1134" w:right="1134" w:bottom="1134" w:left="1701" w:header="737" w:footer="737" w:gutter="0"/>
          <w:cols w:space="720" w:num="1"/>
        </w:sectPr>
      </w:pPr>
    </w:p>
    <w:p w14:paraId="708C6288">
      <w:pPr>
        <w:spacing w:before="20" w:after="20"/>
        <w:ind w:right="424"/>
        <w:jc w:val="center"/>
        <w:rPr>
          <w:b/>
          <w:snapToGrid w:val="0"/>
          <w:color w:val="000000" w:themeColor="text1"/>
          <w:sz w:val="26"/>
          <w:szCs w:val="26"/>
          <w14:textFill>
            <w14:solidFill>
              <w14:schemeClr w14:val="tx1"/>
            </w14:solidFill>
          </w14:textFill>
        </w:rPr>
      </w:pPr>
    </w:p>
    <w:p w14:paraId="708C6289">
      <w:pPr>
        <w:spacing w:after="0" w:line="240" w:lineRule="auto"/>
        <w:jc w:val="center"/>
        <w:rPr>
          <w:b/>
          <w:color w:val="000000" w:themeColor="text1"/>
          <w:sz w:val="26"/>
          <w:szCs w:val="26"/>
          <w14:textFill>
            <w14:solidFill>
              <w14:schemeClr w14:val="tx1"/>
            </w14:solidFill>
          </w14:textFill>
        </w:rPr>
      </w:pPr>
      <w:r>
        <w:rPr>
          <w:b/>
          <w:snapToGrid w:val="0"/>
          <w:color w:val="000000" w:themeColor="text1"/>
          <w:sz w:val="26"/>
          <w:szCs w:val="26"/>
          <w14:textFill>
            <w14:solidFill>
              <w14:schemeClr w14:val="tx1"/>
            </w14:solidFill>
          </w14:textFill>
        </w:rPr>
        <w:t>ABBREVIATIONS</w:t>
      </w:r>
    </w:p>
    <w:p w14:paraId="708C628A">
      <w:pPr>
        <w:tabs>
          <w:tab w:val="right" w:leader="dot" w:pos="8364"/>
          <w:tab w:val="right" w:pos="8789"/>
        </w:tabs>
        <w:spacing w:before="20" w:after="20"/>
        <w:ind w:right="424" w:firstLine="1134"/>
        <w:jc w:val="center"/>
        <w:rPr>
          <w:b/>
          <w:color w:val="000000" w:themeColor="text1"/>
          <w:sz w:val="26"/>
          <w:szCs w:val="26"/>
          <w14:textFill>
            <w14:solidFill>
              <w14:schemeClr w14:val="tx1"/>
            </w14:solidFill>
          </w14:textFill>
        </w:rPr>
      </w:pPr>
    </w:p>
    <w:tbl>
      <w:tblPr>
        <w:tblStyle w:val="12"/>
        <w:tblW w:w="89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6300"/>
      </w:tblGrid>
      <w:tr w14:paraId="708C6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0" w:type="dxa"/>
          </w:tcPr>
          <w:p w14:paraId="708C628B">
            <w:pPr>
              <w:widowControl w:val="0"/>
              <w:tabs>
                <w:tab w:val="left" w:pos="1260"/>
              </w:tabs>
              <w:spacing w:before="120" w:after="120" w:line="264"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ITB</w:t>
            </w:r>
          </w:p>
        </w:tc>
        <w:tc>
          <w:tcPr>
            <w:tcW w:w="6300" w:type="dxa"/>
          </w:tcPr>
          <w:p w14:paraId="708C628C">
            <w:pPr>
              <w:widowControl w:val="0"/>
              <w:tabs>
                <w:tab w:val="left" w:pos="1260"/>
              </w:tabs>
              <w:spacing w:before="120" w:after="120" w:line="264"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Instructions to Bidders</w:t>
            </w:r>
          </w:p>
        </w:tc>
      </w:tr>
      <w:tr w14:paraId="708C6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0" w:type="dxa"/>
          </w:tcPr>
          <w:p w14:paraId="708C628E">
            <w:pPr>
              <w:widowControl w:val="0"/>
              <w:tabs>
                <w:tab w:val="left" w:pos="1260"/>
              </w:tabs>
              <w:spacing w:before="120" w:after="120" w:line="264"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BDS</w:t>
            </w:r>
          </w:p>
        </w:tc>
        <w:tc>
          <w:tcPr>
            <w:tcW w:w="6300" w:type="dxa"/>
          </w:tcPr>
          <w:p w14:paraId="708C628F">
            <w:pPr>
              <w:widowControl w:val="0"/>
              <w:tabs>
                <w:tab w:val="left" w:pos="1260"/>
              </w:tabs>
              <w:spacing w:before="120" w:after="120" w:line="264"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Bid Data Sheet</w:t>
            </w:r>
          </w:p>
        </w:tc>
      </w:tr>
      <w:tr w14:paraId="708C6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0" w:type="dxa"/>
          </w:tcPr>
          <w:p w14:paraId="708C6291">
            <w:pPr>
              <w:widowControl w:val="0"/>
              <w:tabs>
                <w:tab w:val="left" w:pos="1260"/>
              </w:tabs>
              <w:spacing w:before="120" w:after="120" w:line="264"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GCC</w:t>
            </w:r>
          </w:p>
        </w:tc>
        <w:tc>
          <w:tcPr>
            <w:tcW w:w="6300" w:type="dxa"/>
          </w:tcPr>
          <w:p w14:paraId="708C6292">
            <w:pPr>
              <w:widowControl w:val="0"/>
              <w:tabs>
                <w:tab w:val="left" w:pos="1260"/>
              </w:tabs>
              <w:spacing w:before="120" w:after="120" w:line="264"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General Conditions of Contract</w:t>
            </w:r>
          </w:p>
        </w:tc>
      </w:tr>
      <w:tr w14:paraId="708C6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0" w:type="dxa"/>
          </w:tcPr>
          <w:p w14:paraId="708C6294">
            <w:pPr>
              <w:widowControl w:val="0"/>
              <w:tabs>
                <w:tab w:val="left" w:pos="1260"/>
              </w:tabs>
              <w:spacing w:before="120" w:after="120" w:line="264"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SCC</w:t>
            </w:r>
          </w:p>
        </w:tc>
        <w:tc>
          <w:tcPr>
            <w:tcW w:w="6300" w:type="dxa"/>
          </w:tcPr>
          <w:p w14:paraId="708C6295">
            <w:pPr>
              <w:widowControl w:val="0"/>
              <w:tabs>
                <w:tab w:val="left" w:pos="1260"/>
              </w:tabs>
              <w:spacing w:before="120" w:after="120" w:line="264"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Special Conditions of Contract</w:t>
            </w:r>
          </w:p>
        </w:tc>
      </w:tr>
      <w:tr w14:paraId="708C6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0" w:type="dxa"/>
          </w:tcPr>
          <w:p w14:paraId="708C6297">
            <w:pPr>
              <w:widowControl w:val="0"/>
              <w:tabs>
                <w:tab w:val="left" w:pos="1260"/>
              </w:tabs>
              <w:spacing w:before="120" w:after="120" w:line="264"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VND</w:t>
            </w:r>
          </w:p>
        </w:tc>
        <w:tc>
          <w:tcPr>
            <w:tcW w:w="6300" w:type="dxa"/>
          </w:tcPr>
          <w:p w14:paraId="708C6298">
            <w:pPr>
              <w:widowControl w:val="0"/>
              <w:tabs>
                <w:tab w:val="left" w:pos="1260"/>
              </w:tabs>
              <w:spacing w:before="120" w:after="120" w:line="264"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Vietnam Dong</w:t>
            </w:r>
          </w:p>
        </w:tc>
      </w:tr>
      <w:tr w14:paraId="708C6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0" w:type="dxa"/>
          </w:tcPr>
          <w:p w14:paraId="708C629A">
            <w:pPr>
              <w:widowControl w:val="0"/>
              <w:tabs>
                <w:tab w:val="left" w:pos="1260"/>
              </w:tabs>
              <w:spacing w:before="120" w:after="120" w:line="264"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USD</w:t>
            </w:r>
          </w:p>
        </w:tc>
        <w:tc>
          <w:tcPr>
            <w:tcW w:w="6300" w:type="dxa"/>
          </w:tcPr>
          <w:p w14:paraId="708C629B">
            <w:pPr>
              <w:widowControl w:val="0"/>
              <w:tabs>
                <w:tab w:val="left" w:pos="1260"/>
              </w:tabs>
              <w:spacing w:before="120" w:after="120" w:line="264"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United States Dollar</w:t>
            </w:r>
          </w:p>
        </w:tc>
      </w:tr>
      <w:tr w14:paraId="708C6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0" w:type="dxa"/>
          </w:tcPr>
          <w:p w14:paraId="708C629D">
            <w:pPr>
              <w:widowControl w:val="0"/>
              <w:tabs>
                <w:tab w:val="left" w:pos="1260"/>
              </w:tabs>
              <w:spacing w:before="120" w:after="120" w:line="264"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EUR</w:t>
            </w:r>
          </w:p>
        </w:tc>
        <w:tc>
          <w:tcPr>
            <w:tcW w:w="6300" w:type="dxa"/>
          </w:tcPr>
          <w:p w14:paraId="708C629E">
            <w:pPr>
              <w:widowControl w:val="0"/>
              <w:tabs>
                <w:tab w:val="left" w:pos="1260"/>
              </w:tabs>
              <w:spacing w:before="120" w:after="120" w:line="264"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Euro (the currency of European Union)</w:t>
            </w:r>
          </w:p>
        </w:tc>
      </w:tr>
      <w:tr w14:paraId="708C6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0" w:type="dxa"/>
          </w:tcPr>
          <w:p w14:paraId="708C62A0">
            <w:pPr>
              <w:widowControl w:val="0"/>
              <w:tabs>
                <w:tab w:val="left" w:pos="1260"/>
              </w:tabs>
              <w:spacing w:before="120" w:after="120" w:line="264"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BDs</w:t>
            </w:r>
          </w:p>
        </w:tc>
        <w:tc>
          <w:tcPr>
            <w:tcW w:w="6300" w:type="dxa"/>
          </w:tcPr>
          <w:p w14:paraId="708C62A1">
            <w:pPr>
              <w:widowControl w:val="0"/>
              <w:tabs>
                <w:tab w:val="left" w:pos="1260"/>
              </w:tabs>
              <w:spacing w:before="120" w:after="120" w:line="264"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Bidding documents</w:t>
            </w:r>
          </w:p>
        </w:tc>
      </w:tr>
      <w:tr w14:paraId="708C6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0" w:type="dxa"/>
          </w:tcPr>
          <w:p w14:paraId="708C62A3">
            <w:pPr>
              <w:widowControl w:val="0"/>
              <w:tabs>
                <w:tab w:val="left" w:pos="1260"/>
              </w:tabs>
              <w:spacing w:before="120" w:after="120" w:line="264"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VNEPS</w:t>
            </w:r>
          </w:p>
        </w:tc>
        <w:tc>
          <w:tcPr>
            <w:tcW w:w="6300" w:type="dxa"/>
          </w:tcPr>
          <w:p w14:paraId="708C62A4">
            <w:pPr>
              <w:widowControl w:val="0"/>
              <w:tabs>
                <w:tab w:val="left" w:pos="1260"/>
              </w:tabs>
              <w:spacing w:before="120" w:after="120" w:line="264"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Vietnam National E-Procurement System</w:t>
            </w:r>
          </w:p>
        </w:tc>
      </w:tr>
    </w:tbl>
    <w:p w14:paraId="708C62A6">
      <w:pPr>
        <w:rPr>
          <w:color w:val="000000" w:themeColor="text1"/>
          <w:sz w:val="26"/>
          <w:szCs w:val="26"/>
          <w14:textFill>
            <w14:solidFill>
              <w14:schemeClr w14:val="tx1"/>
            </w14:solidFill>
          </w14:textFill>
        </w:rPr>
      </w:pPr>
    </w:p>
    <w:p w14:paraId="708C62A7">
      <w:pPr>
        <w:spacing w:before="20" w:after="20"/>
        <w:ind w:right="424"/>
        <w:jc w:val="center"/>
        <w:rPr>
          <w:b/>
          <w:snapToGrid w:val="0"/>
          <w:color w:val="000000" w:themeColor="text1"/>
          <w:sz w:val="26"/>
          <w:szCs w:val="26"/>
          <w14:textFill>
            <w14:solidFill>
              <w14:schemeClr w14:val="tx1"/>
            </w14:solidFill>
          </w14:textFill>
        </w:rPr>
      </w:pPr>
    </w:p>
    <w:p w14:paraId="708C62A8">
      <w:pPr>
        <w:spacing w:before="20" w:after="20"/>
        <w:ind w:right="424"/>
        <w:jc w:val="center"/>
        <w:rPr>
          <w:b/>
          <w:snapToGrid w:val="0"/>
          <w:color w:val="000000" w:themeColor="text1"/>
          <w:sz w:val="26"/>
          <w:szCs w:val="26"/>
          <w14:textFill>
            <w14:solidFill>
              <w14:schemeClr w14:val="tx1"/>
            </w14:solidFill>
          </w14:textFill>
        </w:rPr>
      </w:pPr>
    </w:p>
    <w:p w14:paraId="708C62A9">
      <w:pPr>
        <w:spacing w:before="20" w:after="20"/>
        <w:ind w:right="424"/>
        <w:jc w:val="center"/>
        <w:rPr>
          <w:b/>
          <w:snapToGrid w:val="0"/>
          <w:color w:val="000000" w:themeColor="text1"/>
          <w:sz w:val="26"/>
          <w:szCs w:val="26"/>
          <w14:textFill>
            <w14:solidFill>
              <w14:schemeClr w14:val="tx1"/>
            </w14:solidFill>
          </w14:textFill>
        </w:rPr>
      </w:pPr>
    </w:p>
    <w:p w14:paraId="708C62AA">
      <w:pPr>
        <w:spacing w:before="20" w:after="20"/>
        <w:ind w:right="424"/>
        <w:jc w:val="center"/>
        <w:rPr>
          <w:b/>
          <w:snapToGrid w:val="0"/>
          <w:color w:val="000000" w:themeColor="text1"/>
          <w:sz w:val="26"/>
          <w:szCs w:val="26"/>
          <w14:textFill>
            <w14:solidFill>
              <w14:schemeClr w14:val="tx1"/>
            </w14:solidFill>
          </w14:textFill>
        </w:rPr>
      </w:pPr>
    </w:p>
    <w:p w14:paraId="708C62AB">
      <w:pPr>
        <w:spacing w:before="20" w:after="20"/>
        <w:ind w:right="424"/>
        <w:jc w:val="center"/>
        <w:rPr>
          <w:b/>
          <w:snapToGrid w:val="0"/>
          <w:color w:val="000000" w:themeColor="text1"/>
          <w:sz w:val="26"/>
          <w:szCs w:val="26"/>
          <w14:textFill>
            <w14:solidFill>
              <w14:schemeClr w14:val="tx1"/>
            </w14:solidFill>
          </w14:textFill>
        </w:rPr>
      </w:pPr>
    </w:p>
    <w:p w14:paraId="708C62AC">
      <w:pPr>
        <w:spacing w:before="20" w:after="20"/>
        <w:ind w:right="424"/>
        <w:jc w:val="center"/>
        <w:rPr>
          <w:b/>
          <w:snapToGrid w:val="0"/>
          <w:color w:val="000000" w:themeColor="text1"/>
          <w:sz w:val="26"/>
          <w:szCs w:val="26"/>
          <w14:textFill>
            <w14:solidFill>
              <w14:schemeClr w14:val="tx1"/>
            </w14:solidFill>
          </w14:textFill>
        </w:rPr>
      </w:pPr>
    </w:p>
    <w:p w14:paraId="708C62AD">
      <w:pPr>
        <w:spacing w:before="20" w:after="20"/>
        <w:ind w:right="424"/>
        <w:jc w:val="center"/>
        <w:rPr>
          <w:b/>
          <w:snapToGrid w:val="0"/>
          <w:color w:val="000000" w:themeColor="text1"/>
          <w:sz w:val="26"/>
          <w:szCs w:val="26"/>
          <w14:textFill>
            <w14:solidFill>
              <w14:schemeClr w14:val="tx1"/>
            </w14:solidFill>
          </w14:textFill>
        </w:rPr>
      </w:pPr>
    </w:p>
    <w:p w14:paraId="708C62AE">
      <w:pPr>
        <w:spacing w:after="0" w:line="240" w:lineRule="auto"/>
        <w:jc w:val="center"/>
        <w:rPr>
          <w:b/>
          <w:color w:val="000000" w:themeColor="text1"/>
          <w:sz w:val="26"/>
          <w:szCs w:val="26"/>
          <w14:textFill>
            <w14:solidFill>
              <w14:schemeClr w14:val="tx1"/>
            </w14:solidFill>
          </w14:textFill>
        </w:rPr>
      </w:pPr>
      <w:r>
        <w:rPr>
          <w:b/>
          <w:snapToGrid w:val="0"/>
          <w:color w:val="000000" w:themeColor="text1"/>
          <w:sz w:val="26"/>
          <w:szCs w:val="26"/>
          <w14:textFill>
            <w14:solidFill>
              <w14:schemeClr w14:val="tx1"/>
            </w14:solidFill>
          </w14:textFill>
        </w:rPr>
        <w:br w:type="page"/>
      </w:r>
      <w:r>
        <w:rPr>
          <w:b/>
          <w:color w:val="000000" w:themeColor="text1"/>
          <w:sz w:val="26"/>
          <w:szCs w:val="26"/>
          <w14:textFill>
            <w14:solidFill>
              <w14:schemeClr w14:val="tx1"/>
            </w14:solidFill>
          </w14:textFill>
        </w:rPr>
        <w:t>Part 1.</w:t>
      </w:r>
      <w:bookmarkStart w:id="0" w:name="_Toc415063584"/>
      <w:r>
        <w:rPr>
          <w:b/>
          <w:color w:val="000000" w:themeColor="text1"/>
          <w:sz w:val="26"/>
          <w:szCs w:val="26"/>
          <w14:textFill>
            <w14:solidFill>
              <w14:schemeClr w14:val="tx1"/>
            </w14:solidFill>
          </w14:textFill>
        </w:rPr>
        <w:t xml:space="preserve"> BIDDING PROCEDURES</w:t>
      </w:r>
      <w:bookmarkEnd w:id="0"/>
    </w:p>
    <w:p w14:paraId="708C62AF">
      <w:pPr>
        <w:widowControl w:val="0"/>
        <w:spacing w:before="120" w:after="120" w:line="264" w:lineRule="auto"/>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Section I. INSTRUCTION TO BIDDERS</w:t>
      </w:r>
    </w:p>
    <w:tbl>
      <w:tblPr>
        <w:tblStyle w:val="12"/>
        <w:tblW w:w="949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7230"/>
      </w:tblGrid>
      <w:tr w14:paraId="708C6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2B0">
            <w:pPr>
              <w:widowControl w:val="0"/>
              <w:spacing w:before="60" w:after="60" w:line="240" w:lineRule="auto"/>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1. Scope of bid </w:t>
            </w:r>
          </w:p>
        </w:tc>
        <w:tc>
          <w:tcPr>
            <w:tcW w:w="7230" w:type="dxa"/>
          </w:tcPr>
          <w:p w14:paraId="708C62B1">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1.1.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as specified in </w:t>
            </w:r>
            <w:r>
              <w:rPr>
                <w:bCs/>
                <w:color w:val="000000" w:themeColor="text1"/>
                <w:spacing w:val="0"/>
                <w:sz w:val="26"/>
                <w:szCs w:val="26"/>
                <w14:textFill>
                  <w14:solidFill>
                    <w14:schemeClr w14:val="tx1"/>
                  </w14:solidFill>
                </w14:textFill>
              </w:rPr>
              <w:t xml:space="preserve">the </w:t>
            </w:r>
            <w:r>
              <w:rPr>
                <w:b/>
                <w:color w:val="000000" w:themeColor="text1"/>
                <w:spacing w:val="0"/>
                <w:sz w:val="26"/>
                <w:szCs w:val="26"/>
                <w14:textFill>
                  <w14:solidFill>
                    <w14:schemeClr w14:val="tx1"/>
                  </w14:solidFill>
                </w14:textFill>
              </w:rPr>
              <w:t>BDS</w:t>
            </w:r>
            <w:r>
              <w:rPr>
                <w:color w:val="000000" w:themeColor="text1"/>
                <w:spacing w:val="0"/>
                <w:sz w:val="26"/>
                <w:szCs w:val="26"/>
                <w14:textFill>
                  <w14:solidFill>
                    <w14:schemeClr w14:val="tx1"/>
                  </w14:solidFill>
                </w14:textFill>
              </w:rPr>
              <w:t xml:space="preserve"> issues the Bidding Document for selection of Bidder to supply of goods by the one-stage, one-envelope method.</w:t>
            </w:r>
          </w:p>
          <w:p w14:paraId="708C62B2">
            <w:pPr>
              <w:pStyle w:val="86"/>
              <w:widowControl w:val="0"/>
              <w:spacing w:before="60" w:after="6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1.2. Name of the package, the number and identification of lots (in case there are lots comprising the package) are provided in the </w:t>
            </w:r>
            <w:r>
              <w:rPr>
                <w:b/>
                <w:color w:val="000000" w:themeColor="text1"/>
                <w:spacing w:val="0"/>
                <w:sz w:val="26"/>
                <w:szCs w:val="26"/>
                <w14:textFill>
                  <w14:solidFill>
                    <w14:schemeClr w14:val="tx1"/>
                  </w14:solidFill>
                </w14:textFill>
              </w:rPr>
              <w:t>BDS.</w:t>
            </w:r>
          </w:p>
        </w:tc>
      </w:tr>
      <w:tr w14:paraId="708C6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2B4">
            <w:pPr>
              <w:widowControl w:val="0"/>
              <w:shd w:val="clear" w:color="auto" w:fill="FFFFFF"/>
              <w:spacing w:before="40" w:after="40" w:line="240" w:lineRule="auto"/>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2. Definition</w:t>
            </w:r>
          </w:p>
        </w:tc>
        <w:tc>
          <w:tcPr>
            <w:tcW w:w="7230" w:type="dxa"/>
          </w:tcPr>
          <w:p w14:paraId="708C62B5">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2.1. Bid closing date is the deadline date for submission of bid.</w:t>
            </w:r>
          </w:p>
          <w:p w14:paraId="708C62B6">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2.2. Day is calendar day, including weekends, holiday, Tet holiday specified by labor law.</w:t>
            </w:r>
          </w:p>
          <w:p w14:paraId="708C62B7">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2.3. Time and date on Vietnam National E-Procurement System (VNEPS) is the time and date displayed on VNEPS (GMT+7).</w:t>
            </w:r>
          </w:p>
        </w:tc>
      </w:tr>
      <w:tr w14:paraId="708C6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2B9">
            <w:pPr>
              <w:widowControl w:val="0"/>
              <w:spacing w:before="60" w:after="60" w:line="240" w:lineRule="auto"/>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3. Source of Funds</w:t>
            </w:r>
          </w:p>
        </w:tc>
        <w:tc>
          <w:tcPr>
            <w:tcW w:w="7230" w:type="dxa"/>
          </w:tcPr>
          <w:p w14:paraId="708C62BA">
            <w:pPr>
              <w:widowControl w:val="0"/>
              <w:spacing w:before="60" w:after="6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Source of funds (or method of fund arrangement) for performing the package is specified in the </w:t>
            </w:r>
            <w:r>
              <w:rPr>
                <w:b/>
                <w:color w:val="000000" w:themeColor="text1"/>
                <w:sz w:val="26"/>
                <w:szCs w:val="26"/>
                <w14:textFill>
                  <w14:solidFill>
                    <w14:schemeClr w14:val="tx1"/>
                  </w14:solidFill>
                </w14:textFill>
              </w:rPr>
              <w:t>BDS</w:t>
            </w:r>
            <w:r>
              <w:rPr>
                <w:color w:val="000000" w:themeColor="text1"/>
                <w:sz w:val="26"/>
                <w:szCs w:val="26"/>
                <w14:textFill>
                  <w14:solidFill>
                    <w14:schemeClr w14:val="tx1"/>
                  </w14:solidFill>
                </w14:textFill>
              </w:rPr>
              <w:t>.</w:t>
            </w:r>
          </w:p>
        </w:tc>
      </w:tr>
      <w:tr w14:paraId="708C6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2BC">
            <w:pPr>
              <w:rPr>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4. Prohibited practices </w:t>
            </w:r>
          </w:p>
        </w:tc>
        <w:tc>
          <w:tcPr>
            <w:tcW w:w="7230" w:type="dxa"/>
            <w:vAlign w:val="center"/>
          </w:tcPr>
          <w:p w14:paraId="708C62BD">
            <w:pPr>
              <w:widowControl w:val="0"/>
              <w:shd w:val="clear" w:color="auto" w:fill="FFFFFF"/>
              <w:spacing w:before="40" w:after="40" w:line="240" w:lineRule="auto"/>
              <w:ind w:left="17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4.1. Offering, receiving, brokering a bribe. </w:t>
            </w:r>
          </w:p>
          <w:p w14:paraId="708C62BE">
            <w:pPr>
              <w:widowControl w:val="0"/>
              <w:shd w:val="clear" w:color="auto" w:fill="FFFFFF"/>
              <w:tabs>
                <w:tab w:val="left" w:pos="851"/>
                <w:tab w:val="left" w:pos="1080"/>
              </w:tabs>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4.2. Abusing one’s position and power to illegally influence, intervene with bidding activities in</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any form.</w:t>
            </w:r>
          </w:p>
          <w:p w14:paraId="708C62BF">
            <w:pPr>
              <w:widowControl w:val="0"/>
              <w:tabs>
                <w:tab w:val="left" w:pos="956"/>
              </w:tabs>
              <w:autoSpaceDE w:val="0"/>
              <w:autoSpaceDN w:val="0"/>
              <w:spacing w:before="116"/>
              <w:ind w:left="17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4.3. Collusive</w:t>
            </w:r>
            <w:r>
              <w:rPr>
                <w:color w:val="000000" w:themeColor="text1"/>
                <w:spacing w:val="-2"/>
                <w:sz w:val="26"/>
                <w:szCs w:val="26"/>
                <w14:textFill>
                  <w14:solidFill>
                    <w14:schemeClr w14:val="tx1"/>
                  </w14:solidFill>
                </w14:textFill>
              </w:rPr>
              <w:t xml:space="preserve"> </w:t>
            </w:r>
            <w:r>
              <w:rPr>
                <w:color w:val="000000" w:themeColor="text1"/>
                <w:sz w:val="26"/>
                <w:szCs w:val="26"/>
                <w14:textFill>
                  <w14:solidFill>
                    <w14:schemeClr w14:val="tx1"/>
                  </w14:solidFill>
                </w14:textFill>
              </w:rPr>
              <w:t>bidding,</w:t>
            </w:r>
            <w:r>
              <w:rPr>
                <w:color w:val="000000" w:themeColor="text1"/>
                <w:spacing w:val="-6"/>
                <w:sz w:val="26"/>
                <w:szCs w:val="26"/>
                <w14:textFill>
                  <w14:solidFill>
                    <w14:schemeClr w14:val="tx1"/>
                  </w14:solidFill>
                </w14:textFill>
              </w:rPr>
              <w:t xml:space="preserve"> </w:t>
            </w:r>
            <w:r>
              <w:rPr>
                <w:color w:val="000000" w:themeColor="text1"/>
                <w:sz w:val="26"/>
                <w:szCs w:val="26"/>
                <w14:textFill>
                  <w14:solidFill>
                    <w14:schemeClr w14:val="tx1"/>
                  </w14:solidFill>
                </w14:textFill>
              </w:rPr>
              <w:t>including</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the</w:t>
            </w:r>
            <w:r>
              <w:rPr>
                <w:color w:val="000000" w:themeColor="text1"/>
                <w:spacing w:val="-6"/>
                <w:sz w:val="26"/>
                <w:szCs w:val="26"/>
                <w14:textFill>
                  <w14:solidFill>
                    <w14:schemeClr w14:val="tx1"/>
                  </w14:solidFill>
                </w14:textFill>
              </w:rPr>
              <w:t xml:space="preserve"> </w:t>
            </w:r>
            <w:r>
              <w:rPr>
                <w:color w:val="000000" w:themeColor="text1"/>
                <w:sz w:val="26"/>
                <w:szCs w:val="26"/>
                <w14:textFill>
                  <w14:solidFill>
                    <w14:schemeClr w14:val="tx1"/>
                  </w14:solidFill>
                </w14:textFill>
              </w:rPr>
              <w:t>following</w:t>
            </w:r>
            <w:r>
              <w:rPr>
                <w:color w:val="000000" w:themeColor="text1"/>
                <w:spacing w:val="-7"/>
                <w:sz w:val="26"/>
                <w:szCs w:val="26"/>
                <w14:textFill>
                  <w14:solidFill>
                    <w14:schemeClr w14:val="tx1"/>
                  </w14:solidFill>
                </w14:textFill>
              </w:rPr>
              <w:t xml:space="preserve"> </w:t>
            </w:r>
            <w:r>
              <w:rPr>
                <w:color w:val="000000" w:themeColor="text1"/>
                <w:sz w:val="26"/>
                <w:szCs w:val="26"/>
                <w14:textFill>
                  <w14:solidFill>
                    <w14:schemeClr w14:val="tx1"/>
                  </w14:solidFill>
                </w14:textFill>
              </w:rPr>
              <w:t xml:space="preserve">acts/cases: </w:t>
            </w:r>
          </w:p>
          <w:p w14:paraId="708C62C0">
            <w:pPr>
              <w:pStyle w:val="60"/>
              <w:widowControl w:val="0"/>
              <w:shd w:val="clear" w:color="auto" w:fill="FFFFFF"/>
              <w:tabs>
                <w:tab w:val="left" w:pos="851"/>
                <w:tab w:val="left" w:pos="1080"/>
              </w:tabs>
              <w:spacing w:before="40" w:beforeAutospacing="0" w:after="40" w:afterAutospacing="0"/>
              <w:ind w:left="170"/>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a) Making an arrangement or entering into an agreement for, or forcing, one or more than one party to prepare Bids or withdraw Bids so that one party will win the bid;</w:t>
            </w:r>
          </w:p>
          <w:p w14:paraId="708C62C1">
            <w:pPr>
              <w:pStyle w:val="60"/>
              <w:widowControl w:val="0"/>
              <w:shd w:val="clear" w:color="auto" w:fill="FFFFFF"/>
              <w:tabs>
                <w:tab w:val="left" w:pos="851"/>
                <w:tab w:val="left" w:pos="1080"/>
              </w:tabs>
              <w:spacing w:before="40" w:beforeAutospacing="0" w:after="40" w:afterAutospacing="0"/>
              <w:ind w:left="170"/>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b) Making an arrangement or entering into agreement to refuse to provide goods or services or not to sign subcontractor agreements or to make other forms of agreement in order to suppress competition so that one party will win the bid;</w:t>
            </w:r>
          </w:p>
          <w:p w14:paraId="708C62C2">
            <w:pPr>
              <w:pStyle w:val="60"/>
              <w:widowControl w:val="0"/>
              <w:shd w:val="clear" w:color="auto" w:fill="FFFFFF"/>
              <w:tabs>
                <w:tab w:val="left" w:pos="851"/>
                <w:tab w:val="left" w:pos="1080"/>
              </w:tabs>
              <w:spacing w:before="40" w:beforeAutospacing="0" w:after="40" w:afterAutospacing="0"/>
              <w:ind w:left="170"/>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c) Capable and experienced Bidders have participated in the bidding and satisfied requirements of BDs but intentionally refused to provide documents to prove their capacity and experience when requested by the Purchaser to clarify their Bids or when requested to compare documents in order to create conditions for one party to win the bid.</w:t>
            </w:r>
          </w:p>
          <w:p w14:paraId="708C62C3">
            <w:pPr>
              <w:widowControl w:val="0"/>
              <w:shd w:val="clear" w:color="auto" w:fill="FFFFFF"/>
              <w:tabs>
                <w:tab w:val="left" w:pos="851"/>
                <w:tab w:val="left" w:pos="1080"/>
              </w:tabs>
              <w:spacing w:before="40" w:after="40" w:line="240" w:lineRule="auto"/>
              <w:ind w:left="17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4.4. Frauds, including the following practices: </w:t>
            </w:r>
          </w:p>
          <w:p w14:paraId="708C62C4">
            <w:pPr>
              <w:pStyle w:val="97"/>
              <w:widowControl w:val="0"/>
              <w:shd w:val="clear" w:color="auto" w:fill="FFFFFF"/>
              <w:tabs>
                <w:tab w:val="left" w:pos="434"/>
                <w:tab w:val="left" w:pos="851"/>
              </w:tabs>
              <w:spacing w:before="40" w:after="40"/>
              <w:ind w:left="170"/>
              <w:contextualSpacing w:val="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 Forging</w:t>
            </w:r>
            <w:r>
              <w:rPr>
                <w:color w:val="000000" w:themeColor="text1"/>
                <w:spacing w:val="-2"/>
                <w:sz w:val="26"/>
                <w:szCs w:val="26"/>
                <w14:textFill>
                  <w14:solidFill>
                    <w14:schemeClr w14:val="tx1"/>
                  </w14:solidFill>
                </w14:textFill>
              </w:rPr>
              <w:t xml:space="preserve"> </w:t>
            </w:r>
            <w:r>
              <w:rPr>
                <w:color w:val="000000" w:themeColor="text1"/>
                <w:sz w:val="26"/>
                <w:szCs w:val="26"/>
                <w14:textFill>
                  <w14:solidFill>
                    <w14:schemeClr w14:val="tx1"/>
                  </w14:solidFill>
                </w14:textFill>
              </w:rPr>
              <w:t>or</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falsifying</w:t>
            </w:r>
            <w:r>
              <w:rPr>
                <w:color w:val="000000" w:themeColor="text1"/>
                <w:spacing w:val="-3"/>
                <w:sz w:val="26"/>
                <w:szCs w:val="26"/>
                <w14:textFill>
                  <w14:solidFill>
                    <w14:schemeClr w14:val="tx1"/>
                  </w14:solidFill>
                </w14:textFill>
              </w:rPr>
              <w:t xml:space="preserve"> </w:t>
            </w:r>
            <w:r>
              <w:rPr>
                <w:color w:val="000000" w:themeColor="text1"/>
                <w:sz w:val="26"/>
                <w:szCs w:val="26"/>
                <w14:textFill>
                  <w14:solidFill>
                    <w14:schemeClr w14:val="tx1"/>
                  </w14:solidFill>
                </w14:textFill>
              </w:rPr>
              <w:t>information,</w:t>
            </w:r>
            <w:r>
              <w:rPr>
                <w:color w:val="000000" w:themeColor="text1"/>
                <w:spacing w:val="-2"/>
                <w:sz w:val="26"/>
                <w:szCs w:val="26"/>
                <w14:textFill>
                  <w14:solidFill>
                    <w14:schemeClr w14:val="tx1"/>
                  </w14:solidFill>
                </w14:textFill>
              </w:rPr>
              <w:t xml:space="preserve"> </w:t>
            </w:r>
            <w:r>
              <w:rPr>
                <w:color w:val="000000" w:themeColor="text1"/>
                <w:sz w:val="26"/>
                <w:szCs w:val="26"/>
                <w14:textFill>
                  <w14:solidFill>
                    <w14:schemeClr w14:val="tx1"/>
                  </w14:solidFill>
                </w14:textFill>
              </w:rPr>
              <w:t>dossiers</w:t>
            </w:r>
            <w:r>
              <w:rPr>
                <w:color w:val="000000" w:themeColor="text1"/>
                <w:spacing w:val="-7"/>
                <w:sz w:val="26"/>
                <w:szCs w:val="26"/>
                <w14:textFill>
                  <w14:solidFill>
                    <w14:schemeClr w14:val="tx1"/>
                  </w14:solidFill>
                </w14:textFill>
              </w:rPr>
              <w:t xml:space="preserve"> </w:t>
            </w:r>
            <w:r>
              <w:rPr>
                <w:color w:val="000000" w:themeColor="text1"/>
                <w:sz w:val="26"/>
                <w:szCs w:val="26"/>
                <w14:textFill>
                  <w14:solidFill>
                    <w14:schemeClr w14:val="tx1"/>
                  </w14:solidFill>
                </w14:textFill>
              </w:rPr>
              <w:t>and</w:t>
            </w:r>
            <w:r>
              <w:rPr>
                <w:color w:val="000000" w:themeColor="text1"/>
                <w:spacing w:val="-2"/>
                <w:sz w:val="26"/>
                <w:szCs w:val="26"/>
                <w14:textFill>
                  <w14:solidFill>
                    <w14:schemeClr w14:val="tx1"/>
                  </w14:solidFill>
                </w14:textFill>
              </w:rPr>
              <w:t xml:space="preserve"> </w:t>
            </w:r>
            <w:r>
              <w:rPr>
                <w:color w:val="000000" w:themeColor="text1"/>
                <w:sz w:val="26"/>
                <w:szCs w:val="26"/>
                <w14:textFill>
                  <w14:solidFill>
                    <w14:schemeClr w14:val="tx1"/>
                  </w14:solidFill>
                </w14:textFill>
              </w:rPr>
              <w:t>documents</w:t>
            </w:r>
            <w:r>
              <w:rPr>
                <w:color w:val="000000" w:themeColor="text1"/>
                <w:spacing w:val="-2"/>
                <w:sz w:val="26"/>
                <w:szCs w:val="26"/>
                <w14:textFill>
                  <w14:solidFill>
                    <w14:schemeClr w14:val="tx1"/>
                  </w14:solidFill>
                </w14:textFill>
              </w:rPr>
              <w:t xml:space="preserve"> </w:t>
            </w:r>
            <w:r>
              <w:rPr>
                <w:color w:val="000000" w:themeColor="text1"/>
                <w:sz w:val="26"/>
                <w:szCs w:val="26"/>
                <w14:textFill>
                  <w14:solidFill>
                    <w14:schemeClr w14:val="tx1"/>
                  </w14:solidFill>
                </w14:textFill>
              </w:rPr>
              <w:t>in</w:t>
            </w:r>
            <w:r>
              <w:rPr>
                <w:color w:val="000000" w:themeColor="text1"/>
                <w:spacing w:val="-3"/>
                <w:sz w:val="26"/>
                <w:szCs w:val="26"/>
                <w14:textFill>
                  <w14:solidFill>
                    <w14:schemeClr w14:val="tx1"/>
                  </w14:solidFill>
                </w14:textFill>
              </w:rPr>
              <w:t xml:space="preserve"> </w:t>
            </w:r>
            <w:r>
              <w:rPr>
                <w:color w:val="000000" w:themeColor="text1"/>
                <w:sz w:val="26"/>
                <w:szCs w:val="26"/>
                <w14:textFill>
                  <w14:solidFill>
                    <w14:schemeClr w14:val="tx1"/>
                  </w14:solidFill>
                </w14:textFill>
              </w:rPr>
              <w:t xml:space="preserve">bidding; </w:t>
            </w:r>
          </w:p>
          <w:p w14:paraId="708C62C5">
            <w:pPr>
              <w:pStyle w:val="97"/>
              <w:widowControl w:val="0"/>
              <w:shd w:val="clear" w:color="auto" w:fill="FFFFFF"/>
              <w:tabs>
                <w:tab w:val="left" w:pos="434"/>
                <w:tab w:val="left" w:pos="851"/>
              </w:tabs>
              <w:spacing w:before="40" w:after="40"/>
              <w:ind w:left="170"/>
              <w:contextualSpacing w:val="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 Intentionally</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providing</w:t>
            </w:r>
            <w:r>
              <w:rPr>
                <w:color w:val="000000" w:themeColor="text1"/>
                <w:spacing w:val="1"/>
                <w:sz w:val="26"/>
                <w:szCs w:val="26"/>
                <w14:textFill>
                  <w14:solidFill>
                    <w14:schemeClr w14:val="tx1"/>
                  </w14:solidFill>
                </w14:textFill>
              </w:rPr>
              <w:t xml:space="preserve"> un</w:t>
            </w:r>
            <w:r>
              <w:rPr>
                <w:color w:val="000000" w:themeColor="text1"/>
                <w:sz w:val="26"/>
                <w:szCs w:val="26"/>
                <w14:textFill>
                  <w14:solidFill>
                    <w14:schemeClr w14:val="tx1"/>
                  </w14:solidFill>
                </w14:textFill>
              </w:rPr>
              <w:t>truthful</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or</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non-objective</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information</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and</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documents</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in</w:t>
            </w:r>
            <w:r>
              <w:rPr>
                <w:color w:val="000000" w:themeColor="text1"/>
                <w:spacing w:val="1"/>
                <w:sz w:val="26"/>
                <w:szCs w:val="26"/>
                <w14:textFill>
                  <w14:solidFill>
                    <w14:schemeClr w14:val="tx1"/>
                  </w14:solidFill>
                </w14:textFill>
              </w:rPr>
              <w:t xml:space="preserve"> Bid</w:t>
            </w:r>
            <w:r>
              <w:rPr>
                <w:color w:val="000000" w:themeColor="text1"/>
                <w:sz w:val="26"/>
                <w:szCs w:val="26"/>
                <w14:textFill>
                  <w14:solidFill>
                    <w14:schemeClr w14:val="tx1"/>
                  </w14:solidFill>
                </w14:textFill>
              </w:rPr>
              <w:t>s</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in</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order</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to</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falsify</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bidder</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 xml:space="preserve">selection results; </w:t>
            </w:r>
          </w:p>
          <w:p w14:paraId="708C62C6">
            <w:pPr>
              <w:pStyle w:val="97"/>
              <w:widowControl w:val="0"/>
              <w:shd w:val="clear" w:color="auto" w:fill="FFFFFF"/>
              <w:tabs>
                <w:tab w:val="left" w:pos="434"/>
                <w:tab w:val="left" w:pos="851"/>
              </w:tabs>
              <w:spacing w:before="40" w:after="40"/>
              <w:ind w:left="170"/>
              <w:contextualSpacing w:val="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4.5. </w:t>
            </w:r>
            <w:r>
              <w:rPr>
                <w:rFonts w:eastAsia="Calibri"/>
                <w:color w:val="000000" w:themeColor="text1"/>
                <w:sz w:val="26"/>
                <w:szCs w:val="26"/>
                <w14:textFill>
                  <w14:solidFill>
                    <w14:schemeClr w14:val="tx1"/>
                  </w14:solidFill>
                </w14:textFill>
              </w:rPr>
              <w:t xml:space="preserve">Obstruction, including the following practices: </w:t>
            </w:r>
          </w:p>
          <w:p w14:paraId="708C62C7">
            <w:pPr>
              <w:pStyle w:val="97"/>
              <w:widowControl w:val="0"/>
              <w:shd w:val="clear" w:color="auto" w:fill="FFFFFF"/>
              <w:tabs>
                <w:tab w:val="left" w:pos="434"/>
                <w:tab w:val="left" w:pos="851"/>
                <w:tab w:val="left" w:pos="1080"/>
              </w:tabs>
              <w:spacing w:before="40" w:after="40"/>
              <w:ind w:left="170"/>
              <w:contextualSpacing w:val="0"/>
              <w:rPr>
                <w:rFonts w:eastAsia="Calibr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a) </w:t>
            </w:r>
            <w:r>
              <w:rPr>
                <w:rFonts w:eastAsia="Calibri"/>
                <w:color w:val="000000" w:themeColor="text1"/>
                <w:sz w:val="26"/>
                <w:szCs w:val="26"/>
                <w14:textFill>
                  <w14:solidFill>
                    <w14:schemeClr w14:val="tx1"/>
                  </w14:solidFill>
                </w14:textFill>
              </w:rPr>
              <w:t>Destroying, deceiving, altering, concealing of evidence or misreporting; threatening, harassing or suggesting to any party in order to impede investigations on giving, accepting or brokering a bribe or collusive practices with the agency having authority, function of oversight, examination, inspection, auditing;</w:t>
            </w:r>
          </w:p>
          <w:p w14:paraId="708C62C8">
            <w:pPr>
              <w:pStyle w:val="97"/>
              <w:widowControl w:val="0"/>
              <w:shd w:val="clear" w:color="auto" w:fill="FFFFFF"/>
              <w:tabs>
                <w:tab w:val="left" w:pos="434"/>
                <w:tab w:val="left" w:pos="851"/>
              </w:tabs>
              <w:spacing w:before="40" w:after="40"/>
              <w:ind w:left="170"/>
              <w:contextualSpacing w:val="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 Obstructive practices against the competent agency, the Purchaser,</w:t>
            </w:r>
            <w:r>
              <w:rPr>
                <w:rFonts w:eastAsia="Calibri"/>
                <w:color w:val="000000" w:themeColor="text1"/>
                <w:sz w:val="26"/>
                <w:szCs w:val="26"/>
                <w14:textFill>
                  <w14:solidFill>
                    <w14:schemeClr w14:val="tx1"/>
                  </w14:solidFill>
                </w14:textFill>
              </w:rPr>
              <w:t xml:space="preserve"> </w:t>
            </w:r>
            <w:r>
              <w:rPr>
                <w:color w:val="000000" w:themeColor="text1"/>
                <w:sz w:val="26"/>
                <w:szCs w:val="26"/>
                <w14:textFill>
                  <w14:solidFill>
                    <w14:schemeClr w14:val="tx1"/>
                  </w14:solidFill>
                </w14:textFill>
              </w:rPr>
              <w:t>the bidders in the bidder selection;</w:t>
            </w:r>
          </w:p>
          <w:p w14:paraId="708C62C9">
            <w:pPr>
              <w:pStyle w:val="97"/>
              <w:widowControl w:val="0"/>
              <w:shd w:val="clear" w:color="auto" w:fill="FFFFFF"/>
              <w:tabs>
                <w:tab w:val="left" w:pos="434"/>
                <w:tab w:val="left" w:pos="851"/>
              </w:tabs>
              <w:spacing w:before="40" w:after="40"/>
              <w:ind w:left="170"/>
              <w:contextualSpacing w:val="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 Obstructing the supervision, examination, inspection and audit of bidding activities by competent agencies;</w:t>
            </w:r>
          </w:p>
          <w:p w14:paraId="708C62CA">
            <w:pPr>
              <w:pStyle w:val="97"/>
              <w:widowControl w:val="0"/>
              <w:shd w:val="clear" w:color="auto" w:fill="FFFFFF"/>
              <w:tabs>
                <w:tab w:val="left" w:pos="434"/>
                <w:tab w:val="left" w:pos="851"/>
              </w:tabs>
              <w:spacing w:before="40" w:after="40"/>
              <w:ind w:left="170"/>
              <w:contextualSpacing w:val="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d) Intentionally</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making</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false</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complaints,</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denunciations</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or</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petitions</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to</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obstruct bidding</w:t>
            </w:r>
            <w:r>
              <w:rPr>
                <w:color w:val="000000" w:themeColor="text1"/>
                <w:spacing w:val="-6"/>
                <w:sz w:val="26"/>
                <w:szCs w:val="26"/>
                <w14:textFill>
                  <w14:solidFill>
                    <w14:schemeClr w14:val="tx1"/>
                  </w14:solidFill>
                </w14:textFill>
              </w:rPr>
              <w:t xml:space="preserve"> </w:t>
            </w:r>
            <w:r>
              <w:rPr>
                <w:color w:val="000000" w:themeColor="text1"/>
                <w:sz w:val="26"/>
                <w:szCs w:val="26"/>
                <w14:textFill>
                  <w14:solidFill>
                    <w14:schemeClr w14:val="tx1"/>
                  </w14:solidFill>
                </w14:textFill>
              </w:rPr>
              <w:t>activities;</w:t>
            </w:r>
          </w:p>
          <w:p w14:paraId="708C62CB">
            <w:pPr>
              <w:pStyle w:val="97"/>
              <w:widowControl w:val="0"/>
              <w:shd w:val="clear" w:color="auto" w:fill="FFFFFF"/>
              <w:tabs>
                <w:tab w:val="left" w:pos="434"/>
                <w:tab w:val="left" w:pos="851"/>
              </w:tabs>
              <w:spacing w:before="40" w:after="40"/>
              <w:ind w:left="170"/>
              <w:contextualSpacing w:val="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e) There are acts of violating the law on network safety and security to interfere and obstruct online bidding</w:t>
            </w:r>
          </w:p>
          <w:p w14:paraId="708C62CC">
            <w:pPr>
              <w:pStyle w:val="97"/>
              <w:widowControl w:val="0"/>
              <w:shd w:val="clear" w:color="auto" w:fill="FFFFFF"/>
              <w:tabs>
                <w:tab w:val="left" w:pos="434"/>
                <w:tab w:val="left" w:pos="851"/>
              </w:tabs>
              <w:spacing w:before="40" w:after="40"/>
              <w:ind w:left="170"/>
              <w:contextualSpacing w:val="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4.6. Failing to ensure fairness, transparency, </w:t>
            </w:r>
            <w:r>
              <w:rPr>
                <w:rFonts w:eastAsia="Calibri"/>
                <w:color w:val="000000" w:themeColor="text1"/>
                <w:sz w:val="26"/>
                <w:szCs w:val="26"/>
                <w14:textFill>
                  <w14:solidFill>
                    <w14:schemeClr w14:val="tx1"/>
                  </w14:solidFill>
                </w14:textFill>
              </w:rPr>
              <w:t xml:space="preserve">including the </w:t>
            </w:r>
            <w:r>
              <w:rPr>
                <w:color w:val="000000" w:themeColor="text1"/>
                <w:sz w:val="26"/>
                <w:szCs w:val="26"/>
                <w14:textFill>
                  <w14:solidFill>
                    <w14:schemeClr w14:val="tx1"/>
                  </w14:solidFill>
                </w14:textFill>
              </w:rPr>
              <w:t>following practices:</w:t>
            </w:r>
          </w:p>
          <w:p w14:paraId="708C62CD">
            <w:pPr>
              <w:pStyle w:val="97"/>
              <w:widowControl w:val="0"/>
              <w:shd w:val="clear" w:color="auto" w:fill="FFFFFF"/>
              <w:tabs>
                <w:tab w:val="left" w:pos="434"/>
                <w:tab w:val="left" w:pos="851"/>
              </w:tabs>
              <w:spacing w:before="40" w:after="40"/>
              <w:ind w:left="170"/>
              <w:contextualSpacing w:val="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a) One participates in bidding as a bidder for the bidding package for which it/he/she acts as the </w:t>
            </w:r>
            <w:r>
              <w:rPr>
                <w:rFonts w:eastAsia="Calibri"/>
                <w:color w:val="000000" w:themeColor="text1"/>
                <w:sz w:val="26"/>
                <w:szCs w:val="26"/>
                <w14:textFill>
                  <w14:solidFill>
                    <w14:schemeClr w14:val="tx1"/>
                  </w14:solidFill>
                </w14:textFill>
              </w:rPr>
              <w:t xml:space="preserve">Purchaser </w:t>
            </w:r>
            <w:r>
              <w:rPr>
                <w:color w:val="000000" w:themeColor="text1"/>
                <w:sz w:val="26"/>
                <w:szCs w:val="26"/>
                <w14:textFill>
                  <w14:solidFill>
                    <w14:schemeClr w14:val="tx1"/>
                  </w14:solidFill>
                </w14:textFill>
              </w:rPr>
              <w:t xml:space="preserve">or performs tasks of the </w:t>
            </w:r>
            <w:r>
              <w:rPr>
                <w:rFonts w:eastAsia="Calibri"/>
                <w:color w:val="000000" w:themeColor="text1"/>
                <w:sz w:val="26"/>
                <w:szCs w:val="26"/>
                <w14:textFill>
                  <w14:solidFill>
                    <w14:schemeClr w14:val="tx1"/>
                  </w14:solidFill>
                </w14:textFill>
              </w:rPr>
              <w:t xml:space="preserve">Purchaser </w:t>
            </w:r>
            <w:r>
              <w:rPr>
                <w:color w:val="000000" w:themeColor="text1"/>
                <w:sz w:val="26"/>
                <w:szCs w:val="26"/>
                <w14:textFill>
                  <w14:solidFill>
                    <w14:schemeClr w14:val="tx1"/>
                  </w14:solidFill>
                </w14:textFill>
              </w:rPr>
              <w:t>not in accordance with the procurement Law;</w:t>
            </w:r>
          </w:p>
          <w:p w14:paraId="708C62CE">
            <w:pPr>
              <w:pStyle w:val="97"/>
              <w:widowControl w:val="0"/>
              <w:shd w:val="clear" w:color="auto" w:fill="FFFFFF"/>
              <w:tabs>
                <w:tab w:val="left" w:pos="434"/>
                <w:tab w:val="left" w:pos="993"/>
              </w:tabs>
              <w:spacing w:before="40" w:after="40"/>
              <w:ind w:left="170"/>
              <w:contextualSpacing w:val="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 Participate in preparation and at the same time participate in appraisal of the BDs for the same bidding package;</w:t>
            </w:r>
          </w:p>
          <w:p w14:paraId="708C62CF">
            <w:pPr>
              <w:pStyle w:val="97"/>
              <w:widowControl w:val="0"/>
              <w:shd w:val="clear" w:color="auto" w:fill="FFFFFF"/>
              <w:tabs>
                <w:tab w:val="left" w:pos="434"/>
                <w:tab w:val="left" w:pos="993"/>
              </w:tabs>
              <w:spacing w:before="40" w:after="40"/>
              <w:ind w:left="170"/>
              <w:contextualSpacing w:val="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 Participate in evaluation and at the same time participate in appraisal of the bidder selection results for the same bidding package;</w:t>
            </w:r>
          </w:p>
          <w:p w14:paraId="708C62D0">
            <w:pPr>
              <w:pStyle w:val="97"/>
              <w:widowControl w:val="0"/>
              <w:shd w:val="clear" w:color="auto" w:fill="FFFFFF"/>
              <w:tabs>
                <w:tab w:val="left" w:pos="434"/>
                <w:tab w:val="left" w:pos="993"/>
              </w:tabs>
              <w:spacing w:before="40" w:after="40"/>
              <w:ind w:left="170"/>
              <w:contextualSpacing w:val="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d) An employee of the </w:t>
            </w:r>
            <w:r>
              <w:rPr>
                <w:rFonts w:eastAsia="Calibri"/>
                <w:color w:val="000000" w:themeColor="text1"/>
                <w:sz w:val="26"/>
                <w:szCs w:val="26"/>
                <w14:textFill>
                  <w14:solidFill>
                    <w14:schemeClr w14:val="tx1"/>
                  </w14:solidFill>
                </w14:textFill>
              </w:rPr>
              <w:t xml:space="preserve">Purchaser </w:t>
            </w:r>
            <w:r>
              <w:rPr>
                <w:color w:val="000000" w:themeColor="text1"/>
                <w:sz w:val="26"/>
                <w:szCs w:val="26"/>
                <w14:textFill>
                  <w14:solidFill>
                    <w14:schemeClr w14:val="tx1"/>
                  </w14:solidFill>
                </w14:textFill>
              </w:rPr>
              <w:t>directly participates in the Bidder selection process or joins the bidder selection result team or team for appraisal of bidder selection result appraisal group or acts as the competent person or head of the Purchaser for the bidding package for which a person with whom he/she has family relations as specified by the Law on Enterprises participates in the bidding or acts as the legal representative of a bidder participating in the bidding;</w:t>
            </w:r>
          </w:p>
          <w:p w14:paraId="708C62D1">
            <w:pPr>
              <w:pStyle w:val="97"/>
              <w:widowControl w:val="0"/>
              <w:shd w:val="clear" w:color="auto" w:fill="FFFFFF"/>
              <w:tabs>
                <w:tab w:val="left" w:pos="434"/>
                <w:tab w:val="left" w:pos="993"/>
              </w:tabs>
              <w:spacing w:before="40" w:after="40"/>
              <w:ind w:left="170"/>
              <w:contextualSpacing w:val="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e) A bidder participates in the bidding for the procurement bidding package for which it/he/she acts as a consultant in the formulation, verification or appraisal of cost estimates, technical design, construction drawing design, and front-end engineering design (FEED); the formulation and appraisal of the bidding documents; the evaluation of Bids; the inspection of goods; the appraisal of bidder selection results; or the supervision of the contract implementation;</w:t>
            </w:r>
          </w:p>
          <w:p w14:paraId="708C62D2">
            <w:pPr>
              <w:pStyle w:val="97"/>
              <w:widowControl w:val="0"/>
              <w:shd w:val="clear" w:color="auto" w:fill="FFFFFF"/>
              <w:tabs>
                <w:tab w:val="left" w:pos="434"/>
                <w:tab w:val="left" w:pos="993"/>
              </w:tabs>
              <w:spacing w:before="40" w:after="40"/>
              <w:ind w:left="170"/>
              <w:contextualSpacing w:val="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 One participates in the bidding for a bidding package under a project whose project owner or Purchaser is an agency or organization where he/she has worked as a leader or manager within the period of 12 months from the date he/she stopped working at that agency or organization;</w:t>
            </w:r>
          </w:p>
          <w:p w14:paraId="708C62D3">
            <w:pPr>
              <w:pStyle w:val="97"/>
              <w:widowControl w:val="0"/>
              <w:shd w:val="clear" w:color="auto" w:fill="FFFFFF"/>
              <w:tabs>
                <w:tab w:val="left" w:pos="434"/>
                <w:tab w:val="left" w:pos="993"/>
              </w:tabs>
              <w:spacing w:before="40" w:after="40"/>
              <w:ind w:left="170"/>
              <w:contextualSpacing w:val="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g) Specific requirements on trademark and origin of goods are set in bidding documents, except the cases specified at Point e, Clause 3, Article 10; Clause 2, Article 44 and Clause 1, Article 56 of the Procurement Law;</w:t>
            </w:r>
          </w:p>
          <w:p w14:paraId="708C62D5">
            <w:pPr>
              <w:pStyle w:val="97"/>
              <w:widowControl w:val="0"/>
              <w:shd w:val="clear" w:color="auto" w:fill="FFFFFF"/>
              <w:tabs>
                <w:tab w:val="left" w:pos="434"/>
                <w:tab w:val="left" w:pos="993"/>
              </w:tabs>
              <w:spacing w:before="40" w:after="40"/>
              <w:ind w:left="170"/>
              <w:contextualSpacing w:val="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4.7. Disclosing</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documents</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and</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information</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on</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 xml:space="preserve">the bidder selection process, except for circumstances stipulated in point b Clause 8 </w:t>
            </w:r>
            <w:r>
              <w:rPr>
                <w:rFonts w:eastAsia="Calibri"/>
                <w:color w:val="000000" w:themeColor="text1"/>
                <w:sz w:val="26"/>
                <w:szCs w:val="26"/>
                <w14:textFill>
                  <w14:solidFill>
                    <w14:schemeClr w14:val="tx1"/>
                  </w14:solidFill>
                </w14:textFill>
              </w:rPr>
              <w:t>Article</w:t>
            </w:r>
            <w:r>
              <w:rPr>
                <w:color w:val="000000" w:themeColor="text1"/>
                <w:sz w:val="26"/>
                <w:szCs w:val="26"/>
                <w14:textFill>
                  <w14:solidFill>
                    <w14:schemeClr w14:val="tx1"/>
                  </w14:solidFill>
                </w14:textFill>
              </w:rPr>
              <w:t xml:space="preserve"> 77, Clause 11 </w:t>
            </w:r>
            <w:r>
              <w:rPr>
                <w:rFonts w:eastAsia="Calibri"/>
                <w:color w:val="000000" w:themeColor="text1"/>
                <w:sz w:val="26"/>
                <w:szCs w:val="26"/>
                <w14:textFill>
                  <w14:solidFill>
                    <w14:schemeClr w14:val="tx1"/>
                  </w14:solidFill>
                </w14:textFill>
              </w:rPr>
              <w:t>Article 78</w:t>
            </w:r>
            <w:r>
              <w:rPr>
                <w:color w:val="000000" w:themeColor="text1"/>
                <w:sz w:val="26"/>
                <w:szCs w:val="26"/>
                <w14:textFill>
                  <w14:solidFill>
                    <w14:schemeClr w14:val="tx1"/>
                  </w14:solidFill>
                </w14:textFill>
              </w:rPr>
              <w:t xml:space="preserve">, Clause 4 </w:t>
            </w:r>
            <w:r>
              <w:rPr>
                <w:rFonts w:eastAsia="Calibri"/>
                <w:color w:val="000000" w:themeColor="text1"/>
                <w:sz w:val="26"/>
                <w:szCs w:val="26"/>
                <w14:textFill>
                  <w14:solidFill>
                    <w14:schemeClr w14:val="tx1"/>
                  </w14:solidFill>
                </w14:textFill>
              </w:rPr>
              <w:t>Article</w:t>
            </w:r>
            <w:r>
              <w:rPr>
                <w:color w:val="000000" w:themeColor="text1"/>
                <w:sz w:val="26"/>
                <w:szCs w:val="26"/>
                <w14:textFill>
                  <w14:solidFill>
                    <w14:schemeClr w14:val="tx1"/>
                  </w14:solidFill>
                </w14:textFill>
              </w:rPr>
              <w:t xml:space="preserve"> 80, Clause 4 </w:t>
            </w:r>
            <w:r>
              <w:rPr>
                <w:rFonts w:eastAsia="Calibri"/>
                <w:color w:val="000000" w:themeColor="text1"/>
                <w:sz w:val="26"/>
                <w:szCs w:val="26"/>
                <w14:textFill>
                  <w14:solidFill>
                    <w14:schemeClr w14:val="tx1"/>
                  </w14:solidFill>
                </w14:textFill>
              </w:rPr>
              <w:t>Article</w:t>
            </w:r>
            <w:r>
              <w:rPr>
                <w:color w:val="000000" w:themeColor="text1"/>
                <w:sz w:val="26"/>
                <w:szCs w:val="26"/>
                <w14:textFill>
                  <w14:solidFill>
                    <w14:schemeClr w14:val="tx1"/>
                  </w14:solidFill>
                </w14:textFill>
              </w:rPr>
              <w:t xml:space="preserve"> 81, Clause 2 </w:t>
            </w:r>
            <w:r>
              <w:rPr>
                <w:rFonts w:eastAsia="Calibri"/>
                <w:color w:val="000000" w:themeColor="text1"/>
                <w:sz w:val="26"/>
                <w:szCs w:val="26"/>
                <w14:textFill>
                  <w14:solidFill>
                    <w14:schemeClr w14:val="tx1"/>
                  </w14:solidFill>
                </w14:textFill>
              </w:rPr>
              <w:t>Article</w:t>
            </w:r>
            <w:r>
              <w:rPr>
                <w:color w:val="000000" w:themeColor="text1"/>
                <w:sz w:val="26"/>
                <w:szCs w:val="26"/>
                <w14:textFill>
                  <w14:solidFill>
                    <w14:schemeClr w14:val="tx1"/>
                  </w14:solidFill>
                </w14:textFill>
              </w:rPr>
              <w:t xml:space="preserve"> 82</w:t>
            </w:r>
            <w:r>
              <w:rPr>
                <w:rFonts w:hint="default"/>
                <w:color w:val="000000" w:themeColor="text1"/>
                <w:sz w:val="26"/>
                <w:szCs w:val="26"/>
                <w:lang w:val="en-US"/>
                <w14:textFill>
                  <w14:solidFill>
                    <w14:schemeClr w14:val="tx1"/>
                  </w14:solidFill>
                </w14:textFill>
              </w:rPr>
              <w:t xml:space="preserve"> </w:t>
            </w:r>
            <w:r>
              <w:rPr>
                <w:color w:val="000000" w:themeColor="text1"/>
                <w:sz w:val="26"/>
                <w:szCs w:val="26"/>
                <w14:textFill>
                  <w14:solidFill>
                    <w14:schemeClr w14:val="tx1"/>
                  </w14:solidFill>
                </w14:textFill>
              </w:rPr>
              <w:t xml:space="preserve">of the Procurement Law, including:    </w:t>
            </w:r>
          </w:p>
          <w:p w14:paraId="708C62D6">
            <w:pPr>
              <w:widowControl w:val="0"/>
              <w:shd w:val="clear" w:color="auto" w:fill="FFFFFF"/>
              <w:tabs>
                <w:tab w:val="left" w:pos="0"/>
                <w:tab w:val="left" w:pos="851"/>
                <w:tab w:val="left" w:pos="1134"/>
              </w:tabs>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 Contents of BDs prior to the stipulated date of issuance;</w:t>
            </w:r>
          </w:p>
          <w:p w14:paraId="708C62D7">
            <w:pPr>
              <w:pStyle w:val="15"/>
              <w:spacing w:before="120"/>
              <w:ind w:left="173" w:right="8"/>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 Contents of Bids;</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contents</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of</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Purchaser’s requests for clarification of Bids and responses</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of Bidders in the evaluation process of Bids; reports of Purchaser, reports of expert team, reports of appraisal team,</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reports</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of</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consultancy</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Bidders</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and</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reports</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of</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related</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specialized</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agencies</w:t>
            </w:r>
            <w:r>
              <w:rPr>
                <w:color w:val="000000" w:themeColor="text1"/>
                <w:spacing w:val="-67"/>
                <w:sz w:val="26"/>
                <w:szCs w:val="26"/>
                <w14:textFill>
                  <w14:solidFill>
                    <w14:schemeClr w14:val="tx1"/>
                  </w14:solidFill>
                </w14:textFill>
              </w:rPr>
              <w:t xml:space="preserve"> </w:t>
            </w:r>
            <w:r>
              <w:rPr>
                <w:color w:val="000000" w:themeColor="text1"/>
                <w:sz w:val="26"/>
                <w:szCs w:val="26"/>
                <w14:textFill>
                  <w14:solidFill>
                    <w14:schemeClr w14:val="tx1"/>
                  </w14:solidFill>
                </w14:textFill>
              </w:rPr>
              <w:t>the in the bidder selection process; records and minutes of bid review</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meetings, comments on and evaluations of each Bids</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before</w:t>
            </w:r>
            <w:r>
              <w:rPr>
                <w:color w:val="000000" w:themeColor="text1"/>
                <w:spacing w:val="-5"/>
                <w:sz w:val="26"/>
                <w:szCs w:val="26"/>
                <w14:textFill>
                  <w14:solidFill>
                    <w14:schemeClr w14:val="tx1"/>
                  </w14:solidFill>
                </w14:textFill>
              </w:rPr>
              <w:t xml:space="preserve"> </w:t>
            </w:r>
            <w:r>
              <w:rPr>
                <w:color w:val="000000" w:themeColor="text1"/>
                <w:sz w:val="26"/>
                <w:szCs w:val="26"/>
                <w14:textFill>
                  <w14:solidFill>
                    <w14:schemeClr w14:val="tx1"/>
                  </w14:solidFill>
                </w14:textFill>
              </w:rPr>
              <w:t>they are made public under</w:t>
            </w:r>
            <w:r>
              <w:rPr>
                <w:color w:val="000000" w:themeColor="text1"/>
                <w:spacing w:val="-4"/>
                <w:sz w:val="26"/>
                <w:szCs w:val="26"/>
                <w14:textFill>
                  <w14:solidFill>
                    <w14:schemeClr w14:val="tx1"/>
                  </w14:solidFill>
                </w14:textFill>
              </w:rPr>
              <w:t xml:space="preserve"> </w:t>
            </w:r>
            <w:r>
              <w:rPr>
                <w:color w:val="000000" w:themeColor="text1"/>
                <w:sz w:val="26"/>
                <w:szCs w:val="26"/>
                <w14:textFill>
                  <w14:solidFill>
                    <w14:schemeClr w14:val="tx1"/>
                  </w14:solidFill>
                </w14:textFill>
              </w:rPr>
              <w:t>regulations;</w:t>
            </w:r>
          </w:p>
          <w:p w14:paraId="708C62D8">
            <w:pPr>
              <w:pStyle w:val="15"/>
              <w:spacing w:before="120"/>
              <w:ind w:left="173" w:right="8"/>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c) Bidder selection results before such results are made public </w:t>
            </w:r>
            <w:r>
              <w:rPr>
                <w:color w:val="000000" w:themeColor="text1"/>
                <w:spacing w:val="-67"/>
                <w:sz w:val="26"/>
                <w:szCs w:val="26"/>
                <w14:textFill>
                  <w14:solidFill>
                    <w14:schemeClr w14:val="tx1"/>
                  </w14:solidFill>
                </w14:textFill>
              </w:rPr>
              <w:t xml:space="preserve">    </w:t>
            </w:r>
            <w:r>
              <w:rPr>
                <w:color w:val="000000" w:themeColor="text1"/>
                <w:sz w:val="26"/>
                <w:szCs w:val="26"/>
                <w14:textFill>
                  <w14:solidFill>
                    <w14:schemeClr w14:val="tx1"/>
                  </w14:solidFill>
                </w14:textFill>
              </w:rPr>
              <w:t>under</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regulations</w:t>
            </w:r>
          </w:p>
          <w:p w14:paraId="708C62D9">
            <w:pPr>
              <w:widowControl w:val="0"/>
              <w:shd w:val="clear" w:color="auto" w:fill="FFFFFF"/>
              <w:tabs>
                <w:tab w:val="left" w:pos="0"/>
                <w:tab w:val="left" w:pos="851"/>
                <w:tab w:val="left" w:pos="1134"/>
              </w:tabs>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d) The other documents in the bidder selection that are believed to</w:t>
            </w:r>
            <w:r>
              <w:rPr>
                <w:color w:val="000000" w:themeColor="text1"/>
                <w:spacing w:val="-67"/>
                <w:sz w:val="26"/>
                <w:szCs w:val="26"/>
                <w14:textFill>
                  <w14:solidFill>
                    <w14:schemeClr w14:val="tx1"/>
                  </w14:solidFill>
                </w14:textFill>
              </w:rPr>
              <w:t xml:space="preserve"> </w:t>
            </w:r>
            <w:r>
              <w:rPr>
                <w:color w:val="000000" w:themeColor="text1"/>
                <w:sz w:val="26"/>
                <w:szCs w:val="26"/>
                <w14:textFill>
                  <w14:solidFill>
                    <w14:schemeClr w14:val="tx1"/>
                  </w14:solidFill>
                </w14:textFill>
              </w:rPr>
              <w:t>contain</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state secrets</w:t>
            </w:r>
            <w:r>
              <w:rPr>
                <w:color w:val="000000" w:themeColor="text1"/>
                <w:spacing w:val="-5"/>
                <w:sz w:val="26"/>
                <w:szCs w:val="26"/>
                <w14:textFill>
                  <w14:solidFill>
                    <w14:schemeClr w14:val="tx1"/>
                  </w14:solidFill>
                </w14:textFill>
              </w:rPr>
              <w:t xml:space="preserve"> </w:t>
            </w:r>
            <w:r>
              <w:rPr>
                <w:color w:val="000000" w:themeColor="text1"/>
                <w:sz w:val="26"/>
                <w:szCs w:val="26"/>
                <w14:textFill>
                  <w14:solidFill>
                    <w14:schemeClr w14:val="tx1"/>
                  </w14:solidFill>
                </w14:textFill>
              </w:rPr>
              <w:t>in accordance with</w:t>
            </w:r>
            <w:r>
              <w:rPr>
                <w:color w:val="000000" w:themeColor="text1"/>
                <w:spacing w:val="-6"/>
                <w:sz w:val="26"/>
                <w:szCs w:val="26"/>
                <w14:textFill>
                  <w14:solidFill>
                    <w14:schemeClr w14:val="tx1"/>
                  </w14:solidFill>
                </w14:textFill>
              </w:rPr>
              <w:t xml:space="preserve"> </w:t>
            </w:r>
            <w:r>
              <w:rPr>
                <w:color w:val="000000" w:themeColor="text1"/>
                <w:sz w:val="26"/>
                <w:szCs w:val="26"/>
                <w14:textFill>
                  <w14:solidFill>
                    <w14:schemeClr w14:val="tx1"/>
                  </w14:solidFill>
                </w14:textFill>
              </w:rPr>
              <w:t>law.</w:t>
            </w:r>
          </w:p>
          <w:p w14:paraId="708C62DA">
            <w:pPr>
              <w:pStyle w:val="97"/>
              <w:widowControl w:val="0"/>
              <w:shd w:val="clear" w:color="auto" w:fill="FFFFFF"/>
              <w:tabs>
                <w:tab w:val="left" w:pos="851"/>
              </w:tabs>
              <w:spacing w:before="40" w:after="40"/>
              <w:ind w:left="170"/>
              <w:contextualSpacing w:val="0"/>
              <w:rPr>
                <w:rFonts w:eastAsia="Calibr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4.8. Transfer of bid, </w:t>
            </w:r>
            <w:r>
              <w:rPr>
                <w:rFonts w:eastAsia="Calibri"/>
                <w:color w:val="000000" w:themeColor="text1"/>
                <w:sz w:val="26"/>
                <w:szCs w:val="26"/>
                <w14:textFill>
                  <w14:solidFill>
                    <w14:schemeClr w14:val="tx1"/>
                  </w14:solidFill>
                </w14:textFill>
              </w:rPr>
              <w:t>includes the following practices:</w:t>
            </w:r>
          </w:p>
          <w:p w14:paraId="708C62DB">
            <w:pPr>
              <w:pStyle w:val="97"/>
              <w:widowControl w:val="0"/>
              <w:shd w:val="clear" w:color="auto" w:fill="FFFFFF"/>
              <w:tabs>
                <w:tab w:val="left" w:pos="851"/>
              </w:tabs>
              <w:spacing w:before="40" w:after="40"/>
              <w:ind w:left="170"/>
              <w:contextualSpacing w:val="0"/>
              <w:rPr>
                <w:rFonts w:eastAsia="Calibri"/>
                <w:color w:val="000000" w:themeColor="text1"/>
                <w:sz w:val="26"/>
                <w:szCs w:val="26"/>
                <w14:textFill>
                  <w14:solidFill>
                    <w14:schemeClr w14:val="tx1"/>
                  </w14:solidFill>
                </w14:textFill>
              </w:rPr>
            </w:pPr>
            <w:r>
              <w:rPr>
                <w:rFonts w:eastAsia="Calibri"/>
                <w:color w:val="000000" w:themeColor="text1"/>
                <w:sz w:val="26"/>
                <w:szCs w:val="26"/>
                <w14:textFill>
                  <w14:solidFill>
                    <w14:schemeClr w14:val="tx1"/>
                  </w14:solidFill>
                </w14:textFill>
              </w:rPr>
              <w:t xml:space="preserve">a) The Bidder transfers to another Bidder </w:t>
            </w:r>
            <w:r>
              <w:rPr>
                <w:color w:val="000000" w:themeColor="text1"/>
                <w:sz w:val="26"/>
                <w:szCs w:val="26"/>
                <w14:textFill>
                  <w14:solidFill>
                    <w14:schemeClr w14:val="tx1"/>
                  </w14:solidFill>
                </w14:textFill>
              </w:rPr>
              <w:t xml:space="preserve">a portion of the package </w:t>
            </w:r>
            <w:r>
              <w:rPr>
                <w:rFonts w:eastAsia="Calibri"/>
                <w:color w:val="000000" w:themeColor="text1"/>
                <w:sz w:val="26"/>
                <w:szCs w:val="26"/>
                <w14:textFill>
                  <w14:solidFill>
                    <w14:schemeClr w14:val="tx1"/>
                  </w14:solidFill>
                </w14:textFill>
              </w:rPr>
              <w:t>in addition to the maximum value for subcontractors and the workload for special subcontractors stated in contract;</w:t>
            </w:r>
          </w:p>
          <w:p w14:paraId="708C62DC">
            <w:pPr>
              <w:pStyle w:val="35"/>
              <w:shd w:val="clear" w:color="auto" w:fill="F8F9FA"/>
              <w:spacing w:line="288" w:lineRule="auto"/>
              <w:ind w:left="173"/>
              <w:jc w:val="both"/>
              <w:rPr>
                <w:rStyle w:val="341"/>
                <w:rFonts w:ascii="Times New Roman" w:hAnsi="Times New Roman" w:cs="Times New Roman"/>
                <w:color w:val="000000" w:themeColor="text1"/>
                <w:sz w:val="26"/>
                <w:szCs w:val="26"/>
                <w:lang w:val="en"/>
                <w14:textFill>
                  <w14:solidFill>
                    <w14:schemeClr w14:val="tx1"/>
                  </w14:solidFill>
                </w14:textFill>
              </w:rPr>
            </w:pPr>
            <w:r>
              <w:rPr>
                <w:rStyle w:val="341"/>
                <w:rFonts w:ascii="Times New Roman" w:hAnsi="Times New Roman" w:cs="Times New Roman"/>
                <w:color w:val="000000" w:themeColor="text1"/>
                <w:sz w:val="26"/>
                <w:szCs w:val="26"/>
                <w:lang w:val="en"/>
                <w14:textFill>
                  <w14:solidFill>
                    <w14:schemeClr w14:val="tx1"/>
                  </w14:solidFill>
                </w14:textFill>
              </w:rPr>
              <w:t xml:space="preserve">b) </w:t>
            </w:r>
            <w:r>
              <w:rPr>
                <w:rFonts w:ascii="Times New Roman" w:hAnsi="Times New Roman" w:eastAsia="Calibri" w:cs="Times New Roman"/>
                <w:color w:val="000000" w:themeColor="text1"/>
                <w:sz w:val="26"/>
                <w:szCs w:val="26"/>
                <w14:textFill>
                  <w14:solidFill>
                    <w14:schemeClr w14:val="tx1"/>
                  </w14:solidFill>
                </w14:textFill>
              </w:rPr>
              <w:t xml:space="preserve">The Bidder transfers to another Bidder </w:t>
            </w:r>
            <w:r>
              <w:rPr>
                <w:rFonts w:ascii="Times New Roman" w:hAnsi="Times New Roman" w:cs="Times New Roman"/>
                <w:color w:val="000000" w:themeColor="text1"/>
                <w:sz w:val="26"/>
                <w:szCs w:val="26"/>
                <w14:textFill>
                  <w14:solidFill>
                    <w14:schemeClr w14:val="tx1"/>
                  </w14:solidFill>
                </w14:textFill>
              </w:rPr>
              <w:t>a portion of the package</w:t>
            </w:r>
            <w:r>
              <w:rPr>
                <w:rStyle w:val="341"/>
                <w:rFonts w:ascii="Times New Roman" w:hAnsi="Times New Roman" w:cs="Times New Roman"/>
                <w:color w:val="000000" w:themeColor="text1"/>
                <w:sz w:val="26"/>
                <w:szCs w:val="26"/>
                <w:lang w:val="en"/>
                <w14:textFill>
                  <w14:solidFill>
                    <w14:schemeClr w14:val="tx1"/>
                  </w14:solidFill>
                </w14:textFill>
              </w:rPr>
              <w:t xml:space="preserve"> that does not exceed the maximum value of work for subcontractors stated in the contract but is beyond the scope of work for subcontractors proposed in the Bid without the approval of the Purchaser or supervision consultant.</w:t>
            </w:r>
          </w:p>
          <w:p w14:paraId="708C62DD">
            <w:pPr>
              <w:pStyle w:val="35"/>
              <w:shd w:val="clear" w:color="auto" w:fill="F8F9FA"/>
              <w:spacing w:line="288" w:lineRule="auto"/>
              <w:ind w:left="173"/>
              <w:jc w:val="both"/>
              <w:rPr>
                <w:rFonts w:ascii="Times New Roman" w:hAnsi="Times New Roman" w:cs="Times New Roman"/>
                <w:color w:val="000000" w:themeColor="text1"/>
                <w:sz w:val="26"/>
                <w:szCs w:val="26"/>
                <w14:textFill>
                  <w14:solidFill>
                    <w14:schemeClr w14:val="tx1"/>
                  </w14:solidFill>
                </w14:textFill>
              </w:rPr>
            </w:pPr>
            <w:r>
              <w:rPr>
                <w:rStyle w:val="341"/>
                <w:rFonts w:ascii="Times New Roman" w:hAnsi="Times New Roman" w:cs="Times New Roman"/>
                <w:color w:val="000000" w:themeColor="text1"/>
                <w:sz w:val="26"/>
                <w:szCs w:val="26"/>
                <w:lang w:val="en"/>
                <w14:textFill>
                  <w14:solidFill>
                    <w14:schemeClr w14:val="tx1"/>
                  </w14:solidFill>
                </w14:textFill>
              </w:rPr>
              <w:t xml:space="preserve">c) The Purchaser, supervision consultant </w:t>
            </w:r>
            <w:r>
              <w:rPr>
                <w:rFonts w:ascii="Times New Roman" w:hAnsi="Times New Roman" w:cs="Times New Roman"/>
                <w:color w:val="000000" w:themeColor="text1"/>
                <w:sz w:val="26"/>
                <w:szCs w:val="26"/>
                <w14:textFill>
                  <w14:solidFill>
                    <w14:schemeClr w14:val="tx1"/>
                  </w14:solidFill>
                </w14:textFill>
              </w:rPr>
              <w:t>agrees to allow</w:t>
            </w:r>
            <w:r>
              <w:rPr>
                <w:rStyle w:val="341"/>
                <w:rFonts w:ascii="Times New Roman" w:hAnsi="Times New Roman" w:cs="Times New Roman"/>
                <w:color w:val="000000" w:themeColor="text1"/>
                <w:sz w:val="26"/>
                <w:szCs w:val="26"/>
                <w:lang w:val="en"/>
                <w14:textFill>
                  <w14:solidFill>
                    <w14:schemeClr w14:val="tx1"/>
                  </w14:solidFill>
                </w14:textFill>
              </w:rPr>
              <w:t xml:space="preserve"> the Bidder to transfer </w:t>
            </w:r>
            <w:r>
              <w:rPr>
                <w:rFonts w:ascii="Times New Roman" w:hAnsi="Times New Roman" w:cs="Times New Roman"/>
                <w:color w:val="000000" w:themeColor="text1"/>
                <w:sz w:val="26"/>
                <w:szCs w:val="26"/>
                <w14:textFill>
                  <w14:solidFill>
                    <w14:schemeClr w14:val="tx1"/>
                  </w14:solidFill>
                </w14:textFill>
              </w:rPr>
              <w:t>the work for which the bidder is responsible that is specified in point a of this Clause above.</w:t>
            </w:r>
          </w:p>
          <w:p w14:paraId="708C62DE">
            <w:pPr>
              <w:widowControl w:val="0"/>
              <w:spacing w:before="60" w:after="60"/>
              <w:ind w:left="173"/>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d) The Purchaser, supervision consultant agrees to allow the bidder to transfer the works for which the bidder is responsible that is specified in point b of this Clause above that exceeds the maximum value of work under the responsibility of the subcontractor specified in the signed contract.</w:t>
            </w:r>
          </w:p>
        </w:tc>
      </w:tr>
      <w:tr w14:paraId="708C6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2E0">
            <w:pPr>
              <w:widowControl w:val="0"/>
              <w:spacing w:before="60" w:after="60" w:line="240" w:lineRule="auto"/>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5. Eligible Bidders</w:t>
            </w:r>
          </w:p>
        </w:tc>
        <w:tc>
          <w:tcPr>
            <w:tcW w:w="7230" w:type="dxa"/>
          </w:tcPr>
          <w:p w14:paraId="708C62E1">
            <w:pPr>
              <w:widowControl w:val="0"/>
              <w:tabs>
                <w:tab w:val="left" w:pos="1096"/>
              </w:tabs>
              <w:autoSpaceDE w:val="0"/>
              <w:autoSpaceDN w:val="0"/>
              <w:spacing w:before="118" w:line="242" w:lineRule="auto"/>
              <w:ind w:left="173"/>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5.1. The Bidder is an organization that meets the following conditions:</w:t>
            </w:r>
          </w:p>
          <w:p w14:paraId="708C62E2">
            <w:pPr>
              <w:pStyle w:val="15"/>
              <w:spacing w:before="115"/>
              <w:ind w:left="173"/>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 For domestic bidders: Being an enterprise, a cooperative,</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union of cooperatives, cooperative group, public non-business unit or foreign-invested economic organization and other organizations registered for establishment and operation in accordance with the provisions of Vietnam’s law. For</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foreign</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bidders:</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Having</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made</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registration</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for</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establishment</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and operation under</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a</w:t>
            </w:r>
            <w:r>
              <w:rPr>
                <w:color w:val="000000" w:themeColor="text1"/>
                <w:spacing w:val="-5"/>
                <w:sz w:val="26"/>
                <w:szCs w:val="26"/>
                <w14:textFill>
                  <w14:solidFill>
                    <w14:schemeClr w14:val="tx1"/>
                  </w14:solidFill>
                </w14:textFill>
              </w:rPr>
              <w:t xml:space="preserve"> </w:t>
            </w:r>
            <w:r>
              <w:rPr>
                <w:color w:val="000000" w:themeColor="text1"/>
                <w:sz w:val="26"/>
                <w:szCs w:val="26"/>
                <w14:textFill>
                  <w14:solidFill>
                    <w14:schemeClr w14:val="tx1"/>
                  </w14:solidFill>
                </w14:textFill>
              </w:rPr>
              <w:t>foreign law;</w:t>
            </w:r>
          </w:p>
          <w:p w14:paraId="708C62E3">
            <w:pPr>
              <w:widowControl w:val="0"/>
              <w:tabs>
                <w:tab w:val="left" w:pos="1096"/>
              </w:tabs>
              <w:autoSpaceDE w:val="0"/>
              <w:autoSpaceDN w:val="0"/>
              <w:spacing w:before="118" w:line="242" w:lineRule="auto"/>
              <w:ind w:left="17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 Performing</w:t>
            </w:r>
            <w:r>
              <w:rPr>
                <w:color w:val="000000" w:themeColor="text1"/>
                <w:spacing w:val="-9"/>
                <w:sz w:val="26"/>
                <w:szCs w:val="26"/>
                <w14:textFill>
                  <w14:solidFill>
                    <w14:schemeClr w14:val="tx1"/>
                  </w14:solidFill>
                </w14:textFill>
              </w:rPr>
              <w:t xml:space="preserve"> </w:t>
            </w:r>
            <w:r>
              <w:rPr>
                <w:color w:val="000000" w:themeColor="text1"/>
                <w:sz w:val="26"/>
                <w:szCs w:val="26"/>
                <w14:textFill>
                  <w14:solidFill>
                    <w14:schemeClr w14:val="tx1"/>
                  </w14:solidFill>
                </w14:textFill>
              </w:rPr>
              <w:t>independent</w:t>
            </w:r>
            <w:r>
              <w:rPr>
                <w:color w:val="000000" w:themeColor="text1"/>
                <w:spacing w:val="-3"/>
                <w:sz w:val="26"/>
                <w:szCs w:val="26"/>
                <w14:textFill>
                  <w14:solidFill>
                    <w14:schemeClr w14:val="tx1"/>
                  </w14:solidFill>
                </w14:textFill>
              </w:rPr>
              <w:t xml:space="preserve"> </w:t>
            </w:r>
            <w:r>
              <w:rPr>
                <w:color w:val="000000" w:themeColor="text1"/>
                <w:sz w:val="26"/>
                <w:szCs w:val="26"/>
                <w14:textFill>
                  <w14:solidFill>
                    <w14:schemeClr w14:val="tx1"/>
                  </w14:solidFill>
                </w14:textFill>
              </w:rPr>
              <w:t>financial</w:t>
            </w:r>
            <w:r>
              <w:rPr>
                <w:color w:val="000000" w:themeColor="text1"/>
                <w:spacing w:val="-4"/>
                <w:sz w:val="26"/>
                <w:szCs w:val="26"/>
                <w14:textFill>
                  <w14:solidFill>
                    <w14:schemeClr w14:val="tx1"/>
                  </w14:solidFill>
                </w14:textFill>
              </w:rPr>
              <w:t xml:space="preserve"> </w:t>
            </w:r>
            <w:r>
              <w:rPr>
                <w:color w:val="000000" w:themeColor="text1"/>
                <w:sz w:val="26"/>
                <w:szCs w:val="26"/>
                <w14:textFill>
                  <w14:solidFill>
                    <w14:schemeClr w14:val="tx1"/>
                  </w14:solidFill>
                </w14:textFill>
              </w:rPr>
              <w:t>accounting;</w:t>
            </w:r>
          </w:p>
          <w:p w14:paraId="708C62E4">
            <w:pPr>
              <w:pStyle w:val="15"/>
              <w:spacing w:before="118"/>
              <w:ind w:left="173"/>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 Neither</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undergoing</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dissolution</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procedures</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nor</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having</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its</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enterprise</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registration</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certificate,</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cooperative</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registration</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certificate</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or</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certificate</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of</w:t>
            </w:r>
            <w:r>
              <w:rPr>
                <w:color w:val="000000" w:themeColor="text1"/>
                <w:spacing w:val="-67"/>
                <w:sz w:val="26"/>
                <w:szCs w:val="26"/>
                <w14:textFill>
                  <w14:solidFill>
                    <w14:schemeClr w14:val="tx1"/>
                  </w14:solidFill>
                </w14:textFill>
              </w:rPr>
              <w:t xml:space="preserve"> </w:t>
            </w:r>
            <w:r>
              <w:rPr>
                <w:color w:val="000000" w:themeColor="text1"/>
                <w:sz w:val="26"/>
                <w:szCs w:val="26"/>
                <w14:textFill>
                  <w14:solidFill>
                    <w14:schemeClr w14:val="tx1"/>
                  </w14:solidFill>
                </w14:textFill>
              </w:rPr>
              <w:t xml:space="preserve">registration of union of cooperatives or cooperative group revoked; not falling into </w:t>
            </w:r>
            <w:r>
              <w:rPr>
                <w:color w:val="000000" w:themeColor="text1"/>
                <w:spacing w:val="-67"/>
                <w:sz w:val="26"/>
                <w:szCs w:val="26"/>
                <w14:textFill>
                  <w14:solidFill>
                    <w14:schemeClr w14:val="tx1"/>
                  </w14:solidFill>
                </w14:textFill>
              </w:rPr>
              <w:t xml:space="preserve"> </w:t>
            </w:r>
            <w:r>
              <w:rPr>
                <w:color w:val="000000" w:themeColor="text1"/>
                <w:sz w:val="26"/>
                <w:szCs w:val="26"/>
                <w14:textFill>
                  <w14:solidFill>
                    <w14:schemeClr w14:val="tx1"/>
                  </w14:solidFill>
                </w14:textFill>
              </w:rPr>
              <w:t>a</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case of</w:t>
            </w:r>
            <w:r>
              <w:rPr>
                <w:color w:val="000000" w:themeColor="text1"/>
                <w:spacing w:val="-3"/>
                <w:sz w:val="26"/>
                <w:szCs w:val="26"/>
                <w14:textFill>
                  <w14:solidFill>
                    <w14:schemeClr w14:val="tx1"/>
                  </w14:solidFill>
                </w14:textFill>
              </w:rPr>
              <w:t xml:space="preserve"> </w:t>
            </w:r>
            <w:r>
              <w:rPr>
                <w:color w:val="000000" w:themeColor="text1"/>
                <w:sz w:val="26"/>
                <w:szCs w:val="26"/>
                <w14:textFill>
                  <w14:solidFill>
                    <w14:schemeClr w14:val="tx1"/>
                  </w14:solidFill>
                </w14:textFill>
              </w:rPr>
              <w:t>insolvency specified by</w:t>
            </w:r>
            <w:r>
              <w:rPr>
                <w:color w:val="000000" w:themeColor="text1"/>
                <w:spacing w:val="-5"/>
                <w:sz w:val="26"/>
                <w:szCs w:val="26"/>
                <w14:textFill>
                  <w14:solidFill>
                    <w14:schemeClr w14:val="tx1"/>
                  </w14:solidFill>
                </w14:textFill>
              </w:rPr>
              <w:t xml:space="preserve"> </w:t>
            </w:r>
            <w:r>
              <w:rPr>
                <w:color w:val="000000" w:themeColor="text1"/>
                <w:sz w:val="26"/>
                <w:szCs w:val="26"/>
                <w14:textFill>
                  <w14:solidFill>
                    <w14:schemeClr w14:val="tx1"/>
                  </w14:solidFill>
                </w14:textFill>
              </w:rPr>
              <w:t>the bankruptcy law;</w:t>
            </w:r>
          </w:p>
          <w:p w14:paraId="708C62E5">
            <w:pPr>
              <w:widowControl w:val="0"/>
              <w:tabs>
                <w:tab w:val="left" w:pos="1096"/>
              </w:tabs>
              <w:autoSpaceDE w:val="0"/>
              <w:autoSpaceDN w:val="0"/>
              <w:spacing w:before="118" w:line="242" w:lineRule="auto"/>
              <w:ind w:left="173"/>
              <w:jc w:val="both"/>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d. Ensuring competition in procurement as specified in the </w:t>
            </w:r>
            <w:r>
              <w:rPr>
                <w:b/>
                <w:color w:val="000000" w:themeColor="text1"/>
                <w:sz w:val="26"/>
                <w:szCs w:val="26"/>
                <w14:textFill>
                  <w14:solidFill>
                    <w14:schemeClr w14:val="tx1"/>
                  </w14:solidFill>
                </w14:textFill>
              </w:rPr>
              <w:t>BDS;</w:t>
            </w:r>
          </w:p>
          <w:p w14:paraId="708C62E6">
            <w:pPr>
              <w:widowControl w:val="0"/>
              <w:tabs>
                <w:tab w:val="left" w:pos="1096"/>
              </w:tabs>
              <w:autoSpaceDE w:val="0"/>
              <w:autoSpaceDN w:val="0"/>
              <w:spacing w:before="118" w:line="242" w:lineRule="auto"/>
              <w:ind w:left="173"/>
              <w:jc w:val="both"/>
              <w:rPr>
                <w:color w:val="000000" w:themeColor="text1"/>
                <w:spacing w:val="1"/>
                <w:sz w:val="26"/>
                <w:szCs w:val="26"/>
                <w14:textFill>
                  <w14:solidFill>
                    <w14:schemeClr w14:val="tx1"/>
                  </w14:solidFill>
                </w14:textFill>
              </w:rPr>
            </w:pPr>
            <w:r>
              <w:rPr>
                <w:color w:val="000000" w:themeColor="text1"/>
                <w:sz w:val="26"/>
                <w:szCs w:val="26"/>
                <w14:textFill>
                  <w14:solidFill>
                    <w14:schemeClr w14:val="tx1"/>
                  </w14:solidFill>
                </w14:textFill>
              </w:rPr>
              <w:t>e. Not</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being</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banned</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from</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participating</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in</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bidding</w:t>
            </w:r>
            <w:r>
              <w:rPr>
                <w:color w:val="000000" w:themeColor="text1"/>
                <w:spacing w:val="1"/>
                <w:sz w:val="26"/>
                <w:szCs w:val="26"/>
                <w14:textFill>
                  <w14:solidFill>
                    <w14:schemeClr w14:val="tx1"/>
                  </w14:solidFill>
                </w14:textFill>
              </w:rPr>
              <w:t xml:space="preserve"> according to the provisions of the Procurement law</w:t>
            </w:r>
            <w:r>
              <w:rPr>
                <w:sz w:val="26"/>
                <w:szCs w:val="26"/>
              </w:rPr>
              <w:t xml:space="preserve">; </w:t>
            </w:r>
          </w:p>
          <w:p w14:paraId="708C62E7">
            <w:pPr>
              <w:widowControl w:val="0"/>
              <w:tabs>
                <w:tab w:val="left" w:pos="1096"/>
              </w:tabs>
              <w:autoSpaceDE w:val="0"/>
              <w:autoSpaceDN w:val="0"/>
              <w:spacing w:before="118" w:line="242" w:lineRule="auto"/>
              <w:ind w:left="173"/>
              <w:jc w:val="both"/>
              <w:rPr>
                <w:color w:val="000000" w:themeColor="text1"/>
                <w:sz w:val="26"/>
                <w:szCs w:val="26"/>
                <w14:textFill>
                  <w14:solidFill>
                    <w14:schemeClr w14:val="tx1"/>
                  </w14:solidFill>
                </w14:textFill>
              </w:rPr>
            </w:pPr>
            <w:r>
              <w:rPr>
                <w:color w:val="000000" w:themeColor="text1"/>
                <w:spacing w:val="1"/>
                <w:sz w:val="26"/>
                <w:szCs w:val="26"/>
                <w14:textFill>
                  <w14:solidFill>
                    <w14:schemeClr w14:val="tx1"/>
                  </w14:solidFill>
                </w14:textFill>
              </w:rPr>
              <w:t xml:space="preserve">f. </w:t>
            </w:r>
            <w:r>
              <w:rPr>
                <w:color w:val="000000" w:themeColor="text1"/>
                <w:sz w:val="26"/>
                <w:szCs w:val="26"/>
                <w14:textFill>
                  <w14:solidFill>
                    <w14:schemeClr w14:val="tx1"/>
                  </w14:solidFill>
                </w14:textFill>
              </w:rPr>
              <w:t>Not</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being</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examined</w:t>
            </w:r>
            <w:r>
              <w:rPr>
                <w:color w:val="000000" w:themeColor="text1"/>
                <w:spacing w:val="-7"/>
                <w:sz w:val="26"/>
                <w:szCs w:val="26"/>
                <w14:textFill>
                  <w14:solidFill>
                    <w14:schemeClr w14:val="tx1"/>
                  </w14:solidFill>
                </w14:textFill>
              </w:rPr>
              <w:t xml:space="preserve"> </w:t>
            </w:r>
            <w:r>
              <w:rPr>
                <w:color w:val="000000" w:themeColor="text1"/>
                <w:sz w:val="26"/>
                <w:szCs w:val="26"/>
                <w14:textFill>
                  <w14:solidFill>
                    <w14:schemeClr w14:val="tx1"/>
                  </w14:solidFill>
                </w14:textFill>
              </w:rPr>
              <w:t>for</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criminal liability;</w:t>
            </w:r>
          </w:p>
          <w:p w14:paraId="708C62E8">
            <w:pPr>
              <w:widowControl w:val="0"/>
              <w:tabs>
                <w:tab w:val="left" w:pos="1096"/>
              </w:tabs>
              <w:autoSpaceDE w:val="0"/>
              <w:autoSpaceDN w:val="0"/>
              <w:spacing w:before="118" w:line="242" w:lineRule="auto"/>
              <w:ind w:left="173"/>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g. Having registered on VNEPS before approving the bidder selection results. All members of the Consortium must meet this requirement; </w:t>
            </w:r>
          </w:p>
          <w:p w14:paraId="708C62E9">
            <w:pPr>
              <w:widowControl w:val="0"/>
              <w:tabs>
                <w:tab w:val="left" w:pos="1096"/>
              </w:tabs>
              <w:autoSpaceDE w:val="0"/>
              <w:autoSpaceDN w:val="0"/>
              <w:spacing w:before="118" w:line="242" w:lineRule="auto"/>
              <w:ind w:left="173"/>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h. For foreign bidders, they must enter into a consortium with a domestic bidder or use domestic subcontractors, unless the domestic bidder is not qualified to participate in any part of the bidding package.</w:t>
            </w:r>
          </w:p>
          <w:p w14:paraId="708C62EA">
            <w:pPr>
              <w:widowControl w:val="0"/>
              <w:shd w:val="clear" w:color="auto" w:fill="FFFFFF"/>
              <w:spacing w:before="40" w:after="40" w:line="240" w:lineRule="auto"/>
              <w:ind w:left="146"/>
              <w:jc w:val="both"/>
              <w:rPr>
                <w:sz w:val="26"/>
                <w:szCs w:val="26"/>
              </w:rPr>
            </w:pPr>
            <w:r>
              <w:rPr>
                <w:sz w:val="26"/>
                <w:szCs w:val="26"/>
              </w:rPr>
              <w:t>k. Not being found to have serious or frequent violations of important obligations in one or more contracts within the last 5 years.</w:t>
            </w:r>
          </w:p>
          <w:p w14:paraId="708C62EB">
            <w:pPr>
              <w:widowControl w:val="0"/>
              <w:shd w:val="clear" w:color="auto" w:fill="FFFFFF"/>
              <w:spacing w:before="40" w:after="40" w:line="240" w:lineRule="auto"/>
              <w:ind w:left="146"/>
              <w:jc w:val="both"/>
              <w:rPr>
                <w:sz w:val="26"/>
                <w:szCs w:val="26"/>
              </w:rPr>
            </w:pPr>
            <w:r>
              <w:rPr>
                <w:sz w:val="26"/>
                <w:szCs w:val="26"/>
              </w:rPr>
              <w:t xml:space="preserve">l. Not subject to the final judgment of the court on serious crimes or other serious violations within 03 years before the deadline for submission of Bid. </w:t>
            </w:r>
          </w:p>
          <w:p w14:paraId="708C62EC">
            <w:pPr>
              <w:widowControl w:val="0"/>
              <w:shd w:val="clear" w:color="auto" w:fill="FFFFFF"/>
              <w:spacing w:before="40" w:after="40" w:line="240" w:lineRule="auto"/>
              <w:ind w:left="146"/>
              <w:jc w:val="both"/>
              <w:rPr>
                <w:sz w:val="26"/>
                <w:szCs w:val="26"/>
              </w:rPr>
            </w:pPr>
            <w:r>
              <w:rPr>
                <w:sz w:val="26"/>
                <w:szCs w:val="26"/>
              </w:rPr>
              <w:t>m. There is no evidence that the bidder has committed serious violations of professional ethics within 03 years before the deadline for submission of Bid.</w:t>
            </w:r>
          </w:p>
          <w:p w14:paraId="708C62ED">
            <w:pPr>
              <w:widowControl w:val="0"/>
              <w:tabs>
                <w:tab w:val="left" w:pos="971"/>
              </w:tabs>
              <w:autoSpaceDE w:val="0"/>
              <w:autoSpaceDN w:val="0"/>
              <w:spacing w:before="124"/>
              <w:ind w:left="173"/>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5.2. A bidder being a business household is considered eligible when fully</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meeting</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the</w:t>
            </w:r>
            <w:r>
              <w:rPr>
                <w:color w:val="000000" w:themeColor="text1"/>
                <w:spacing w:val="-5"/>
                <w:sz w:val="26"/>
                <w:szCs w:val="26"/>
                <w14:textFill>
                  <w14:solidFill>
                    <w14:schemeClr w14:val="tx1"/>
                  </w14:solidFill>
                </w14:textFill>
              </w:rPr>
              <w:t xml:space="preserve"> </w:t>
            </w:r>
            <w:r>
              <w:rPr>
                <w:color w:val="000000" w:themeColor="text1"/>
                <w:sz w:val="26"/>
                <w:szCs w:val="26"/>
                <w14:textFill>
                  <w14:solidFill>
                    <w14:schemeClr w14:val="tx1"/>
                  </w14:solidFill>
                </w14:textFill>
              </w:rPr>
              <w:t>following</w:t>
            </w:r>
            <w:r>
              <w:rPr>
                <w:color w:val="000000" w:themeColor="text1"/>
                <w:spacing w:val="-6"/>
                <w:sz w:val="26"/>
                <w:szCs w:val="26"/>
                <w14:textFill>
                  <w14:solidFill>
                    <w14:schemeClr w14:val="tx1"/>
                  </w14:solidFill>
                </w14:textFill>
              </w:rPr>
              <w:t xml:space="preserve"> </w:t>
            </w:r>
            <w:r>
              <w:rPr>
                <w:color w:val="000000" w:themeColor="text1"/>
                <w:sz w:val="26"/>
                <w:szCs w:val="26"/>
                <w14:textFill>
                  <w14:solidFill>
                    <w14:schemeClr w14:val="tx1"/>
                  </w14:solidFill>
                </w14:textFill>
              </w:rPr>
              <w:t>conditions:</w:t>
            </w:r>
          </w:p>
          <w:p w14:paraId="708C62EE">
            <w:pPr>
              <w:pStyle w:val="15"/>
              <w:spacing w:before="117"/>
              <w:ind w:left="173"/>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 Having</w:t>
            </w:r>
            <w:r>
              <w:rPr>
                <w:color w:val="000000" w:themeColor="text1"/>
                <w:spacing w:val="47"/>
                <w:sz w:val="26"/>
                <w:szCs w:val="26"/>
                <w14:textFill>
                  <w14:solidFill>
                    <w14:schemeClr w14:val="tx1"/>
                  </w14:solidFill>
                </w14:textFill>
              </w:rPr>
              <w:t xml:space="preserve"> </w:t>
            </w:r>
            <w:r>
              <w:rPr>
                <w:color w:val="000000" w:themeColor="text1"/>
                <w:sz w:val="26"/>
                <w:szCs w:val="26"/>
                <w14:textFill>
                  <w14:solidFill>
                    <w14:schemeClr w14:val="tx1"/>
                  </w14:solidFill>
                </w14:textFill>
              </w:rPr>
              <w:t>a</w:t>
            </w:r>
            <w:r>
              <w:rPr>
                <w:color w:val="000000" w:themeColor="text1"/>
                <w:spacing w:val="48"/>
                <w:sz w:val="26"/>
                <w:szCs w:val="26"/>
                <w14:textFill>
                  <w14:solidFill>
                    <w14:schemeClr w14:val="tx1"/>
                  </w14:solidFill>
                </w14:textFill>
              </w:rPr>
              <w:t xml:space="preserve"> </w:t>
            </w:r>
            <w:r>
              <w:rPr>
                <w:color w:val="000000" w:themeColor="text1"/>
                <w:sz w:val="26"/>
                <w:szCs w:val="26"/>
                <w14:textFill>
                  <w14:solidFill>
                    <w14:schemeClr w14:val="tx1"/>
                  </w14:solidFill>
                </w14:textFill>
              </w:rPr>
              <w:t>business</w:t>
            </w:r>
            <w:r>
              <w:rPr>
                <w:color w:val="000000" w:themeColor="text1"/>
                <w:spacing w:val="48"/>
                <w:sz w:val="26"/>
                <w:szCs w:val="26"/>
                <w14:textFill>
                  <w14:solidFill>
                    <w14:schemeClr w14:val="tx1"/>
                  </w14:solidFill>
                </w14:textFill>
              </w:rPr>
              <w:t xml:space="preserve"> </w:t>
            </w:r>
            <w:r>
              <w:rPr>
                <w:color w:val="000000" w:themeColor="text1"/>
                <w:sz w:val="26"/>
                <w:szCs w:val="26"/>
                <w14:textFill>
                  <w14:solidFill>
                    <w14:schemeClr w14:val="tx1"/>
                  </w14:solidFill>
                </w14:textFill>
              </w:rPr>
              <w:t>household</w:t>
            </w:r>
            <w:r>
              <w:rPr>
                <w:color w:val="000000" w:themeColor="text1"/>
                <w:spacing w:val="43"/>
                <w:sz w:val="26"/>
                <w:szCs w:val="26"/>
                <w14:textFill>
                  <w14:solidFill>
                    <w14:schemeClr w14:val="tx1"/>
                  </w14:solidFill>
                </w14:textFill>
              </w:rPr>
              <w:t xml:space="preserve"> </w:t>
            </w:r>
            <w:r>
              <w:rPr>
                <w:color w:val="000000" w:themeColor="text1"/>
                <w:sz w:val="26"/>
                <w:szCs w:val="26"/>
                <w14:textFill>
                  <w14:solidFill>
                    <w14:schemeClr w14:val="tx1"/>
                  </w14:solidFill>
                </w14:textFill>
              </w:rPr>
              <w:t>registration</w:t>
            </w:r>
            <w:r>
              <w:rPr>
                <w:color w:val="000000" w:themeColor="text1"/>
                <w:spacing w:val="47"/>
                <w:sz w:val="26"/>
                <w:szCs w:val="26"/>
                <w14:textFill>
                  <w14:solidFill>
                    <w14:schemeClr w14:val="tx1"/>
                  </w14:solidFill>
                </w14:textFill>
              </w:rPr>
              <w:t xml:space="preserve"> </w:t>
            </w:r>
            <w:r>
              <w:rPr>
                <w:color w:val="000000" w:themeColor="text1"/>
                <w:sz w:val="26"/>
                <w:szCs w:val="26"/>
                <w14:textFill>
                  <w14:solidFill>
                    <w14:schemeClr w14:val="tx1"/>
                  </w14:solidFill>
                </w14:textFill>
              </w:rPr>
              <w:t>certificate</w:t>
            </w:r>
            <w:r>
              <w:rPr>
                <w:color w:val="000000" w:themeColor="text1"/>
                <w:spacing w:val="48"/>
                <w:sz w:val="26"/>
                <w:szCs w:val="26"/>
                <w14:textFill>
                  <w14:solidFill>
                    <w14:schemeClr w14:val="tx1"/>
                  </w14:solidFill>
                </w14:textFill>
              </w:rPr>
              <w:t xml:space="preserve"> </w:t>
            </w:r>
            <w:r>
              <w:rPr>
                <w:color w:val="000000" w:themeColor="text1"/>
                <w:sz w:val="26"/>
                <w:szCs w:val="26"/>
                <w14:textFill>
                  <w14:solidFill>
                    <w14:schemeClr w14:val="tx1"/>
                  </w14:solidFill>
                </w14:textFill>
              </w:rPr>
              <w:t>in</w:t>
            </w:r>
            <w:r>
              <w:rPr>
                <w:color w:val="000000" w:themeColor="text1"/>
                <w:spacing w:val="47"/>
                <w:sz w:val="26"/>
                <w:szCs w:val="26"/>
                <w14:textFill>
                  <w14:solidFill>
                    <w14:schemeClr w14:val="tx1"/>
                  </w14:solidFill>
                </w14:textFill>
              </w:rPr>
              <w:t xml:space="preserve"> </w:t>
            </w:r>
            <w:r>
              <w:rPr>
                <w:color w:val="000000" w:themeColor="text1"/>
                <w:sz w:val="26"/>
                <w:szCs w:val="26"/>
                <w14:textFill>
                  <w14:solidFill>
                    <w14:schemeClr w14:val="tx1"/>
                  </w14:solidFill>
                </w14:textFill>
              </w:rPr>
              <w:t>accordance</w:t>
            </w:r>
            <w:r>
              <w:rPr>
                <w:color w:val="000000" w:themeColor="text1"/>
                <w:spacing w:val="49"/>
                <w:sz w:val="26"/>
                <w:szCs w:val="26"/>
                <w14:textFill>
                  <w14:solidFill>
                    <w14:schemeClr w14:val="tx1"/>
                  </w14:solidFill>
                </w14:textFill>
              </w:rPr>
              <w:t xml:space="preserve"> </w:t>
            </w:r>
            <w:r>
              <w:rPr>
                <w:color w:val="000000" w:themeColor="text1"/>
                <w:sz w:val="26"/>
                <w:szCs w:val="26"/>
                <w14:textFill>
                  <w14:solidFill>
                    <w14:schemeClr w14:val="tx1"/>
                  </w14:solidFill>
                </w14:textFill>
              </w:rPr>
              <w:t>with law;</w:t>
            </w:r>
          </w:p>
          <w:p w14:paraId="708C62EF">
            <w:pPr>
              <w:pStyle w:val="15"/>
              <w:spacing w:before="118"/>
              <w:ind w:left="173"/>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 Neither</w:t>
            </w:r>
            <w:r>
              <w:rPr>
                <w:color w:val="000000" w:themeColor="text1"/>
                <w:spacing w:val="78"/>
                <w:sz w:val="26"/>
                <w:szCs w:val="26"/>
                <w14:textFill>
                  <w14:solidFill>
                    <w14:schemeClr w14:val="tx1"/>
                  </w14:solidFill>
                </w14:textFill>
              </w:rPr>
              <w:t xml:space="preserve"> </w:t>
            </w:r>
            <w:r>
              <w:rPr>
                <w:color w:val="000000" w:themeColor="text1"/>
                <w:sz w:val="26"/>
                <w:szCs w:val="26"/>
                <w14:textFill>
                  <w14:solidFill>
                    <w14:schemeClr w14:val="tx1"/>
                  </w14:solidFill>
                </w14:textFill>
              </w:rPr>
              <w:t>being</w:t>
            </w:r>
            <w:r>
              <w:rPr>
                <w:color w:val="000000" w:themeColor="text1"/>
                <w:spacing w:val="71"/>
                <w:sz w:val="26"/>
                <w:szCs w:val="26"/>
                <w14:textFill>
                  <w14:solidFill>
                    <w14:schemeClr w14:val="tx1"/>
                  </w14:solidFill>
                </w14:textFill>
              </w:rPr>
              <w:t xml:space="preserve"> </w:t>
            </w:r>
            <w:r>
              <w:rPr>
                <w:color w:val="000000" w:themeColor="text1"/>
                <w:sz w:val="26"/>
                <w:szCs w:val="26"/>
                <w14:textFill>
                  <w14:solidFill>
                    <w14:schemeClr w14:val="tx1"/>
                  </w14:solidFill>
                </w14:textFill>
              </w:rPr>
              <w:t>in</w:t>
            </w:r>
            <w:r>
              <w:rPr>
                <w:color w:val="000000" w:themeColor="text1"/>
                <w:spacing w:val="77"/>
                <w:sz w:val="26"/>
                <w:szCs w:val="26"/>
                <w14:textFill>
                  <w14:solidFill>
                    <w14:schemeClr w14:val="tx1"/>
                  </w14:solidFill>
                </w14:textFill>
              </w:rPr>
              <w:t xml:space="preserve"> </w:t>
            </w:r>
            <w:r>
              <w:rPr>
                <w:color w:val="000000" w:themeColor="text1"/>
                <w:sz w:val="26"/>
                <w:szCs w:val="26"/>
                <w14:textFill>
                  <w14:solidFill>
                    <w14:schemeClr w14:val="tx1"/>
                  </w14:solidFill>
                </w14:textFill>
              </w:rPr>
              <w:t>the</w:t>
            </w:r>
            <w:r>
              <w:rPr>
                <w:color w:val="000000" w:themeColor="text1"/>
                <w:spacing w:val="77"/>
                <w:sz w:val="26"/>
                <w:szCs w:val="26"/>
                <w14:textFill>
                  <w14:solidFill>
                    <w14:schemeClr w14:val="tx1"/>
                  </w14:solidFill>
                </w14:textFill>
              </w:rPr>
              <w:t xml:space="preserve"> </w:t>
            </w:r>
            <w:r>
              <w:rPr>
                <w:color w:val="000000" w:themeColor="text1"/>
                <w:sz w:val="26"/>
                <w:szCs w:val="26"/>
                <w14:textFill>
                  <w14:solidFill>
                    <w14:schemeClr w14:val="tx1"/>
                  </w14:solidFill>
                </w14:textFill>
              </w:rPr>
              <w:t>process</w:t>
            </w:r>
            <w:r>
              <w:rPr>
                <w:color w:val="000000" w:themeColor="text1"/>
                <w:spacing w:val="78"/>
                <w:sz w:val="26"/>
                <w:szCs w:val="26"/>
                <w14:textFill>
                  <w14:solidFill>
                    <w14:schemeClr w14:val="tx1"/>
                  </w14:solidFill>
                </w14:textFill>
              </w:rPr>
              <w:t xml:space="preserve"> </w:t>
            </w:r>
            <w:r>
              <w:rPr>
                <w:color w:val="000000" w:themeColor="text1"/>
                <w:sz w:val="26"/>
                <w:szCs w:val="26"/>
                <w14:textFill>
                  <w14:solidFill>
                    <w14:schemeClr w14:val="tx1"/>
                  </w14:solidFill>
                </w14:textFill>
              </w:rPr>
              <w:t>of</w:t>
            </w:r>
            <w:r>
              <w:rPr>
                <w:color w:val="000000" w:themeColor="text1"/>
                <w:spacing w:val="78"/>
                <w:sz w:val="26"/>
                <w:szCs w:val="26"/>
                <w14:textFill>
                  <w14:solidFill>
                    <w14:schemeClr w14:val="tx1"/>
                  </w14:solidFill>
                </w14:textFill>
              </w:rPr>
              <w:t xml:space="preserve"> </w:t>
            </w:r>
            <w:r>
              <w:rPr>
                <w:color w:val="000000" w:themeColor="text1"/>
                <w:sz w:val="26"/>
                <w:szCs w:val="26"/>
                <w14:textFill>
                  <w14:solidFill>
                    <w14:schemeClr w14:val="tx1"/>
                  </w14:solidFill>
                </w14:textFill>
              </w:rPr>
              <w:t>operation</w:t>
            </w:r>
            <w:r>
              <w:rPr>
                <w:color w:val="000000" w:themeColor="text1"/>
                <w:spacing w:val="76"/>
                <w:sz w:val="26"/>
                <w:szCs w:val="26"/>
                <w14:textFill>
                  <w14:solidFill>
                    <w14:schemeClr w14:val="tx1"/>
                  </w14:solidFill>
                </w14:textFill>
              </w:rPr>
              <w:t xml:space="preserve"> </w:t>
            </w:r>
            <w:r>
              <w:rPr>
                <w:color w:val="000000" w:themeColor="text1"/>
                <w:sz w:val="26"/>
                <w:szCs w:val="26"/>
                <w14:textFill>
                  <w14:solidFill>
                    <w14:schemeClr w14:val="tx1"/>
                  </w14:solidFill>
                </w14:textFill>
              </w:rPr>
              <w:t>termination</w:t>
            </w:r>
            <w:r>
              <w:rPr>
                <w:color w:val="000000" w:themeColor="text1"/>
                <w:spacing w:val="77"/>
                <w:sz w:val="26"/>
                <w:szCs w:val="26"/>
                <w14:textFill>
                  <w14:solidFill>
                    <w14:schemeClr w14:val="tx1"/>
                  </w14:solidFill>
                </w14:textFill>
              </w:rPr>
              <w:t xml:space="preserve"> </w:t>
            </w:r>
            <w:r>
              <w:rPr>
                <w:color w:val="000000" w:themeColor="text1"/>
                <w:sz w:val="26"/>
                <w:szCs w:val="26"/>
                <w14:textFill>
                  <w14:solidFill>
                    <w14:schemeClr w14:val="tx1"/>
                  </w14:solidFill>
                </w14:textFill>
              </w:rPr>
              <w:t>nor</w:t>
            </w:r>
            <w:r>
              <w:rPr>
                <w:color w:val="000000" w:themeColor="text1"/>
                <w:spacing w:val="78"/>
                <w:sz w:val="26"/>
                <w:szCs w:val="26"/>
                <w14:textFill>
                  <w14:solidFill>
                    <w14:schemeClr w14:val="tx1"/>
                  </w14:solidFill>
                </w14:textFill>
              </w:rPr>
              <w:t xml:space="preserve"> </w:t>
            </w:r>
            <w:r>
              <w:rPr>
                <w:color w:val="000000" w:themeColor="text1"/>
                <w:sz w:val="26"/>
                <w:szCs w:val="26"/>
                <w14:textFill>
                  <w14:solidFill>
                    <w14:schemeClr w14:val="tx1"/>
                  </w14:solidFill>
                </w14:textFill>
              </w:rPr>
              <w:t>having</w:t>
            </w:r>
            <w:r>
              <w:rPr>
                <w:color w:val="000000" w:themeColor="text1"/>
                <w:spacing w:val="77"/>
                <w:sz w:val="26"/>
                <w:szCs w:val="26"/>
                <w14:textFill>
                  <w14:solidFill>
                    <w14:schemeClr w14:val="tx1"/>
                  </w14:solidFill>
                </w14:textFill>
              </w:rPr>
              <w:t xml:space="preserve"> </w:t>
            </w:r>
            <w:r>
              <w:rPr>
                <w:color w:val="000000" w:themeColor="text1"/>
                <w:sz w:val="26"/>
                <w:szCs w:val="26"/>
                <w14:textFill>
                  <w14:solidFill>
                    <w14:schemeClr w14:val="tx1"/>
                  </w14:solidFill>
                </w14:textFill>
              </w:rPr>
              <w:t>its business</w:t>
            </w:r>
            <w:r>
              <w:rPr>
                <w:color w:val="000000" w:themeColor="text1"/>
                <w:spacing w:val="37"/>
                <w:sz w:val="26"/>
                <w:szCs w:val="26"/>
                <w14:textFill>
                  <w14:solidFill>
                    <w14:schemeClr w14:val="tx1"/>
                  </w14:solidFill>
                </w14:textFill>
              </w:rPr>
              <w:t xml:space="preserve"> </w:t>
            </w:r>
            <w:r>
              <w:rPr>
                <w:color w:val="000000" w:themeColor="text1"/>
                <w:sz w:val="26"/>
                <w:szCs w:val="26"/>
                <w14:textFill>
                  <w14:solidFill>
                    <w14:schemeClr w14:val="tx1"/>
                  </w14:solidFill>
                </w14:textFill>
              </w:rPr>
              <w:t>household</w:t>
            </w:r>
            <w:r>
              <w:rPr>
                <w:color w:val="000000" w:themeColor="text1"/>
                <w:spacing w:val="33"/>
                <w:sz w:val="26"/>
                <w:szCs w:val="26"/>
                <w14:textFill>
                  <w14:solidFill>
                    <w14:schemeClr w14:val="tx1"/>
                  </w14:solidFill>
                </w14:textFill>
              </w:rPr>
              <w:t xml:space="preserve"> </w:t>
            </w:r>
            <w:r>
              <w:rPr>
                <w:color w:val="000000" w:themeColor="text1"/>
                <w:sz w:val="26"/>
                <w:szCs w:val="26"/>
                <w14:textFill>
                  <w14:solidFill>
                    <w14:schemeClr w14:val="tx1"/>
                  </w14:solidFill>
                </w14:textFill>
              </w:rPr>
              <w:t>registration</w:t>
            </w:r>
            <w:r>
              <w:rPr>
                <w:color w:val="000000" w:themeColor="text1"/>
                <w:spacing w:val="37"/>
                <w:sz w:val="26"/>
                <w:szCs w:val="26"/>
                <w14:textFill>
                  <w14:solidFill>
                    <w14:schemeClr w14:val="tx1"/>
                  </w14:solidFill>
                </w14:textFill>
              </w:rPr>
              <w:t xml:space="preserve"> </w:t>
            </w:r>
            <w:r>
              <w:rPr>
                <w:color w:val="000000" w:themeColor="text1"/>
                <w:sz w:val="26"/>
                <w:szCs w:val="26"/>
                <w14:textFill>
                  <w14:solidFill>
                    <w14:schemeClr w14:val="tx1"/>
                  </w14:solidFill>
                </w14:textFill>
              </w:rPr>
              <w:t>certificate</w:t>
            </w:r>
            <w:r>
              <w:rPr>
                <w:color w:val="000000" w:themeColor="text1"/>
                <w:spacing w:val="33"/>
                <w:sz w:val="26"/>
                <w:szCs w:val="26"/>
                <w14:textFill>
                  <w14:solidFill>
                    <w14:schemeClr w14:val="tx1"/>
                  </w14:solidFill>
                </w14:textFill>
              </w:rPr>
              <w:t xml:space="preserve"> </w:t>
            </w:r>
            <w:r>
              <w:rPr>
                <w:color w:val="000000" w:themeColor="text1"/>
                <w:sz w:val="26"/>
                <w:szCs w:val="26"/>
                <w14:textFill>
                  <w14:solidFill>
                    <w14:schemeClr w14:val="tx1"/>
                  </w14:solidFill>
                </w14:textFill>
              </w:rPr>
              <w:t>revoked;</w:t>
            </w:r>
            <w:r>
              <w:rPr>
                <w:color w:val="000000" w:themeColor="text1"/>
                <w:spacing w:val="39"/>
                <w:sz w:val="26"/>
                <w:szCs w:val="26"/>
                <w14:textFill>
                  <w14:solidFill>
                    <w14:schemeClr w14:val="tx1"/>
                  </w14:solidFill>
                </w14:textFill>
              </w:rPr>
              <w:t xml:space="preserve"> </w:t>
            </w:r>
            <w:r>
              <w:rPr>
                <w:color w:val="000000" w:themeColor="text1"/>
                <w:sz w:val="26"/>
                <w:szCs w:val="26"/>
                <w14:textFill>
                  <w14:solidFill>
                    <w14:schemeClr w14:val="tx1"/>
                  </w14:solidFill>
                </w14:textFill>
              </w:rPr>
              <w:t>ensuring</w:t>
            </w:r>
            <w:r>
              <w:rPr>
                <w:color w:val="000000" w:themeColor="text1"/>
                <w:spacing w:val="32"/>
                <w:sz w:val="26"/>
                <w:szCs w:val="26"/>
                <w14:textFill>
                  <w14:solidFill>
                    <w14:schemeClr w14:val="tx1"/>
                  </w14:solidFill>
                </w14:textFill>
              </w:rPr>
              <w:t xml:space="preserve"> </w:t>
            </w:r>
            <w:r>
              <w:rPr>
                <w:color w:val="000000" w:themeColor="text1"/>
                <w:sz w:val="26"/>
                <w:szCs w:val="26"/>
                <w14:textFill>
                  <w14:solidFill>
                    <w14:schemeClr w14:val="tx1"/>
                  </w14:solidFill>
                </w14:textFill>
              </w:rPr>
              <w:t>that</w:t>
            </w:r>
            <w:r>
              <w:rPr>
                <w:color w:val="000000" w:themeColor="text1"/>
                <w:spacing w:val="35"/>
                <w:sz w:val="26"/>
                <w:szCs w:val="26"/>
                <w14:textFill>
                  <w14:solidFill>
                    <w14:schemeClr w14:val="tx1"/>
                  </w14:solidFill>
                </w14:textFill>
              </w:rPr>
              <w:t xml:space="preserve"> </w:t>
            </w:r>
            <w:r>
              <w:rPr>
                <w:color w:val="000000" w:themeColor="text1"/>
                <w:sz w:val="26"/>
                <w:szCs w:val="26"/>
                <w14:textFill>
                  <w14:solidFill>
                    <w14:schemeClr w14:val="tx1"/>
                  </w14:solidFill>
                </w14:textFill>
              </w:rPr>
              <w:t>its</w:t>
            </w:r>
            <w:r>
              <w:rPr>
                <w:color w:val="000000" w:themeColor="text1"/>
                <w:spacing w:val="38"/>
                <w:sz w:val="26"/>
                <w:szCs w:val="26"/>
                <w14:textFill>
                  <w14:solidFill>
                    <w14:schemeClr w14:val="tx1"/>
                  </w14:solidFill>
                </w14:textFill>
              </w:rPr>
              <w:t xml:space="preserve"> </w:t>
            </w:r>
            <w:r>
              <w:rPr>
                <w:color w:val="000000" w:themeColor="text1"/>
                <w:sz w:val="26"/>
                <w:szCs w:val="26"/>
                <w14:textFill>
                  <w14:solidFill>
                    <w14:schemeClr w14:val="tx1"/>
                  </w14:solidFill>
                </w14:textFill>
              </w:rPr>
              <w:t>head</w:t>
            </w:r>
            <w:r>
              <w:rPr>
                <w:color w:val="000000" w:themeColor="text1"/>
                <w:spacing w:val="32"/>
                <w:sz w:val="26"/>
                <w:szCs w:val="26"/>
                <w14:textFill>
                  <w14:solidFill>
                    <w14:schemeClr w14:val="tx1"/>
                  </w14:solidFill>
                </w14:textFill>
              </w:rPr>
              <w:t xml:space="preserve"> </w:t>
            </w:r>
            <w:r>
              <w:rPr>
                <w:color w:val="000000" w:themeColor="text1"/>
                <w:sz w:val="26"/>
                <w:szCs w:val="26"/>
                <w14:textFill>
                  <w14:solidFill>
                    <w14:schemeClr w14:val="tx1"/>
                  </w14:solidFill>
                </w14:textFill>
              </w:rPr>
              <w:t>is</w:t>
            </w:r>
            <w:r>
              <w:rPr>
                <w:color w:val="000000" w:themeColor="text1"/>
                <w:spacing w:val="33"/>
                <w:sz w:val="26"/>
                <w:szCs w:val="26"/>
                <w14:textFill>
                  <w14:solidFill>
                    <w14:schemeClr w14:val="tx1"/>
                  </w14:solidFill>
                </w14:textFill>
              </w:rPr>
              <w:t xml:space="preserve"> </w:t>
            </w:r>
            <w:r>
              <w:rPr>
                <w:color w:val="000000" w:themeColor="text1"/>
                <w:sz w:val="26"/>
                <w:szCs w:val="26"/>
                <w14:textFill>
                  <w14:solidFill>
                    <w14:schemeClr w14:val="tx1"/>
                  </w14:solidFill>
                </w14:textFill>
              </w:rPr>
              <w:t>not</w:t>
            </w:r>
            <w:r>
              <w:rPr>
                <w:color w:val="000000" w:themeColor="text1"/>
                <w:spacing w:val="-67"/>
                <w:sz w:val="26"/>
                <w:szCs w:val="26"/>
                <w14:textFill>
                  <w14:solidFill>
                    <w14:schemeClr w14:val="tx1"/>
                  </w14:solidFill>
                </w14:textFill>
              </w:rPr>
              <w:t xml:space="preserve"> </w:t>
            </w:r>
            <w:r>
              <w:rPr>
                <w:color w:val="000000" w:themeColor="text1"/>
                <w:sz w:val="26"/>
                <w:szCs w:val="26"/>
                <w14:textFill>
                  <w14:solidFill>
                    <w14:schemeClr w14:val="tx1"/>
                  </w14:solidFill>
                </w14:textFill>
              </w:rPr>
              <w:t>being</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examined for</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criminal</w:t>
            </w:r>
            <w:r>
              <w:rPr>
                <w:color w:val="000000" w:themeColor="text1"/>
                <w:spacing w:val="-4"/>
                <w:sz w:val="26"/>
                <w:szCs w:val="26"/>
                <w14:textFill>
                  <w14:solidFill>
                    <w14:schemeClr w14:val="tx1"/>
                  </w14:solidFill>
                </w14:textFill>
              </w:rPr>
              <w:t xml:space="preserve"> </w:t>
            </w:r>
            <w:r>
              <w:rPr>
                <w:color w:val="000000" w:themeColor="text1"/>
                <w:sz w:val="26"/>
                <w:szCs w:val="26"/>
                <w14:textFill>
                  <w14:solidFill>
                    <w14:schemeClr w14:val="tx1"/>
                  </w14:solidFill>
                </w14:textFill>
              </w:rPr>
              <w:t>liability;</w:t>
            </w:r>
          </w:p>
          <w:p w14:paraId="708C62F0">
            <w:pPr>
              <w:pStyle w:val="15"/>
              <w:spacing w:before="116" w:line="242" w:lineRule="auto"/>
              <w:ind w:left="173"/>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 Meeting</w:t>
            </w:r>
            <w:r>
              <w:rPr>
                <w:color w:val="000000" w:themeColor="text1"/>
                <w:spacing w:val="14"/>
                <w:sz w:val="26"/>
                <w:szCs w:val="26"/>
                <w14:textFill>
                  <w14:solidFill>
                    <w14:schemeClr w14:val="tx1"/>
                  </w14:solidFill>
                </w14:textFill>
              </w:rPr>
              <w:t xml:space="preserve"> </w:t>
            </w:r>
            <w:r>
              <w:rPr>
                <w:color w:val="000000" w:themeColor="text1"/>
                <w:sz w:val="26"/>
                <w:szCs w:val="26"/>
                <w14:textFill>
                  <w14:solidFill>
                    <w14:schemeClr w14:val="tx1"/>
                  </w14:solidFill>
                </w14:textFill>
              </w:rPr>
              <w:t>the</w:t>
            </w:r>
            <w:r>
              <w:rPr>
                <w:color w:val="000000" w:themeColor="text1"/>
                <w:spacing w:val="15"/>
                <w:sz w:val="26"/>
                <w:szCs w:val="26"/>
                <w14:textFill>
                  <w14:solidFill>
                    <w14:schemeClr w14:val="tx1"/>
                  </w14:solidFill>
                </w14:textFill>
              </w:rPr>
              <w:t xml:space="preserve"> </w:t>
            </w:r>
            <w:r>
              <w:rPr>
                <w:color w:val="000000" w:themeColor="text1"/>
                <w:sz w:val="26"/>
                <w:szCs w:val="26"/>
                <w14:textFill>
                  <w14:solidFill>
                    <w14:schemeClr w14:val="tx1"/>
                  </w14:solidFill>
                </w14:textFill>
              </w:rPr>
              <w:t>conditions</w:t>
            </w:r>
            <w:r>
              <w:rPr>
                <w:color w:val="000000" w:themeColor="text1"/>
                <w:spacing w:val="15"/>
                <w:sz w:val="26"/>
                <w:szCs w:val="26"/>
                <w14:textFill>
                  <w14:solidFill>
                    <w14:schemeClr w14:val="tx1"/>
                  </w14:solidFill>
                </w14:textFill>
              </w:rPr>
              <w:t xml:space="preserve"> </w:t>
            </w:r>
            <w:r>
              <w:rPr>
                <w:color w:val="000000" w:themeColor="text1"/>
                <w:sz w:val="26"/>
                <w:szCs w:val="26"/>
                <w14:textFill>
                  <w14:solidFill>
                    <w14:schemeClr w14:val="tx1"/>
                  </w14:solidFill>
                </w14:textFill>
              </w:rPr>
              <w:t>specified</w:t>
            </w:r>
            <w:r>
              <w:rPr>
                <w:color w:val="000000" w:themeColor="text1"/>
                <w:spacing w:val="15"/>
                <w:sz w:val="26"/>
                <w:szCs w:val="26"/>
                <w14:textFill>
                  <w14:solidFill>
                    <w14:schemeClr w14:val="tx1"/>
                  </w14:solidFill>
                </w14:textFill>
              </w:rPr>
              <w:t xml:space="preserve"> </w:t>
            </w:r>
            <w:r>
              <w:rPr>
                <w:color w:val="000000" w:themeColor="text1"/>
                <w:sz w:val="26"/>
                <w:szCs w:val="26"/>
                <w14:textFill>
                  <w14:solidFill>
                    <w14:schemeClr w14:val="tx1"/>
                  </w14:solidFill>
                </w14:textFill>
              </w:rPr>
              <w:t>at</w:t>
            </w:r>
            <w:r>
              <w:rPr>
                <w:color w:val="000000" w:themeColor="text1"/>
                <w:spacing w:val="17"/>
                <w:sz w:val="26"/>
                <w:szCs w:val="26"/>
                <w14:textFill>
                  <w14:solidFill>
                    <w14:schemeClr w14:val="tx1"/>
                  </w14:solidFill>
                </w14:textFill>
              </w:rPr>
              <w:t xml:space="preserve"> </w:t>
            </w:r>
            <w:r>
              <w:rPr>
                <w:color w:val="000000" w:themeColor="text1"/>
                <w:sz w:val="26"/>
                <w:szCs w:val="26"/>
                <w14:textFill>
                  <w14:solidFill>
                    <w14:schemeClr w14:val="tx1"/>
                  </w14:solidFill>
                </w14:textFill>
              </w:rPr>
              <w:t>Points</w:t>
            </w:r>
            <w:r>
              <w:rPr>
                <w:color w:val="000000" w:themeColor="text1"/>
                <w:spacing w:val="9"/>
                <w:sz w:val="26"/>
                <w:szCs w:val="26"/>
                <w14:textFill>
                  <w14:solidFill>
                    <w14:schemeClr w14:val="tx1"/>
                  </w14:solidFill>
                </w14:textFill>
              </w:rPr>
              <w:t xml:space="preserve"> </w:t>
            </w:r>
            <w:r>
              <w:rPr>
                <w:color w:val="000000" w:themeColor="text1"/>
                <w:sz w:val="26"/>
                <w:szCs w:val="26"/>
                <w14:textFill>
                  <w14:solidFill>
                    <w14:schemeClr w14:val="tx1"/>
                  </w14:solidFill>
                </w14:textFill>
              </w:rPr>
              <w:t>d,</w:t>
            </w:r>
            <w:r>
              <w:rPr>
                <w:color w:val="000000" w:themeColor="text1"/>
                <w:spacing w:val="14"/>
                <w:sz w:val="26"/>
                <w:szCs w:val="26"/>
                <w14:textFill>
                  <w14:solidFill>
                    <w14:schemeClr w14:val="tx1"/>
                  </w14:solidFill>
                </w14:textFill>
              </w:rPr>
              <w:t xml:space="preserve"> </w:t>
            </w:r>
            <w:r>
              <w:rPr>
                <w:color w:val="000000" w:themeColor="text1"/>
                <w:sz w:val="26"/>
                <w:szCs w:val="26"/>
                <w14:textFill>
                  <w14:solidFill>
                    <w14:schemeClr w14:val="tx1"/>
                  </w14:solidFill>
                </w14:textFill>
              </w:rPr>
              <w:t>e</w:t>
            </w:r>
            <w:r>
              <w:rPr>
                <w:color w:val="000000" w:themeColor="text1"/>
                <w:spacing w:val="20"/>
                <w:sz w:val="26"/>
                <w:szCs w:val="26"/>
                <w14:textFill>
                  <w14:solidFill>
                    <w14:schemeClr w14:val="tx1"/>
                  </w14:solidFill>
                </w14:textFill>
              </w:rPr>
              <w:t xml:space="preserve"> and g </w:t>
            </w:r>
            <w:r>
              <w:rPr>
                <w:color w:val="000000" w:themeColor="text1"/>
                <w:sz w:val="26"/>
                <w:szCs w:val="26"/>
                <w14:textFill>
                  <w14:solidFill>
                    <w14:schemeClr w14:val="tx1"/>
                  </w14:solidFill>
                </w14:textFill>
              </w:rPr>
              <w:t>Clause</w:t>
            </w:r>
            <w:r>
              <w:rPr>
                <w:color w:val="000000" w:themeColor="text1"/>
                <w:spacing w:val="15"/>
                <w:sz w:val="26"/>
                <w:szCs w:val="26"/>
                <w14:textFill>
                  <w14:solidFill>
                    <w14:schemeClr w14:val="tx1"/>
                  </w14:solidFill>
                </w14:textFill>
              </w:rPr>
              <w:t xml:space="preserve"> 5.</w:t>
            </w:r>
            <w:r>
              <w:rPr>
                <w:color w:val="000000" w:themeColor="text1"/>
                <w:sz w:val="26"/>
                <w:szCs w:val="26"/>
                <w14:textFill>
                  <w14:solidFill>
                    <w14:schemeClr w14:val="tx1"/>
                  </w14:solidFill>
                </w14:textFill>
              </w:rPr>
              <w:t>1</w:t>
            </w:r>
            <w:r>
              <w:rPr>
                <w:color w:val="000000" w:themeColor="text1"/>
                <w:spacing w:val="13"/>
                <w:sz w:val="26"/>
                <w:szCs w:val="26"/>
                <w14:textFill>
                  <w14:solidFill>
                    <w14:schemeClr w14:val="tx1"/>
                  </w14:solidFill>
                </w14:textFill>
              </w:rPr>
              <w:t xml:space="preserve"> </w:t>
            </w:r>
            <w:r>
              <w:rPr>
                <w:color w:val="000000" w:themeColor="text1"/>
                <w:sz w:val="26"/>
                <w:szCs w:val="26"/>
                <w14:textFill>
                  <w14:solidFill>
                    <w14:schemeClr w14:val="tx1"/>
                  </w14:solidFill>
                </w14:textFill>
              </w:rPr>
              <w:t>of</w:t>
            </w:r>
            <w:r>
              <w:rPr>
                <w:color w:val="000000" w:themeColor="text1"/>
                <w:spacing w:val="16"/>
                <w:sz w:val="26"/>
                <w:szCs w:val="26"/>
                <w14:textFill>
                  <w14:solidFill>
                    <w14:schemeClr w14:val="tx1"/>
                  </w14:solidFill>
                </w14:textFill>
              </w:rPr>
              <w:t xml:space="preserve"> </w:t>
            </w:r>
            <w:r>
              <w:rPr>
                <w:color w:val="000000" w:themeColor="text1"/>
                <w:sz w:val="26"/>
                <w:szCs w:val="26"/>
                <w14:textFill>
                  <w14:solidFill>
                    <w14:schemeClr w14:val="tx1"/>
                  </w14:solidFill>
                </w14:textFill>
              </w:rPr>
              <w:t xml:space="preserve">this </w:t>
            </w:r>
            <w:r>
              <w:rPr>
                <w:color w:val="000000" w:themeColor="text1"/>
                <w:spacing w:val="-67"/>
                <w:sz w:val="26"/>
                <w:szCs w:val="26"/>
                <w14:textFill>
                  <w14:solidFill>
                    <w14:schemeClr w14:val="tx1"/>
                  </w14:solidFill>
                </w14:textFill>
              </w:rPr>
              <w:t xml:space="preserve"> </w:t>
            </w:r>
            <w:r>
              <w:rPr>
                <w:color w:val="000000" w:themeColor="text1"/>
                <w:sz w:val="26"/>
                <w:szCs w:val="26"/>
                <w14:textFill>
                  <w14:solidFill>
                    <w14:schemeClr w14:val="tx1"/>
                  </w14:solidFill>
                </w14:textFill>
              </w:rPr>
              <w:t>Article.</w:t>
            </w:r>
          </w:p>
        </w:tc>
      </w:tr>
      <w:tr w14:paraId="708C6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2F2">
            <w:pPr>
              <w:widowControl w:val="0"/>
              <w:spacing w:before="60" w:after="60" w:line="240" w:lineRule="auto"/>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6.</w:t>
            </w:r>
            <w:r>
              <w:rPr>
                <w:b/>
                <w:bCs/>
                <w:color w:val="000000" w:themeColor="text1"/>
                <w:sz w:val="26"/>
                <w:szCs w:val="26"/>
                <w14:textFill>
                  <w14:solidFill>
                    <w14:schemeClr w14:val="tx1"/>
                  </w14:solidFill>
                </w14:textFill>
              </w:rPr>
              <w:tab/>
            </w:r>
            <w:r>
              <w:rPr>
                <w:b/>
                <w:bCs/>
                <w:color w:val="000000" w:themeColor="text1"/>
                <w:sz w:val="26"/>
                <w:szCs w:val="26"/>
                <w14:textFill>
                  <w14:solidFill>
                    <w14:schemeClr w14:val="tx1"/>
                  </w14:solidFill>
                </w14:textFill>
              </w:rPr>
              <w:t>Sections of BD</w:t>
            </w:r>
          </w:p>
        </w:tc>
        <w:tc>
          <w:tcPr>
            <w:tcW w:w="7230" w:type="dxa"/>
          </w:tcPr>
          <w:p w14:paraId="708C62F3">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6.1. The </w:t>
            </w:r>
            <w:r>
              <w:rPr>
                <w:color w:val="000000" w:themeColor="text1"/>
                <w14:textFill>
                  <w14:solidFill>
                    <w14:schemeClr w14:val="tx1"/>
                  </w14:solidFill>
                </w14:textFill>
              </w:rPr>
              <w:t>BDs</w:t>
            </w:r>
            <w:r>
              <w:rPr>
                <w:color w:val="000000" w:themeColor="text1"/>
                <w:spacing w:val="0"/>
                <w:sz w:val="26"/>
                <w:szCs w:val="26"/>
                <w14:textFill>
                  <w14:solidFill>
                    <w14:schemeClr w14:val="tx1"/>
                  </w14:solidFill>
                </w14:textFill>
              </w:rPr>
              <w:t xml:space="preserve"> consist of Parts 1, 2, 3 along with documents amending and clarifying BDs as prescribed in ITB 7 (if any), which includes the following: </w:t>
            </w:r>
          </w:p>
          <w:p w14:paraId="708C62F4">
            <w:pPr>
              <w:widowControl w:val="0"/>
              <w:shd w:val="clear" w:color="auto" w:fill="FFFFFF"/>
              <w:tabs>
                <w:tab w:val="left" w:pos="1152"/>
                <w:tab w:val="left" w:pos="2502"/>
              </w:tabs>
              <w:spacing w:before="40" w:after="40" w:line="240" w:lineRule="auto"/>
              <w:ind w:left="170"/>
              <w:outlineLvl w:val="3"/>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Part 1 Bidding Procedures:</w:t>
            </w:r>
          </w:p>
          <w:p w14:paraId="708C62F5">
            <w:pPr>
              <w:widowControl w:val="0"/>
              <w:shd w:val="clear" w:color="auto" w:fill="FFFFFF"/>
              <w:tabs>
                <w:tab w:val="left" w:pos="1602"/>
                <w:tab w:val="left" w:pos="2502"/>
              </w:tabs>
              <w:spacing w:before="40" w:after="40" w:line="240" w:lineRule="auto"/>
              <w:ind w:left="170"/>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Section I. Instructions to Bidders (ITB);</w:t>
            </w:r>
          </w:p>
          <w:p w14:paraId="708C62F6">
            <w:pPr>
              <w:widowControl w:val="0"/>
              <w:shd w:val="clear" w:color="auto" w:fill="FFFFFF"/>
              <w:tabs>
                <w:tab w:val="left" w:pos="1602"/>
                <w:tab w:val="left" w:pos="2502"/>
              </w:tabs>
              <w:spacing w:before="40" w:after="40" w:line="240" w:lineRule="auto"/>
              <w:ind w:left="170"/>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Section II. Bid Data Sheet (BDS);</w:t>
            </w:r>
          </w:p>
          <w:p w14:paraId="708C62F7">
            <w:pPr>
              <w:widowControl w:val="0"/>
              <w:shd w:val="clear" w:color="auto" w:fill="FFFFFF"/>
              <w:tabs>
                <w:tab w:val="left" w:pos="1152"/>
                <w:tab w:val="left" w:pos="1692"/>
                <w:tab w:val="left" w:pos="2502"/>
              </w:tabs>
              <w:spacing w:before="40" w:after="40" w:line="240" w:lineRule="auto"/>
              <w:ind w:left="170"/>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Section III. Bid Evaluation Criteria;</w:t>
            </w:r>
          </w:p>
          <w:p w14:paraId="708C62F8">
            <w:pPr>
              <w:widowControl w:val="0"/>
              <w:shd w:val="clear" w:color="auto" w:fill="FFFFFF"/>
              <w:tabs>
                <w:tab w:val="left" w:pos="1152"/>
                <w:tab w:val="left" w:pos="1692"/>
                <w:tab w:val="left" w:pos="2502"/>
              </w:tabs>
              <w:spacing w:before="40" w:after="40" w:line="240" w:lineRule="auto"/>
              <w:ind w:left="170"/>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Section IV. Bidding Forms.</w:t>
            </w:r>
          </w:p>
          <w:p w14:paraId="708C62F9">
            <w:pPr>
              <w:widowControl w:val="0"/>
              <w:shd w:val="clear" w:color="auto" w:fill="FFFFFF"/>
              <w:tabs>
                <w:tab w:val="left" w:pos="1152"/>
                <w:tab w:val="left" w:pos="1692"/>
                <w:tab w:val="left" w:pos="2502"/>
              </w:tabs>
              <w:spacing w:before="40" w:after="40" w:line="240" w:lineRule="auto"/>
              <w:ind w:left="170"/>
              <w:outlineLvl w:val="3"/>
              <w:rPr>
                <w:b/>
                <w:sz w:val="26"/>
                <w:szCs w:val="26"/>
              </w:rPr>
            </w:pPr>
            <w:r>
              <w:rPr>
                <w:b/>
                <w:sz w:val="26"/>
                <w:szCs w:val="26"/>
              </w:rPr>
              <w:t>Part 2   Supply Requirements:</w:t>
            </w:r>
          </w:p>
          <w:p w14:paraId="708C62FA">
            <w:pPr>
              <w:widowControl w:val="0"/>
              <w:shd w:val="clear" w:color="auto" w:fill="FFFFFF"/>
              <w:tabs>
                <w:tab w:val="left" w:pos="1602"/>
              </w:tabs>
              <w:spacing w:before="40" w:after="40" w:line="240" w:lineRule="auto"/>
              <w:ind w:left="170"/>
              <w:rPr>
                <w:sz w:val="26"/>
                <w:szCs w:val="26"/>
              </w:rPr>
            </w:pPr>
            <w:r>
              <w:rPr>
                <w:sz w:val="26"/>
                <w:szCs w:val="26"/>
              </w:rPr>
              <w:t>- Section V-1. Scope of supply;</w:t>
            </w:r>
          </w:p>
          <w:p w14:paraId="708C62FB">
            <w:pPr>
              <w:widowControl w:val="0"/>
              <w:shd w:val="clear" w:color="auto" w:fill="FFFFFF"/>
              <w:tabs>
                <w:tab w:val="left" w:pos="1602"/>
              </w:tabs>
              <w:spacing w:before="40" w:after="40" w:line="240" w:lineRule="auto"/>
              <w:ind w:left="170"/>
              <w:rPr>
                <w:sz w:val="26"/>
                <w:szCs w:val="26"/>
              </w:rPr>
            </w:pPr>
            <w:r>
              <w:rPr>
                <w:sz w:val="26"/>
                <w:szCs w:val="26"/>
              </w:rPr>
              <w:t>- Section V-2. Technical specifications;</w:t>
            </w:r>
          </w:p>
          <w:p w14:paraId="708C62FC">
            <w:pPr>
              <w:widowControl w:val="0"/>
              <w:shd w:val="clear" w:color="auto" w:fill="FFFFFF"/>
              <w:tabs>
                <w:tab w:val="left" w:pos="1602"/>
              </w:tabs>
              <w:spacing w:before="40" w:after="40" w:line="240" w:lineRule="auto"/>
              <w:ind w:left="170"/>
              <w:rPr>
                <w:sz w:val="26"/>
                <w:szCs w:val="26"/>
              </w:rPr>
            </w:pPr>
            <w:r>
              <w:rPr>
                <w:sz w:val="26"/>
                <w:szCs w:val="26"/>
              </w:rPr>
              <w:t>- Section V-3. Technical data sheets</w:t>
            </w:r>
          </w:p>
          <w:p w14:paraId="708C62FD">
            <w:pPr>
              <w:widowControl w:val="0"/>
              <w:shd w:val="clear" w:color="auto" w:fill="FFFFFF"/>
              <w:tabs>
                <w:tab w:val="left" w:pos="1152"/>
                <w:tab w:val="left" w:pos="1692"/>
                <w:tab w:val="left" w:pos="2502"/>
              </w:tabs>
              <w:spacing w:before="40" w:after="40" w:line="240" w:lineRule="auto"/>
              <w:ind w:left="170"/>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Part 3   Conditions and Forms of Contract:</w:t>
            </w:r>
          </w:p>
          <w:p w14:paraId="708C62FE">
            <w:pPr>
              <w:widowControl w:val="0"/>
              <w:shd w:val="clear" w:color="auto" w:fill="FFFFFF"/>
              <w:tabs>
                <w:tab w:val="left" w:pos="1602"/>
              </w:tabs>
              <w:spacing w:before="40" w:after="40" w:line="240" w:lineRule="auto"/>
              <w:ind w:left="17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Section VI. General Conditions of Contract (GCC);</w:t>
            </w:r>
          </w:p>
          <w:p w14:paraId="708C62FF">
            <w:pPr>
              <w:widowControl w:val="0"/>
              <w:shd w:val="clear" w:color="auto" w:fill="FFFFFF"/>
              <w:tabs>
                <w:tab w:val="left" w:pos="1602"/>
              </w:tabs>
              <w:spacing w:before="40" w:after="40" w:line="240" w:lineRule="auto"/>
              <w:ind w:left="17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Section VII. Special Conditions of Contract (SCC);</w:t>
            </w:r>
          </w:p>
          <w:p w14:paraId="708C6300">
            <w:pPr>
              <w:widowControl w:val="0"/>
              <w:shd w:val="clear" w:color="auto" w:fill="FFFFFF"/>
              <w:tabs>
                <w:tab w:val="left" w:pos="1602"/>
              </w:tabs>
              <w:spacing w:before="40" w:after="40" w:line="240" w:lineRule="auto"/>
              <w:ind w:left="17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Section VIII. Contract Forms</w:t>
            </w:r>
          </w:p>
          <w:p w14:paraId="708C6301">
            <w:pPr>
              <w:widowControl w:val="0"/>
              <w:shd w:val="clear" w:color="auto" w:fill="FFFFFF"/>
              <w:tabs>
                <w:tab w:val="left" w:pos="1602"/>
              </w:tabs>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Invitation for Bids is posted by the Purchaser on VNEPS is not part of the BDs.</w:t>
            </w:r>
          </w:p>
          <w:p w14:paraId="708C6302">
            <w:pPr>
              <w:widowControl w:val="0"/>
              <w:shd w:val="clear" w:color="auto" w:fill="FFFFFF"/>
              <w:tabs>
                <w:tab w:val="left" w:pos="1602"/>
              </w:tabs>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6.2. The Purchaser will not be responsible for the accuracy and completeness of the BDs, clarification documents of BDs, pre-bid conference minutes (if any) or amendment documents of BDs as prescribed in ITB 7 if these documents are not provided by the Purchaser on VNEPS. BDs issued by the Purchaser on VNEPS shall be the basis for consideration and evaluation.</w:t>
            </w:r>
          </w:p>
          <w:p w14:paraId="708C6303">
            <w:pPr>
              <w:widowControl w:val="0"/>
              <w:spacing w:before="60" w:after="6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6.3. The Bidder must study all information of the BDs, including amendments and clarifications to the BDs, the minutes of the pre-bid conference (if any) to prepare the Bids according to the requirements of the BDs accordingly.</w:t>
            </w:r>
          </w:p>
        </w:tc>
      </w:tr>
      <w:tr w14:paraId="708C6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305">
            <w:pPr>
              <w:widowControl w:val="0"/>
              <w:tabs>
                <w:tab w:val="left" w:pos="172"/>
              </w:tabs>
              <w:spacing w:before="60" w:after="60" w:line="240" w:lineRule="auto"/>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7. Clarification and amendment of BDs</w:t>
            </w:r>
          </w:p>
        </w:tc>
        <w:tc>
          <w:tcPr>
            <w:tcW w:w="7230" w:type="dxa"/>
          </w:tcPr>
          <w:p w14:paraId="708C6306">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7.1. In case of amending the BDs, the Purchaser shall post the Decision of amendment of the BDs accompanied with amendments and the amended BDs properly </w:t>
            </w:r>
            <w:r>
              <w:rPr>
                <w:color w:val="000000" w:themeColor="text1"/>
                <w:sz w:val="26"/>
                <w:szCs w:val="26"/>
                <w14:textFill>
                  <w14:solidFill>
                    <w14:schemeClr w14:val="tx1"/>
                  </w14:solidFill>
                </w14:textFill>
              </w:rPr>
              <w:t>on VNEPS</w:t>
            </w:r>
            <w:r>
              <w:rPr>
                <w:color w:val="000000" w:themeColor="text1"/>
                <w:spacing w:val="0"/>
                <w:sz w:val="26"/>
                <w:szCs w:val="26"/>
                <w14:textFill>
                  <w14:solidFill>
                    <w14:schemeClr w14:val="tx1"/>
                  </w14:solidFill>
                </w14:textFill>
              </w:rPr>
              <w:t>. Amending BDs shall be performed within an interval of at least 10 days before the deadline for bid submission. For bidding packages with a bidding price not exceeding 10 billion VND, amending BDs shall be performed at least 03 working days before the bid closing date and ensure enough time for the bidder to complete the bid; In case of not ensuring enough time as mentioned above, the bid closing time must be extended.</w:t>
            </w:r>
          </w:p>
          <w:p w14:paraId="708C6307">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7.2. In case it is necessary to clarify the BDs, the Bidder must post a request for clarification on VNEPS within a period of at least </w:t>
            </w:r>
            <w:r>
              <w:rPr>
                <w:b/>
                <w:bCs/>
                <w:color w:val="000000" w:themeColor="text1"/>
                <w:spacing w:val="0"/>
                <w:sz w:val="26"/>
                <w:szCs w:val="26"/>
                <w14:textFill>
                  <w14:solidFill>
                    <w14:schemeClr w14:val="tx1"/>
                  </w14:solidFill>
                </w14:textFill>
              </w:rPr>
              <w:t>05 working days</w:t>
            </w:r>
            <w:r>
              <w:rPr>
                <w:color w:val="000000" w:themeColor="text1"/>
                <w:spacing w:val="0"/>
                <w:sz w:val="26"/>
                <w:szCs w:val="26"/>
                <w14:textFill>
                  <w14:solidFill>
                    <w14:schemeClr w14:val="tx1"/>
                  </w14:solidFill>
                </w14:textFill>
              </w:rPr>
              <w:t xml:space="preserve"> before the deadline for submission of Bids so as to be examined and solved by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shall receive the clarifications for examining and clarifying at the request of the Bidder and post the clarification on VNEPS within an interval of at least 02 working days before the deadline for submission of Bid, in which expresses the request for clarification without stating the name of the Bidder requesting clarification. In case the clarification leads to the modification of the BDs,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shall amend the BDs according to the provisions of ITB 7.1. </w:t>
            </w:r>
          </w:p>
          <w:p w14:paraId="708C6308">
            <w:pPr>
              <w:pStyle w:val="86"/>
              <w:widowControl w:val="0"/>
              <w:shd w:val="clear" w:color="auto" w:fill="FFFFFF"/>
              <w:spacing w:before="40" w:after="40"/>
              <w:ind w:left="170"/>
              <w:outlineLvl w:val="3"/>
              <w:rPr>
                <w:color w:val="FF0000"/>
                <w:sz w:val="26"/>
                <w:szCs w:val="26"/>
              </w:rPr>
            </w:pPr>
            <w:r>
              <w:rPr>
                <w:color w:val="000000" w:themeColor="text1"/>
                <w:spacing w:val="0"/>
                <w:sz w:val="26"/>
                <w:szCs w:val="26"/>
                <w14:textFill>
                  <w14:solidFill>
                    <w14:schemeClr w14:val="tx1"/>
                  </w14:solidFill>
                </w14:textFill>
              </w:rPr>
              <w:t xml:space="preserve">7.3. </w:t>
            </w:r>
            <w:r>
              <w:rPr>
                <w:color w:val="000000" w:themeColor="text1"/>
                <w:sz w:val="26"/>
                <w:szCs w:val="26"/>
                <w14:textFill>
                  <w14:solidFill>
                    <w14:schemeClr w14:val="tx1"/>
                  </w14:solidFill>
                </w14:textFill>
              </w:rPr>
              <w:t>The Bidder is responsible for checking information on VNEPS to update modification of BDs, changing Bid submission deadline (if any) so as to prepare bid accordingly. In case of mistakes caused by not checking, updating information on VNEPS timely lead to disadvantages to the Bidder when bidding the bid, including: modification, amendment of the BDs, changing the deadline for submission of Bid and others then the Bidder shall take self-responsibility and take disadvantages when bidding.</w:t>
            </w:r>
          </w:p>
          <w:p w14:paraId="708C6309">
            <w:pPr>
              <w:pStyle w:val="86"/>
              <w:widowControl w:val="0"/>
              <w:shd w:val="clear" w:color="auto" w:fill="FFFFFF"/>
              <w:spacing w:before="40" w:after="40"/>
              <w:ind w:left="170"/>
              <w:outlineLvl w:val="3"/>
              <w:rPr>
                <w:color w:val="0802F0"/>
                <w:sz w:val="26"/>
                <w:szCs w:val="26"/>
                <w:highlight w:val="yellow"/>
              </w:rPr>
            </w:pPr>
            <w:r>
              <w:rPr>
                <w:color w:val="000000" w:themeColor="text1"/>
                <w:spacing w:val="0"/>
                <w:sz w:val="26"/>
                <w:szCs w:val="26"/>
                <w14:textFill>
                  <w14:solidFill>
                    <w14:schemeClr w14:val="tx1"/>
                  </w14:solidFill>
                </w14:textFill>
              </w:rPr>
              <w:t xml:space="preserve">7.4. In case of necessary,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shall organize pre-bid meeting to discuss the contents of the BDs that Bidders are not clear as specified in the </w:t>
            </w:r>
            <w:r>
              <w:rPr>
                <w:b/>
                <w:color w:val="000000" w:themeColor="text1"/>
                <w:spacing w:val="0"/>
                <w:sz w:val="26"/>
                <w:szCs w:val="26"/>
                <w14:textFill>
                  <w14:solidFill>
                    <w14:schemeClr w14:val="tx1"/>
                  </w14:solidFill>
                </w14:textFill>
              </w:rPr>
              <w:t>BDS</w:t>
            </w:r>
            <w:r>
              <w:rPr>
                <w:color w:val="000000" w:themeColor="text1"/>
                <w:spacing w:val="0"/>
                <w:sz w:val="26"/>
                <w:szCs w:val="26"/>
                <w14:textFill>
                  <w14:solidFill>
                    <w14:schemeClr w14:val="tx1"/>
                  </w14:solidFill>
                </w14:textFill>
              </w:rPr>
              <w:t xml:space="preserve">.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will post the invitation to attend the pre-bid conference on VNEPS. All interested Bidders are invited to attend the pre-bid conference without prior notice to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Minutes of the pre-bid meeting will be recorded in writing and then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will make the writing on clarification of the BDs and will be posted on VNEPS within a maximum of </w:t>
            </w:r>
            <w:r>
              <w:rPr>
                <w:b/>
                <w:bCs/>
                <w:color w:val="000000" w:themeColor="text1"/>
                <w:spacing w:val="0"/>
                <w:sz w:val="26"/>
                <w:szCs w:val="26"/>
                <w14:textFill>
                  <w14:solidFill>
                    <w14:schemeClr w14:val="tx1"/>
                  </w14:solidFill>
                </w14:textFill>
              </w:rPr>
              <w:t>02 working days</w:t>
            </w:r>
            <w:r>
              <w:rPr>
                <w:color w:val="000000" w:themeColor="text1"/>
                <w:spacing w:val="0"/>
                <w:sz w:val="26"/>
                <w:szCs w:val="26"/>
                <w14:textFill>
                  <w14:solidFill>
                    <w14:schemeClr w14:val="tx1"/>
                  </w14:solidFill>
                </w14:textFill>
              </w:rPr>
              <w:t xml:space="preserve"> from the closing date of the pre-bid. </w:t>
            </w:r>
          </w:p>
          <w:p w14:paraId="708C630A">
            <w:pPr>
              <w:pStyle w:val="86"/>
              <w:widowControl w:val="0"/>
              <w:shd w:val="clear" w:color="auto" w:fill="FFFFFF"/>
              <w:spacing w:before="40" w:after="40"/>
              <w:ind w:left="170"/>
              <w:outlineLvl w:val="3"/>
              <w:rPr>
                <w:color w:val="0802F0"/>
                <w:sz w:val="26"/>
                <w:szCs w:val="26"/>
                <w:highlight w:val="yellow"/>
              </w:rPr>
            </w:pPr>
            <w:r>
              <w:rPr>
                <w:color w:val="000000" w:themeColor="text1"/>
                <w:spacing w:val="0"/>
                <w:sz w:val="26"/>
                <w:szCs w:val="26"/>
                <w14:textFill>
                  <w14:solidFill>
                    <w14:schemeClr w14:val="tx1"/>
                  </w14:solidFill>
                </w14:textFill>
              </w:rPr>
              <w:t xml:space="preserve">7.5. Any modification to the BDs that may become necessary as a result of the pre-bid meeting shall be made by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exclusively through the issue of an addendum pursuant to ITB 7.1 and not through the minutes of the pre-bid meeting. </w:t>
            </w:r>
          </w:p>
          <w:p w14:paraId="708C630B">
            <w:pPr>
              <w:widowControl w:val="0"/>
              <w:spacing w:before="60" w:after="6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7.6. Nonattendance at the pre-bid meeting or do not have a certificate of attendance at the pre-bid meeting will not be a cause for disqualification of Bidder. </w:t>
            </w:r>
          </w:p>
        </w:tc>
      </w:tr>
      <w:tr w14:paraId="708C6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30D">
            <w:pPr>
              <w:widowControl w:val="0"/>
              <w:spacing w:before="60" w:after="60" w:line="240" w:lineRule="auto"/>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8. Cost of Bidding</w:t>
            </w:r>
          </w:p>
        </w:tc>
        <w:tc>
          <w:tcPr>
            <w:tcW w:w="7230" w:type="dxa"/>
          </w:tcPr>
          <w:p w14:paraId="708C630E">
            <w:pPr>
              <w:pStyle w:val="86"/>
              <w:widowControl w:val="0"/>
              <w:spacing w:before="60" w:after="60"/>
              <w:ind w:left="178"/>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The Bidder shall bear all costs associated with the bidding process. In any case,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is not responsible for the costs related to the bidder's participation in the Bids. </w:t>
            </w:r>
          </w:p>
          <w:p w14:paraId="708C630F">
            <w:pPr>
              <w:pStyle w:val="86"/>
              <w:widowControl w:val="0"/>
              <w:spacing w:before="60" w:after="60"/>
              <w:ind w:left="178"/>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The Bidder must pay cost for obtaining the BDs to the Purchaser when submitting its Bid as </w:t>
            </w:r>
            <w:r>
              <w:rPr>
                <w:color w:val="000000" w:themeColor="text1"/>
                <w:sz w:val="26"/>
                <w:szCs w:val="26"/>
                <w14:textFill>
                  <w14:solidFill>
                    <w14:schemeClr w14:val="tx1"/>
                  </w14:solidFill>
                </w14:textFill>
              </w:rPr>
              <w:t xml:space="preserve">specified in the </w:t>
            </w:r>
            <w:r>
              <w:rPr>
                <w:b/>
                <w:color w:val="000000" w:themeColor="text1"/>
                <w:sz w:val="26"/>
                <w:szCs w:val="26"/>
                <w14:textFill>
                  <w14:solidFill>
                    <w14:schemeClr w14:val="tx1"/>
                  </w14:solidFill>
                </w14:textFill>
              </w:rPr>
              <w:t>BDS</w:t>
            </w:r>
            <w:r>
              <w:rPr>
                <w:color w:val="000000" w:themeColor="text1"/>
                <w:spacing w:val="0"/>
                <w:sz w:val="26"/>
                <w:szCs w:val="26"/>
                <w14:textFill>
                  <w14:solidFill>
                    <w14:schemeClr w14:val="tx1"/>
                  </w14:solidFill>
                </w14:textFill>
              </w:rPr>
              <w:t>.</w:t>
            </w:r>
          </w:p>
        </w:tc>
      </w:tr>
      <w:tr w14:paraId="708C6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311">
            <w:pPr>
              <w:widowControl w:val="0"/>
              <w:spacing w:before="60" w:after="60" w:line="240" w:lineRule="auto"/>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9. Language of Bids</w:t>
            </w:r>
          </w:p>
        </w:tc>
        <w:tc>
          <w:tcPr>
            <w:tcW w:w="7230" w:type="dxa"/>
          </w:tcPr>
          <w:p w14:paraId="708C6312">
            <w:pPr>
              <w:widowControl w:val="0"/>
              <w:spacing w:before="60" w:after="6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The Bids, as well as all correspondence and documents relating to the bid exchanged by the Bidder and the Purchaser, shall be written in the language as specified in the </w:t>
            </w:r>
            <w:r>
              <w:rPr>
                <w:b/>
                <w:color w:val="000000" w:themeColor="text1"/>
                <w:sz w:val="26"/>
                <w:szCs w:val="26"/>
                <w14:textFill>
                  <w14:solidFill>
                    <w14:schemeClr w14:val="tx1"/>
                  </w14:solidFill>
                </w14:textFill>
              </w:rPr>
              <w:t>BDS</w:t>
            </w:r>
            <w:r>
              <w:rPr>
                <w:color w:val="000000" w:themeColor="text1"/>
                <w:sz w:val="26"/>
                <w:szCs w:val="26"/>
                <w14:textFill>
                  <w14:solidFill>
                    <w14:schemeClr w14:val="tx1"/>
                  </w14:solidFill>
                </w14:textFill>
              </w:rPr>
              <w:t xml:space="preserve">. Supporting documents in the Bid (catalogue…) may be written in another language and accompanied by a translation into the language specified in the </w:t>
            </w:r>
            <w:r>
              <w:rPr>
                <w:b/>
                <w:color w:val="000000" w:themeColor="text1"/>
                <w:sz w:val="26"/>
                <w:szCs w:val="26"/>
                <w14:textFill>
                  <w14:solidFill>
                    <w14:schemeClr w14:val="tx1"/>
                  </w14:solidFill>
                </w14:textFill>
              </w:rPr>
              <w:t>BDS</w:t>
            </w:r>
            <w:r>
              <w:rPr>
                <w:color w:val="000000" w:themeColor="text1"/>
                <w:sz w:val="26"/>
                <w:szCs w:val="26"/>
                <w14:textFill>
                  <w14:solidFill>
                    <w14:schemeClr w14:val="tx1"/>
                  </w14:solidFill>
                </w14:textFill>
              </w:rPr>
              <w:t>. In case of lack of translation, the Purchaser may request the Bidder to send additional documents (if necessary). The bidder is responsible for any discrepancies between the original and the translation of the document (if any).</w:t>
            </w:r>
          </w:p>
        </w:tc>
      </w:tr>
      <w:tr w14:paraId="708C6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314">
            <w:pPr>
              <w:widowControl w:val="0"/>
              <w:spacing w:before="60" w:after="60" w:line="240" w:lineRule="auto"/>
              <w:rPr>
                <w:b/>
                <w:color w:val="000000" w:themeColor="text1"/>
                <w:spacing w:val="-8"/>
                <w:sz w:val="26"/>
                <w:szCs w:val="26"/>
                <w14:textFill>
                  <w14:solidFill>
                    <w14:schemeClr w14:val="tx1"/>
                  </w14:solidFill>
                </w14:textFill>
              </w:rPr>
            </w:pPr>
            <w:bookmarkStart w:id="1" w:name="_Hlk165533462"/>
            <w:r>
              <w:rPr>
                <w:b/>
                <w:color w:val="000000" w:themeColor="text1"/>
                <w:sz w:val="26"/>
                <w:szCs w:val="26"/>
                <w14:textFill>
                  <w14:solidFill>
                    <w14:schemeClr w14:val="tx1"/>
                  </w14:solidFill>
                </w14:textFill>
              </w:rPr>
              <w:t xml:space="preserve">10. Documents Comprising the Bid </w:t>
            </w:r>
          </w:p>
        </w:tc>
        <w:tc>
          <w:tcPr>
            <w:tcW w:w="7230" w:type="dxa"/>
          </w:tcPr>
          <w:p w14:paraId="708C6315">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The Bid includes the following components: </w:t>
            </w:r>
          </w:p>
          <w:p w14:paraId="708C6316">
            <w:pPr>
              <w:pStyle w:val="86"/>
              <w:widowControl w:val="0"/>
              <w:shd w:val="clear" w:color="auto" w:fill="FFFFFF"/>
              <w:spacing w:before="40" w:after="40"/>
              <w:ind w:left="170"/>
              <w:outlineLvl w:val="3"/>
              <w:rPr>
                <w:color w:val="000000" w:themeColor="text1"/>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10.1. </w:t>
            </w:r>
            <w:r>
              <w:rPr>
                <w:color w:val="000000" w:themeColor="text1"/>
                <w:sz w:val="26"/>
                <w:szCs w:val="26"/>
                <w14:textFill>
                  <w14:solidFill>
                    <w14:schemeClr w14:val="tx1"/>
                  </w14:solidFill>
                </w14:textFill>
              </w:rPr>
              <w:t>Letter of Bi</w:t>
            </w:r>
            <w:r>
              <w:rPr>
                <w:bCs/>
                <w:color w:val="000000" w:themeColor="text1"/>
                <w:sz w:val="26"/>
                <w:szCs w:val="26"/>
                <w14:textFill>
                  <w14:solidFill>
                    <w14:schemeClr w14:val="tx1"/>
                  </w14:solidFill>
                </w14:textFill>
              </w:rPr>
              <w:t>d</w:t>
            </w:r>
            <w:r>
              <w:rPr>
                <w:color w:val="000000" w:themeColor="text1"/>
                <w:sz w:val="26"/>
                <w:szCs w:val="26"/>
                <w14:textFill>
                  <w14:solidFill>
                    <w14:schemeClr w14:val="tx1"/>
                  </w14:solidFill>
                </w14:textFill>
              </w:rPr>
              <w:t xml:space="preserve"> in accordance with ITB 11;</w:t>
            </w:r>
          </w:p>
          <w:p w14:paraId="708C6317">
            <w:pPr>
              <w:pStyle w:val="86"/>
              <w:widowControl w:val="0"/>
              <w:shd w:val="clear" w:color="auto" w:fill="FFFFFF"/>
              <w:spacing w:before="40" w:after="40"/>
              <w:ind w:left="170"/>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10.2. Documentary evidence in accordance with ITB 19.3 establishing the eligibility of person signing the Letter of Bid;</w:t>
            </w:r>
          </w:p>
          <w:p w14:paraId="708C6318">
            <w:pPr>
              <w:pStyle w:val="86"/>
              <w:widowControl w:val="0"/>
              <w:shd w:val="clear" w:color="auto" w:fill="FFFFFF"/>
              <w:spacing w:before="40" w:after="40"/>
              <w:ind w:left="170"/>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10.3. Consortium Agreement in case of Consortium pursuant to Form 3 Section IV. Bidding Forms (for consortium);</w:t>
            </w:r>
          </w:p>
          <w:p w14:paraId="708C6319">
            <w:pPr>
              <w:pStyle w:val="86"/>
              <w:widowControl w:val="0"/>
              <w:shd w:val="clear" w:color="auto" w:fill="FFFFFF"/>
              <w:spacing w:before="40" w:after="40"/>
              <w:ind w:left="170"/>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10.4. Bid Security in accordance with ITB 18;</w:t>
            </w:r>
          </w:p>
          <w:p w14:paraId="708C631A">
            <w:pPr>
              <w:pStyle w:val="86"/>
              <w:widowControl w:val="0"/>
              <w:shd w:val="clear" w:color="auto" w:fill="FFFFFF"/>
              <w:spacing w:before="40" w:after="40"/>
              <w:ind w:left="170"/>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10.5. Documentary evidence in accordance with ITB 5 establishing the Bidder’s eligibility to Bid;</w:t>
            </w:r>
          </w:p>
          <w:p w14:paraId="708C631B">
            <w:pPr>
              <w:pStyle w:val="86"/>
              <w:widowControl w:val="0"/>
              <w:shd w:val="clear" w:color="auto" w:fill="FFFFFF"/>
              <w:spacing w:before="40" w:after="40"/>
              <w:ind w:left="170"/>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10.6. Documentary evidence in accordance with ITB 16 establishing the Bidder’s qualifications;</w:t>
            </w:r>
          </w:p>
          <w:p w14:paraId="708C631C">
            <w:pPr>
              <w:pStyle w:val="86"/>
              <w:widowControl w:val="0"/>
              <w:shd w:val="clear" w:color="auto" w:fill="FFFFFF"/>
              <w:spacing w:before="40" w:after="40"/>
              <w:ind w:left="170"/>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10.7. Technical proposals and documents establishing the Conformity of the Goods and Related Services in accordance with ITB 15;</w:t>
            </w:r>
          </w:p>
          <w:p w14:paraId="708C631D">
            <w:pPr>
              <w:pStyle w:val="86"/>
              <w:widowControl w:val="0"/>
              <w:shd w:val="clear" w:color="auto" w:fill="FFFFFF"/>
              <w:spacing w:before="40" w:after="40"/>
              <w:ind w:left="170"/>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10.8. Price proposals and completed price schedules, in accordance with ITB 11 and 13;</w:t>
            </w:r>
          </w:p>
          <w:p w14:paraId="708C631E">
            <w:pPr>
              <w:pStyle w:val="86"/>
              <w:widowControl w:val="0"/>
              <w:shd w:val="clear" w:color="auto" w:fill="FFFFFF"/>
              <w:spacing w:before="40" w:after="40"/>
              <w:ind w:left="170"/>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10.9. Alternative technical method proposals as specified in ITB 12 (if any);</w:t>
            </w:r>
          </w:p>
          <w:p w14:paraId="708C631F">
            <w:pPr>
              <w:snapToGrid w:val="0"/>
              <w:spacing w:before="60" w:after="60" w:line="240"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  10.10. Any other document required in the </w:t>
            </w:r>
            <w:r>
              <w:rPr>
                <w:b/>
                <w:color w:val="000000" w:themeColor="text1"/>
                <w:sz w:val="26"/>
                <w:szCs w:val="26"/>
                <w14:textFill>
                  <w14:solidFill>
                    <w14:schemeClr w14:val="tx1"/>
                  </w14:solidFill>
                </w14:textFill>
              </w:rPr>
              <w:t xml:space="preserve">BDS. </w:t>
            </w:r>
          </w:p>
        </w:tc>
      </w:tr>
      <w:bookmarkEnd w:id="1"/>
      <w:tr w14:paraId="708C6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321">
            <w:pPr>
              <w:widowControl w:val="0"/>
              <w:spacing w:before="60" w:after="60" w:line="240" w:lineRule="auto"/>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11. Letter of Bid and Bidding Forms</w:t>
            </w:r>
          </w:p>
        </w:tc>
        <w:tc>
          <w:tcPr>
            <w:tcW w:w="7230" w:type="dxa"/>
          </w:tcPr>
          <w:p w14:paraId="708C6322">
            <w:pPr>
              <w:widowControl w:val="0"/>
              <w:spacing w:before="60" w:after="6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Letter of Bid and relevant forms pursuant to Section IV, Bidding Forms. Forms must be filled out completely.</w:t>
            </w:r>
          </w:p>
        </w:tc>
      </w:tr>
      <w:tr w14:paraId="708C6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324">
            <w:pPr>
              <w:widowControl w:val="0"/>
              <w:spacing w:before="60" w:after="60" w:line="240" w:lineRule="auto"/>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12. Alternative technical proposals </w:t>
            </w:r>
          </w:p>
        </w:tc>
        <w:tc>
          <w:tcPr>
            <w:tcW w:w="7230" w:type="dxa"/>
          </w:tcPr>
          <w:p w14:paraId="708C6325">
            <w:pPr>
              <w:pStyle w:val="86"/>
              <w:widowControl w:val="0"/>
              <w:shd w:val="clear" w:color="auto" w:fill="FFFFFF"/>
              <w:spacing w:before="40" w:after="40"/>
              <w:ind w:left="170"/>
              <w:outlineLvl w:val="3"/>
              <w:rPr>
                <w:b/>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12.1. In case of specified in the </w:t>
            </w:r>
            <w:r>
              <w:rPr>
                <w:b/>
                <w:color w:val="000000" w:themeColor="text1"/>
                <w:spacing w:val="0"/>
                <w:sz w:val="26"/>
                <w:szCs w:val="26"/>
                <w14:textFill>
                  <w14:solidFill>
                    <w14:schemeClr w14:val="tx1"/>
                  </w14:solidFill>
                </w14:textFill>
              </w:rPr>
              <w:t>BDS,</w:t>
            </w:r>
            <w:r>
              <w:rPr>
                <w:color w:val="000000" w:themeColor="text1"/>
                <w:spacing w:val="0"/>
                <w:sz w:val="26"/>
                <w:szCs w:val="26"/>
                <w14:textFill>
                  <w14:solidFill>
                    <w14:schemeClr w14:val="tx1"/>
                  </w14:solidFill>
                </w14:textFill>
              </w:rPr>
              <w:t xml:space="preserve"> the Bidder may propose alternative technical proposal, then such alternative technical proposals will be considered.</w:t>
            </w:r>
          </w:p>
          <w:p w14:paraId="708C6326">
            <w:pPr>
              <w:pStyle w:val="86"/>
              <w:widowControl w:val="0"/>
              <w:spacing w:before="60" w:after="6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12.2. The alternative technical proposal is only considered when the main technical proposals are evaluated to meet the requirements and the Bidder is rated the first. In this case, the Bidder shall further provide all information necessary for a complete evaluation of the alternative by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including reports, drawings, technical specifications, and other relevant details. The method for evaluation of alternative technical proposals shall be performed pursuant to Item 5 Section III. Bid Evaluation Criteria. </w:t>
            </w:r>
          </w:p>
        </w:tc>
      </w:tr>
      <w:tr w14:paraId="708C6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328">
            <w:pPr>
              <w:widowControl w:val="0"/>
              <w:spacing w:before="60" w:after="60" w:line="240" w:lineRule="auto"/>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13. Bid Prices and Discounts</w:t>
            </w:r>
          </w:p>
        </w:tc>
        <w:tc>
          <w:tcPr>
            <w:tcW w:w="7230" w:type="dxa"/>
          </w:tcPr>
          <w:p w14:paraId="708C6329">
            <w:pPr>
              <w:pStyle w:val="86"/>
              <w:widowControl w:val="0"/>
              <w:shd w:val="clear" w:color="auto" w:fill="FFFFFF"/>
              <w:spacing w:before="40" w:after="40"/>
              <w:ind w:left="170"/>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13.1. The prices are quoted by the Bidder in the Letter of Bid and the Price Schedule together with the discounts must meet the following regulations:</w:t>
            </w:r>
          </w:p>
          <w:p w14:paraId="708C632A">
            <w:pPr>
              <w:pStyle w:val="86"/>
              <w:widowControl w:val="0"/>
              <w:shd w:val="clear" w:color="auto" w:fill="FFFFFF"/>
              <w:spacing w:before="40" w:after="40"/>
              <w:ind w:left="170"/>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a) All lots (for bidding packages divided into several lots) and items must be quoted separately in the bid price Schedule;</w:t>
            </w:r>
          </w:p>
          <w:p w14:paraId="708C632B">
            <w:pPr>
              <w:pStyle w:val="86"/>
              <w:widowControl w:val="0"/>
              <w:shd w:val="clear" w:color="auto" w:fill="FFFFFF"/>
              <w:spacing w:before="40" w:after="40"/>
              <w:ind w:left="170"/>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b) Bid price is offered by the bidder in the Letter of Bid, including all costs to implement the bidding package (excluding discount) according to the requirements specified in Part 2 – </w:t>
            </w:r>
            <w:r>
              <w:rPr>
                <w:color w:val="000000" w:themeColor="text1"/>
                <w:sz w:val="26"/>
                <w:szCs w:val="26"/>
                <w14:textFill>
                  <w14:solidFill>
                    <w14:schemeClr w14:val="tx1"/>
                  </w14:solidFill>
                </w14:textFill>
              </w:rPr>
              <w:t>Supply Requirements</w:t>
            </w:r>
            <w:r>
              <w:rPr>
                <w:color w:val="000000" w:themeColor="text1"/>
                <w:spacing w:val="0"/>
                <w:sz w:val="26"/>
                <w:szCs w:val="26"/>
                <w14:textFill>
                  <w14:solidFill>
                    <w14:schemeClr w14:val="tx1"/>
                  </w14:solidFill>
                </w14:textFill>
              </w:rPr>
              <w:t>;</w:t>
            </w:r>
          </w:p>
          <w:p w14:paraId="708C632C">
            <w:pPr>
              <w:pStyle w:val="86"/>
              <w:widowControl w:val="0"/>
              <w:shd w:val="clear" w:color="auto" w:fill="FFFFFF"/>
              <w:spacing w:before="40" w:after="40"/>
              <w:ind w:left="170"/>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c) Bidders must submit bids for all work described in Part 2 – </w:t>
            </w:r>
            <w:r>
              <w:rPr>
                <w:color w:val="000000" w:themeColor="text1"/>
                <w:sz w:val="26"/>
                <w:szCs w:val="26"/>
                <w14:textFill>
                  <w14:solidFill>
                    <w14:schemeClr w14:val="tx1"/>
                  </w14:solidFill>
                </w14:textFill>
              </w:rPr>
              <w:t>Supply Requirements</w:t>
            </w:r>
            <w:r>
              <w:rPr>
                <w:color w:val="000000" w:themeColor="text1"/>
                <w:spacing w:val="0"/>
                <w:sz w:val="26"/>
                <w:szCs w:val="26"/>
                <w14:textFill>
                  <w14:solidFill>
                    <w14:schemeClr w14:val="tx1"/>
                  </w14:solidFill>
                </w14:textFill>
              </w:rPr>
              <w:t xml:space="preserve"> and fill the bid unit price, amount for all work listed in the columns “List of Goods”, “Description of services” according to Forms 5(a) and 5(b) Section IV - Bidding Forms. The prices are quoted by the Bidder must include all taxes, fees and duties (is any) which are calculated in the rate of taxes, fees, duties at the time of 28 days prior to the deadline of bid submission and on the basis of delivery conditions referred to in ITB 13.6.</w:t>
            </w:r>
          </w:p>
          <w:p w14:paraId="708C632D">
            <w:pPr>
              <w:pStyle w:val="86"/>
              <w:widowControl w:val="0"/>
              <w:shd w:val="clear" w:color="auto" w:fill="FFFFFF"/>
              <w:spacing w:before="40" w:after="40"/>
              <w:ind w:left="170"/>
              <w:rPr>
                <w:spacing w:val="0"/>
                <w:sz w:val="26"/>
                <w:szCs w:val="26"/>
              </w:rPr>
            </w:pPr>
            <w:r>
              <w:rPr>
                <w:color w:val="000000" w:themeColor="text1"/>
                <w:spacing w:val="0"/>
                <w:sz w:val="26"/>
                <w:szCs w:val="26"/>
                <w14:textFill>
                  <w14:solidFill>
                    <w14:schemeClr w14:val="tx1"/>
                  </w14:solidFill>
                </w14:textFill>
              </w:rPr>
              <w:t xml:space="preserve">13.2. If the Bidder has a discount letter, the Bidder may fill out directly into the letter of Bid or propose separately in the discount letter. The discount letter may attach in Bids or submit separately, but it must be received by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prior to the deadline of bid submission. In case the letter of discount is submitted together with the Bids, the list of Bid components must include a letter of discount. In case the discount letter is submitted separately, the discount letter must be placed in a sealed envelope, clearly stating "Discount letter" (the sealing method is specified by the bidder) in compliance with the provisions of ITB 20.2 and ITB 20.3. The Letter of Discount will be preserved by the Purchaser as part of the Bid and shall be opened simultaneously the Bid. In case of discounts, the Bidder must indicate the content and method for their application into the specific items in column “Description of Goods”, “Description of Services”. If the Bidder does not indicate the method of discounts then it is meant discounting equally in percentage for all items in column “Description of Goods”, “Description of Services”. In case the bidding package applies the contract type</w:t>
            </w:r>
            <w:r>
              <w:rPr>
                <w:spacing w:val="0"/>
                <w:sz w:val="26"/>
                <w:szCs w:val="26"/>
              </w:rPr>
              <w:t xml:space="preserve"> according to the fixed unit price or the adjusted unit price, the discount value is calculated on the bid price after deducting contingency expenses (if any).</w:t>
            </w:r>
          </w:p>
          <w:p w14:paraId="708C632E">
            <w:pPr>
              <w:pStyle w:val="86"/>
              <w:widowControl w:val="0"/>
              <w:shd w:val="clear" w:color="auto" w:fill="FFFFFF"/>
              <w:spacing w:before="40" w:after="40"/>
              <w:ind w:left="170"/>
              <w:rPr>
                <w:spacing w:val="0"/>
                <w:sz w:val="26"/>
                <w:szCs w:val="26"/>
              </w:rPr>
            </w:pPr>
            <w:r>
              <w:rPr>
                <w:spacing w:val="0"/>
                <w:sz w:val="26"/>
                <w:szCs w:val="26"/>
              </w:rPr>
              <w:t xml:space="preserve">13.3 The Bidder must be responsible for the bid price to carry out completed the works according to the requirements in the BDs. In case the Bid has an unusually low unit price, affecting the quality of the package, the Purchaser shall request the Bidder to explain and clarify in writing the feasibility of that unusually low unit price unit. If the bidder's explanation is not clear enough and is not convincing, the Purchaser will not accept that bid unit price, and consider this as a deviation and make deviation correction as prescribed for the missing offer content of the Bids compared with the requirements of the BDs as prescribed in ITB 31.2. The deviation correction is for the purpose of comparing Bids only. </w:t>
            </w:r>
          </w:p>
          <w:p w14:paraId="708C632F">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sz w:val="26"/>
                <w:szCs w:val="26"/>
              </w:rPr>
              <w:t xml:space="preserve">13.4 In case the package is divided into separate lots and allowed bidding for each lot as </w:t>
            </w:r>
            <w:r>
              <w:rPr>
                <w:color w:val="000000" w:themeColor="text1"/>
                <w:sz w:val="26"/>
                <w:szCs w:val="26"/>
                <w14:textFill>
                  <w14:solidFill>
                    <w14:schemeClr w14:val="tx1"/>
                  </w14:solidFill>
                </w14:textFill>
              </w:rPr>
              <w:t xml:space="preserve">specified in the </w:t>
            </w:r>
            <w:r>
              <w:rPr>
                <w:b/>
                <w:color w:val="000000" w:themeColor="text1"/>
                <w:sz w:val="26"/>
                <w:szCs w:val="26"/>
                <w14:textFill>
                  <w14:solidFill>
                    <w14:schemeClr w14:val="tx1"/>
                  </w14:solidFill>
                </w14:textFill>
              </w:rPr>
              <w:t>BDS</w:t>
            </w:r>
            <w:r>
              <w:rPr>
                <w:color w:val="000000" w:themeColor="text1"/>
                <w:sz w:val="26"/>
                <w:szCs w:val="26"/>
                <w14:textFill>
                  <w14:solidFill>
                    <w14:schemeClr w14:val="tx1"/>
                  </w14:solidFill>
                </w14:textFill>
              </w:rPr>
              <w:t xml:space="preserve">, the Bidder may quote price for one or more lots of the package. The Bidder shall have to quote prices for all items in lots that the Bidder participated. If the Bidder offers discounts, then the Bidder must indicate clearly the method and detail discount’s value for each lot as specified in ITB 13.2.  </w:t>
            </w:r>
          </w:p>
          <w:p w14:paraId="708C6330">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13.5 The terms of delivery EXW, CIP and other conditions are implemented in accordance with the Incoterms edition of the International Chamber of Commerce as specified in the </w:t>
            </w:r>
            <w:r>
              <w:rPr>
                <w:b/>
                <w:color w:val="000000" w:themeColor="text1"/>
                <w:sz w:val="26"/>
                <w:szCs w:val="26"/>
                <w14:textFill>
                  <w14:solidFill>
                    <w14:schemeClr w14:val="tx1"/>
                  </w14:solidFill>
                </w14:textFill>
              </w:rPr>
              <w:t>BDS</w:t>
            </w:r>
            <w:r>
              <w:rPr>
                <w:color w:val="000000" w:themeColor="text1"/>
                <w:sz w:val="26"/>
                <w:szCs w:val="26"/>
                <w14:textFill>
                  <w14:solidFill>
                    <w14:schemeClr w14:val="tx1"/>
                  </w14:solidFill>
                </w14:textFill>
              </w:rPr>
              <w:t>.</w:t>
            </w:r>
          </w:p>
          <w:p w14:paraId="708C6331">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13.6 Bid prices are offered in accordance with Forms 05, 05(a), and 05(b) in Section IV - Bidding Forms.</w:t>
            </w:r>
          </w:p>
          <w:p w14:paraId="708C6332">
            <w:pPr>
              <w:widowControl w:val="0"/>
              <w:numPr>
                <w:ilvl w:val="0"/>
                <w:numId w:val="27"/>
              </w:numPr>
              <w:shd w:val="clear" w:color="auto" w:fill="FFFFFF"/>
              <w:spacing w:before="40" w:after="40" w:line="240" w:lineRule="auto"/>
              <w:ind w:left="170" w:firstLine="0"/>
              <w:jc w:val="both"/>
              <w:rPr>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For goods manufactured or processed from within Vietnam:</w:t>
            </w:r>
          </w:p>
          <w:p w14:paraId="708C6333">
            <w:pPr>
              <w:pStyle w:val="97"/>
              <w:numPr>
                <w:ilvl w:val="0"/>
                <w:numId w:val="28"/>
              </w:numPr>
              <w:shd w:val="clear" w:color="auto" w:fill="FFFFFF"/>
              <w:suppressAutoHyphens/>
              <w:spacing w:before="40" w:after="40"/>
              <w:ind w:left="180" w:hanging="1"/>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price of the goods shall be quoted EXW price (ex-works, ex-factory, ex warehouse, ex showroom, or off-the-shelf, as applicable), including all customs duties and sales and other taxes already paid or payable on the components and raw material used in the manufacture or assembly of the Goods</w:t>
            </w:r>
          </w:p>
          <w:p w14:paraId="708C6334">
            <w:pPr>
              <w:pStyle w:val="97"/>
              <w:numPr>
                <w:ilvl w:val="0"/>
                <w:numId w:val="28"/>
              </w:numPr>
              <w:shd w:val="clear" w:color="auto" w:fill="FFFFFF"/>
              <w:tabs>
                <w:tab w:val="left" w:pos="597"/>
              </w:tabs>
              <w:suppressAutoHyphens/>
              <w:spacing w:before="40" w:after="40"/>
              <w:ind w:left="180" w:hanging="1"/>
              <w:rPr>
                <w:color w:val="000000" w:themeColor="text1"/>
                <w:sz w:val="26"/>
                <w:szCs w:val="26"/>
                <w14:textFill>
                  <w14:solidFill>
                    <w14:schemeClr w14:val="tx1"/>
                  </w14:solidFill>
                </w14:textFill>
              </w:rPr>
            </w:pPr>
            <w:r>
              <w:rPr>
                <w:sz w:val="26"/>
                <w:szCs w:val="26"/>
              </w:rPr>
              <w:t xml:space="preserve">Value added taxes (VAT), the excise tax, other related taxes, fees and duties (if any) which will be payable on the Goods if the contract is awarded to the Bidder; </w:t>
            </w:r>
          </w:p>
          <w:p w14:paraId="708C6335">
            <w:pPr>
              <w:pStyle w:val="97"/>
              <w:numPr>
                <w:ilvl w:val="0"/>
                <w:numId w:val="28"/>
              </w:numPr>
              <w:shd w:val="clear" w:color="auto" w:fill="FFFFFF"/>
              <w:tabs>
                <w:tab w:val="left" w:pos="605"/>
              </w:tabs>
              <w:suppressAutoHyphens/>
              <w:spacing w:before="40" w:after="40"/>
              <w:ind w:left="180" w:hanging="1"/>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The price for inland transportation, insurance and other necessary services (included VAT) required in the Purchaser’s country to convey the Goods to the final destination as specified in </w:t>
            </w:r>
            <w:r>
              <w:rPr>
                <w:b/>
                <w:color w:val="000000" w:themeColor="text1"/>
                <w:sz w:val="26"/>
                <w:szCs w:val="26"/>
                <w14:textFill>
                  <w14:solidFill>
                    <w14:schemeClr w14:val="tx1"/>
                  </w14:solidFill>
                </w14:textFill>
              </w:rPr>
              <w:t>BDS;</w:t>
            </w:r>
          </w:p>
          <w:p w14:paraId="708C6336">
            <w:pPr>
              <w:widowControl w:val="0"/>
              <w:numPr>
                <w:ilvl w:val="0"/>
                <w:numId w:val="27"/>
              </w:numPr>
              <w:shd w:val="clear" w:color="auto" w:fill="FFFFFF"/>
              <w:spacing w:before="40" w:after="40" w:line="240" w:lineRule="auto"/>
              <w:ind w:left="170" w:hanging="7"/>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For goods manufactured or processed outside Vietnam, to be imported:</w:t>
            </w:r>
          </w:p>
          <w:p w14:paraId="708C6337">
            <w:pPr>
              <w:pStyle w:val="86"/>
              <w:shd w:val="clear" w:color="auto" w:fill="FFFFFF"/>
              <w:tabs>
                <w:tab w:val="left" w:pos="1027"/>
              </w:tabs>
              <w:spacing w:before="40" w:after="40"/>
              <w:ind w:left="170"/>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The price of the Goods shall be quoted as follows:</w:t>
            </w:r>
          </w:p>
          <w:p w14:paraId="708C6338">
            <w:pPr>
              <w:numPr>
                <w:ilvl w:val="0"/>
                <w:numId w:val="29"/>
              </w:numPr>
              <w:shd w:val="clear" w:color="auto" w:fill="FFFFFF"/>
              <w:suppressAutoHyphens/>
              <w:spacing w:before="40" w:after="40" w:line="240" w:lineRule="auto"/>
              <w:ind w:left="170" w:hanging="6"/>
              <w:jc w:val="both"/>
              <w:rPr>
                <w:color w:val="000000" w:themeColor="text1"/>
                <w:sz w:val="26"/>
                <w:szCs w:val="26"/>
                <w14:textFill>
                  <w14:solidFill>
                    <w14:schemeClr w14:val="tx1"/>
                  </w14:solidFill>
                </w14:textFill>
              </w:rPr>
            </w:pPr>
            <w:r>
              <w:rPr>
                <w:rFonts w:eastAsia="Times New Roman"/>
                <w:color w:val="000000" w:themeColor="text1"/>
                <w:sz w:val="26"/>
                <w:szCs w:val="26"/>
                <w14:textFill>
                  <w14:solidFill>
                    <w14:schemeClr w14:val="tx1"/>
                  </w14:solidFill>
                </w14:textFill>
              </w:rPr>
              <w:t xml:space="preserve">The price of the goods shall be quoted CIP price at place as </w:t>
            </w:r>
            <w:r>
              <w:rPr>
                <w:color w:val="000000" w:themeColor="text1"/>
                <w:sz w:val="26"/>
                <w:szCs w:val="26"/>
                <w14:textFill>
                  <w14:solidFill>
                    <w14:schemeClr w14:val="tx1"/>
                  </w14:solidFill>
                </w14:textFill>
              </w:rPr>
              <w:t xml:space="preserve">specified in </w:t>
            </w:r>
            <w:r>
              <w:rPr>
                <w:b/>
                <w:color w:val="000000" w:themeColor="text1"/>
                <w:sz w:val="26"/>
                <w:szCs w:val="26"/>
                <w14:textFill>
                  <w14:solidFill>
                    <w14:schemeClr w14:val="tx1"/>
                  </w14:solidFill>
                </w14:textFill>
              </w:rPr>
              <w:t>BDS</w:t>
            </w:r>
            <w:r>
              <w:rPr>
                <w:rFonts w:eastAsia="Times New Roman"/>
                <w:color w:val="000000" w:themeColor="text1"/>
                <w:sz w:val="26"/>
                <w:szCs w:val="26"/>
                <w14:textFill>
                  <w14:solidFill>
                    <w14:schemeClr w14:val="tx1"/>
                  </w14:solidFill>
                </w14:textFill>
              </w:rPr>
              <w:t>;</w:t>
            </w:r>
          </w:p>
          <w:p w14:paraId="708C6339">
            <w:pPr>
              <w:numPr>
                <w:ilvl w:val="0"/>
                <w:numId w:val="29"/>
              </w:numPr>
              <w:shd w:val="clear" w:color="auto" w:fill="FFFFFF"/>
              <w:suppressAutoHyphens/>
              <w:spacing w:before="40" w:after="40" w:line="240" w:lineRule="auto"/>
              <w:ind w:left="170" w:firstLine="0"/>
              <w:jc w:val="both"/>
              <w:rPr>
                <w:color w:val="000000" w:themeColor="text1"/>
                <w:sz w:val="26"/>
                <w:szCs w:val="26"/>
                <w14:textFill>
                  <w14:solidFill>
                    <w14:schemeClr w14:val="tx1"/>
                  </w14:solidFill>
                </w14:textFill>
              </w:rPr>
            </w:pPr>
            <w:r>
              <w:rPr>
                <w:rFonts w:eastAsia="Times New Roman"/>
                <w:color w:val="000000" w:themeColor="text1"/>
                <w:sz w:val="26"/>
                <w:szCs w:val="26"/>
                <w14:textFill>
                  <w14:solidFill>
                    <w14:schemeClr w14:val="tx1"/>
                  </w14:solidFill>
                </w14:textFill>
              </w:rPr>
              <w:t xml:space="preserve">The price for inland transportation, insurance and other necessary services (included VAT) required in the </w:t>
            </w:r>
            <w:r>
              <w:rPr>
                <w:color w:val="000000" w:themeColor="text1"/>
                <w:sz w:val="26"/>
                <w:szCs w:val="26"/>
                <w14:textFill>
                  <w14:solidFill>
                    <w14:schemeClr w14:val="tx1"/>
                  </w14:solidFill>
                </w14:textFill>
              </w:rPr>
              <w:t>Purchaser</w:t>
            </w:r>
            <w:r>
              <w:rPr>
                <w:rFonts w:eastAsia="Times New Roman"/>
                <w:color w:val="000000" w:themeColor="text1"/>
                <w:sz w:val="26"/>
                <w:szCs w:val="26"/>
                <w14:textFill>
                  <w14:solidFill>
                    <w14:schemeClr w14:val="tx1"/>
                  </w14:solidFill>
                </w14:textFill>
              </w:rPr>
              <w:t>’s country</w:t>
            </w:r>
            <w:r>
              <w:rPr>
                <w:color w:val="000000" w:themeColor="text1"/>
                <w:sz w:val="26"/>
                <w:szCs w:val="26"/>
                <w14:textFill>
                  <w14:solidFill>
                    <w14:schemeClr w14:val="tx1"/>
                  </w14:solidFill>
                </w14:textFill>
              </w:rPr>
              <w:t xml:space="preserve"> to convey the Goods from destination as specified in ITB 13.6(b)(i) to the final destination as specified in </w:t>
            </w:r>
            <w:r>
              <w:rPr>
                <w:b/>
                <w:color w:val="000000" w:themeColor="text1"/>
                <w:sz w:val="26"/>
                <w:szCs w:val="26"/>
                <w14:textFill>
                  <w14:solidFill>
                    <w14:schemeClr w14:val="tx1"/>
                  </w14:solidFill>
                </w14:textFill>
              </w:rPr>
              <w:t>BDS</w:t>
            </w:r>
            <w:r>
              <w:rPr>
                <w:rFonts w:eastAsia="Times New Roman"/>
                <w:color w:val="000000" w:themeColor="text1"/>
                <w:sz w:val="26"/>
                <w:szCs w:val="26"/>
                <w14:textFill>
                  <w14:solidFill>
                    <w14:schemeClr w14:val="tx1"/>
                  </w14:solidFill>
                </w14:textFill>
              </w:rPr>
              <w:t>;</w:t>
            </w:r>
          </w:p>
          <w:p w14:paraId="708C633A">
            <w:pPr>
              <w:numPr>
                <w:ilvl w:val="0"/>
                <w:numId w:val="29"/>
              </w:numPr>
              <w:shd w:val="clear" w:color="auto" w:fill="FFFFFF"/>
              <w:suppressAutoHyphens/>
              <w:spacing w:before="40" w:after="40" w:line="240" w:lineRule="auto"/>
              <w:ind w:left="170" w:hanging="6"/>
              <w:jc w:val="both"/>
              <w:rPr>
                <w:color w:val="000000" w:themeColor="text1"/>
                <w:sz w:val="26"/>
                <w:szCs w:val="26"/>
                <w14:textFill>
                  <w14:solidFill>
                    <w14:schemeClr w14:val="tx1"/>
                  </w14:solidFill>
                </w14:textFill>
              </w:rPr>
            </w:pPr>
            <w:bookmarkStart w:id="2" w:name="_Hlk164239922"/>
            <w:r>
              <w:rPr>
                <w:rFonts w:eastAsia="Times New Roman"/>
                <w:color w:val="000000" w:themeColor="text1"/>
                <w:sz w:val="26"/>
                <w:szCs w:val="26"/>
                <w14:textFill>
                  <w14:solidFill>
                    <w14:schemeClr w14:val="tx1"/>
                  </w14:solidFill>
                </w14:textFill>
              </w:rPr>
              <w:t>The taxes, fees and duties related to import, t</w:t>
            </w:r>
            <w:r>
              <w:rPr>
                <w:color w:val="000000" w:themeColor="text1"/>
                <w:sz w:val="26"/>
                <w:szCs w:val="26"/>
                <w14:textFill>
                  <w14:solidFill>
                    <w14:schemeClr w14:val="tx1"/>
                  </w14:solidFill>
                </w14:textFill>
              </w:rPr>
              <w:t xml:space="preserve">he </w:t>
            </w:r>
            <w:r>
              <w:rPr>
                <w:rFonts w:eastAsia="Times New Roman"/>
                <w:color w:val="000000" w:themeColor="text1"/>
                <w:sz w:val="26"/>
                <w:szCs w:val="26"/>
                <w14:textFill>
                  <w14:solidFill>
                    <w14:schemeClr w14:val="tx1"/>
                  </w14:solidFill>
                </w14:textFill>
              </w:rPr>
              <w:t>excise tax (if any), Value added taxes (VAT);</w:t>
            </w:r>
          </w:p>
          <w:bookmarkEnd w:id="2"/>
          <w:p w14:paraId="708C633B">
            <w:pPr>
              <w:widowControl w:val="0"/>
              <w:numPr>
                <w:ilvl w:val="0"/>
                <w:numId w:val="27"/>
              </w:numPr>
              <w:shd w:val="clear" w:color="auto" w:fill="FFFFFF"/>
              <w:spacing w:before="40" w:after="40" w:line="240" w:lineRule="auto"/>
              <w:ind w:left="170" w:hanging="7"/>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For goods manufactured or processed outside Vietnam, already imported:</w:t>
            </w:r>
          </w:p>
          <w:p w14:paraId="708C633C">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 xml:space="preserve"> Price of Goods, including the </w:t>
            </w:r>
            <w:r>
              <w:rPr>
                <w:sz w:val="26"/>
                <w:szCs w:val="26"/>
              </w:rPr>
              <w:t>import value of the Goods plus any mark-up (or rebate)</w:t>
            </w:r>
            <w:r>
              <w:rPr>
                <w:rFonts w:eastAsia="Times New Roman"/>
                <w:sz w:val="26"/>
                <w:szCs w:val="26"/>
              </w:rPr>
              <w:t xml:space="preserve">, taxes, fees and charges related to import (if any) </w:t>
            </w:r>
            <w:r>
              <w:rPr>
                <w:sz w:val="26"/>
                <w:szCs w:val="26"/>
              </w:rPr>
              <w:t>already paid on the G</w:t>
            </w:r>
            <w:r>
              <w:rPr>
                <w:rFonts w:eastAsia="Times New Roman"/>
                <w:sz w:val="26"/>
                <w:szCs w:val="26"/>
              </w:rPr>
              <w:t>oods already imported;</w:t>
            </w:r>
          </w:p>
          <w:p w14:paraId="708C633D">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 xml:space="preserve">Taxes, charges and fees related to import already paid (if any) </w:t>
            </w:r>
            <w:r>
              <w:rPr>
                <w:sz w:val="26"/>
                <w:szCs w:val="26"/>
              </w:rPr>
              <w:t xml:space="preserve">on the Goods already imported </w:t>
            </w:r>
            <w:r>
              <w:rPr>
                <w:rFonts w:eastAsia="Times New Roman"/>
                <w:sz w:val="26"/>
                <w:szCs w:val="26"/>
              </w:rPr>
              <w:t>(</w:t>
            </w:r>
            <w:r>
              <w:rPr>
                <w:sz w:val="26"/>
                <w:szCs w:val="26"/>
              </w:rPr>
              <w:t>need to be supported with documentary evidence</w:t>
            </w:r>
            <w:r>
              <w:rPr>
                <w:rFonts w:eastAsia="Times New Roman"/>
                <w:sz w:val="26"/>
                <w:szCs w:val="26"/>
              </w:rPr>
              <w:t>);</w:t>
            </w:r>
          </w:p>
          <w:p w14:paraId="708C633E">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 xml:space="preserve">The price of the Goods, excluding taxes, fees and charges related to import, </w:t>
            </w:r>
            <w:r>
              <w:rPr>
                <w:sz w:val="26"/>
                <w:szCs w:val="26"/>
              </w:rPr>
              <w:t>obtained as the difference between (i) and (ii) above</w:t>
            </w:r>
            <w:r>
              <w:rPr>
                <w:rFonts w:eastAsia="Times New Roman"/>
                <w:sz w:val="26"/>
                <w:szCs w:val="26"/>
              </w:rPr>
              <w:t>;</w:t>
            </w:r>
          </w:p>
          <w:p w14:paraId="708C633F">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Value added taxes (VAT), t</w:t>
            </w:r>
            <w:r>
              <w:rPr>
                <w:sz w:val="26"/>
                <w:szCs w:val="26"/>
              </w:rPr>
              <w:t xml:space="preserve">he </w:t>
            </w:r>
            <w:r>
              <w:rPr>
                <w:rFonts w:eastAsia="Times New Roman"/>
                <w:sz w:val="26"/>
                <w:szCs w:val="26"/>
              </w:rPr>
              <w:t xml:space="preserve">excise tax, other related taxes, fees and duties (if any) </w:t>
            </w:r>
            <w:r>
              <w:rPr>
                <w:sz w:val="26"/>
                <w:szCs w:val="26"/>
              </w:rPr>
              <w:t>which will be payable on the Goods if the contract is awarded to the Bidder</w:t>
            </w:r>
            <w:r>
              <w:rPr>
                <w:rFonts w:eastAsia="Times New Roman"/>
                <w:sz w:val="26"/>
                <w:szCs w:val="26"/>
              </w:rPr>
              <w:t>;</w:t>
            </w:r>
          </w:p>
          <w:p w14:paraId="708C6340">
            <w:pPr>
              <w:numPr>
                <w:ilvl w:val="0"/>
                <w:numId w:val="30"/>
              </w:numPr>
              <w:shd w:val="clear" w:color="auto" w:fill="FFFFFF"/>
              <w:suppressAutoHyphens/>
              <w:spacing w:before="40" w:after="40" w:line="240" w:lineRule="auto"/>
              <w:ind w:left="325" w:hanging="7"/>
              <w:jc w:val="both"/>
              <w:rPr>
                <w:rFonts w:eastAsia="Times New Roman"/>
                <w:sz w:val="26"/>
                <w:szCs w:val="26"/>
              </w:rPr>
            </w:pPr>
            <w:r>
              <w:rPr>
                <w:rFonts w:eastAsia="Times New Roman"/>
                <w:sz w:val="26"/>
                <w:szCs w:val="26"/>
              </w:rPr>
              <w:t xml:space="preserve">The price for inland transportation, insurance and other necessary services (included VAT) required in the Purchaser’s country to convey the Goods to </w:t>
            </w:r>
            <w:r>
              <w:rPr>
                <w:sz w:val="26"/>
                <w:szCs w:val="26"/>
              </w:rPr>
              <w:t xml:space="preserve">the final destination specified in </w:t>
            </w:r>
            <w:r>
              <w:rPr>
                <w:b/>
                <w:sz w:val="26"/>
                <w:szCs w:val="26"/>
              </w:rPr>
              <w:t>BDS</w:t>
            </w:r>
            <w:r>
              <w:rPr>
                <w:rFonts w:eastAsia="Times New Roman"/>
                <w:sz w:val="26"/>
                <w:szCs w:val="26"/>
              </w:rPr>
              <w:t>;</w:t>
            </w:r>
          </w:p>
          <w:p w14:paraId="708C6341">
            <w:pPr>
              <w:pStyle w:val="86"/>
              <w:widowControl w:val="0"/>
              <w:numPr>
                <w:ilvl w:val="0"/>
                <w:numId w:val="27"/>
              </w:numPr>
              <w:spacing w:before="60" w:after="60"/>
              <w:ind w:left="170" w:firstLine="3"/>
              <w:rPr>
                <w:color w:val="000000" w:themeColor="text1"/>
                <w:spacing w:val="0"/>
                <w:sz w:val="26"/>
                <w:szCs w:val="26"/>
                <w14:textFill>
                  <w14:solidFill>
                    <w14:schemeClr w14:val="tx1"/>
                  </w14:solidFill>
                </w14:textFill>
              </w:rPr>
            </w:pPr>
            <w:r>
              <w:rPr>
                <w:sz w:val="26"/>
                <w:szCs w:val="26"/>
              </w:rPr>
              <w:t xml:space="preserve">The price of related services in order to perform the package including taxes, fees and charges (if any) (according to </w:t>
            </w:r>
            <w:r>
              <w:rPr>
                <w:color w:val="000000" w:themeColor="text1"/>
                <w:sz w:val="26"/>
                <w:szCs w:val="26"/>
                <w14:textFill>
                  <w14:solidFill>
                    <w14:schemeClr w14:val="tx1"/>
                  </w14:solidFill>
                </w14:textFill>
              </w:rPr>
              <w:t xml:space="preserve">Form 5(b) </w:t>
            </w:r>
            <w:r>
              <w:rPr>
                <w:sz w:val="26"/>
                <w:szCs w:val="26"/>
              </w:rPr>
              <w:t>Section IV) in case the Purchaser requests related services as prescribed in Part 2 - Scope of supply. Related services do not include inland transportation and other services in Vietnam for the transportation of Goods to the final destination.</w:t>
            </w:r>
          </w:p>
        </w:tc>
      </w:tr>
      <w:tr w14:paraId="708C6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343">
            <w:pPr>
              <w:widowControl w:val="0"/>
              <w:spacing w:before="60" w:after="60" w:line="240" w:lineRule="auto"/>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14. Currencies of Bid and Payment</w:t>
            </w:r>
          </w:p>
        </w:tc>
        <w:tc>
          <w:tcPr>
            <w:tcW w:w="7230" w:type="dxa"/>
          </w:tcPr>
          <w:p w14:paraId="708C6344">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14.1. Bid currencies and payment currencies must be the same and as specified in the </w:t>
            </w:r>
            <w:r>
              <w:rPr>
                <w:b/>
                <w:color w:val="000000" w:themeColor="text1"/>
                <w:sz w:val="26"/>
                <w:szCs w:val="26"/>
                <w14:textFill>
                  <w14:solidFill>
                    <w14:schemeClr w14:val="tx1"/>
                  </w14:solidFill>
                </w14:textFill>
              </w:rPr>
              <w:t>BDS</w:t>
            </w:r>
            <w:r>
              <w:rPr>
                <w:color w:val="000000" w:themeColor="text1"/>
                <w:sz w:val="26"/>
                <w:szCs w:val="26"/>
                <w14:textFill>
                  <w14:solidFill>
                    <w14:schemeClr w14:val="tx1"/>
                  </w14:solidFill>
                </w14:textFill>
              </w:rPr>
              <w:t xml:space="preserve">. It must be ensured that for one particular item, only one currency shall be quoted. </w:t>
            </w:r>
          </w:p>
          <w:p w14:paraId="708C6345">
            <w:pPr>
              <w:widowControl w:val="0"/>
              <w:spacing w:before="60" w:after="60" w:line="240" w:lineRule="auto"/>
              <w:ind w:left="17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14.2. Domestic expenses must be paid in VND, expenses outside Vietnam shall be paid in the currency specified in ITB 14.1.</w:t>
            </w:r>
          </w:p>
        </w:tc>
      </w:tr>
      <w:tr w14:paraId="708C6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347">
            <w:pPr>
              <w:widowControl w:val="0"/>
              <w:shd w:val="clear" w:color="auto" w:fill="FFFFFF"/>
              <w:spacing w:before="40" w:after="40" w:line="240" w:lineRule="auto"/>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15.</w:t>
            </w:r>
            <w:bookmarkStart w:id="3" w:name="_Hlk164240356"/>
            <w:r>
              <w:rPr>
                <w:b/>
                <w:color w:val="000000" w:themeColor="text1"/>
                <w:sz w:val="26"/>
                <w:szCs w:val="26"/>
                <w14:textFill>
                  <w14:solidFill>
                    <w14:schemeClr w14:val="tx1"/>
                  </w14:solidFill>
                </w14:textFill>
              </w:rPr>
              <w:t>Documents Establishing the Conformity of the Goods and Related Services</w:t>
            </w:r>
            <w:bookmarkEnd w:id="3"/>
          </w:p>
          <w:p w14:paraId="708C6348">
            <w:pPr>
              <w:widowControl w:val="0"/>
              <w:spacing w:before="60" w:after="60" w:line="240" w:lineRule="auto"/>
              <w:rPr>
                <w:b/>
                <w:color w:val="000000" w:themeColor="text1"/>
                <w:sz w:val="26"/>
                <w:szCs w:val="26"/>
                <w14:textFill>
                  <w14:solidFill>
                    <w14:schemeClr w14:val="tx1"/>
                  </w14:solidFill>
                </w14:textFill>
              </w:rPr>
            </w:pPr>
          </w:p>
        </w:tc>
        <w:tc>
          <w:tcPr>
            <w:tcW w:w="7230" w:type="dxa"/>
          </w:tcPr>
          <w:p w14:paraId="708C6349">
            <w:pPr>
              <w:pStyle w:val="86"/>
              <w:widowControl w:val="0"/>
              <w:shd w:val="clear" w:color="auto" w:fill="FFFFFF"/>
              <w:tabs>
                <w:tab w:val="left" w:pos="1714"/>
              </w:tabs>
              <w:spacing w:before="40" w:after="40"/>
              <w:ind w:left="170"/>
              <w:rPr>
                <w:rFonts w:eastAsia="Calibri"/>
                <w:color w:val="000000" w:themeColor="text1"/>
                <w:spacing w:val="0"/>
                <w:sz w:val="26"/>
                <w:szCs w:val="26"/>
                <w14:textFill>
                  <w14:solidFill>
                    <w14:schemeClr w14:val="tx1"/>
                  </w14:solidFill>
                </w14:textFill>
              </w:rPr>
            </w:pPr>
            <w:r>
              <w:rPr>
                <w:rFonts w:eastAsia="Calibri"/>
                <w:color w:val="000000" w:themeColor="text1"/>
                <w:spacing w:val="0"/>
                <w:sz w:val="26"/>
                <w:szCs w:val="26"/>
                <w14:textFill>
                  <w14:solidFill>
                    <w14:schemeClr w14:val="tx1"/>
                  </w14:solidFill>
                </w14:textFill>
              </w:rPr>
              <w:t xml:space="preserve">15.1. To establish the conformity of the Goods and Related Services to the </w:t>
            </w:r>
            <w:r>
              <w:rPr>
                <w:color w:val="000000" w:themeColor="text1"/>
                <w:spacing w:val="0"/>
                <w:sz w:val="26"/>
                <w:szCs w:val="26"/>
                <w14:textFill>
                  <w14:solidFill>
                    <w14:schemeClr w14:val="tx1"/>
                  </w14:solidFill>
                </w14:textFill>
              </w:rPr>
              <w:t>BDs</w:t>
            </w:r>
            <w:r>
              <w:rPr>
                <w:rFonts w:eastAsia="Calibri"/>
                <w:color w:val="000000" w:themeColor="text1"/>
                <w:spacing w:val="0"/>
                <w:sz w:val="26"/>
                <w:szCs w:val="26"/>
                <w14:textFill>
                  <w14:solidFill>
                    <w14:schemeClr w14:val="tx1"/>
                  </w14:solidFill>
                </w14:textFill>
              </w:rPr>
              <w:t>, the Bidder shall furnish as part of its Bid the documentary evidence that the Goods conform to the technical specifications and standards specified in Section V - Scope of Supply. These documents are part of the Bid.</w:t>
            </w:r>
          </w:p>
          <w:p w14:paraId="708C634A">
            <w:pPr>
              <w:pStyle w:val="86"/>
              <w:widowControl w:val="0"/>
              <w:shd w:val="clear" w:color="auto" w:fill="FFFFFF"/>
              <w:tabs>
                <w:tab w:val="left" w:pos="864"/>
              </w:tabs>
              <w:spacing w:before="40" w:after="40"/>
              <w:ind w:left="170"/>
              <w:rPr>
                <w:rFonts w:eastAsia="Calibri"/>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15.2. The term "goods" </w:t>
            </w:r>
            <w:r>
              <w:rPr>
                <w:rFonts w:eastAsia="Calibri"/>
                <w:color w:val="000000" w:themeColor="text1"/>
                <w:spacing w:val="0"/>
                <w:sz w:val="26"/>
                <w:szCs w:val="26"/>
                <w14:textFill>
                  <w14:solidFill>
                    <w14:schemeClr w14:val="tx1"/>
                  </w14:solidFill>
                </w14:textFill>
              </w:rPr>
              <w:t xml:space="preserve">includes machinery, equipment, raw materials, fuels, supplies and spare parts; products; facilities; consumable goods; drugs, chemicals, test equipment and medical devices; commercial software. </w:t>
            </w:r>
          </w:p>
          <w:p w14:paraId="708C634B">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shd w:val="clear" w:color="auto" w:fill="FFFFFF"/>
                <w14:textFill>
                  <w14:solidFill>
                    <w14:schemeClr w14:val="tx1"/>
                  </w14:solidFill>
                </w14:textFill>
              </w:rPr>
              <w:t>15.3. The term "origin" means the country or territory where the goods is exploited, raised, cultivated, manufactured, produced or processed in that country or territory</w:t>
            </w:r>
            <w:r>
              <w:rPr>
                <w:color w:val="000000" w:themeColor="text1"/>
                <w:spacing w:val="0"/>
                <w:sz w:val="26"/>
                <w:szCs w:val="26"/>
                <w14:textFill>
                  <w14:solidFill>
                    <w14:schemeClr w14:val="tx1"/>
                  </w14:solidFill>
                </w14:textFill>
              </w:rPr>
              <w:t>, through manufacturing, processing or assembly to form a commercially recognized product that is substantially different in fundamental characteristics from its original constituents.</w:t>
            </w:r>
          </w:p>
          <w:p w14:paraId="708C634C">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15.4. The term “related services” includes services such as insurance</w:t>
            </w:r>
            <w:r>
              <w:rPr>
                <w:rStyle w:val="32"/>
                <w:color w:val="000000" w:themeColor="text1"/>
                <w:spacing w:val="0"/>
                <w:sz w:val="26"/>
                <w:szCs w:val="26"/>
                <w14:textFill>
                  <w14:solidFill>
                    <w14:schemeClr w14:val="tx1"/>
                  </w14:solidFill>
                </w14:textFill>
              </w:rPr>
              <w:footnoteReference w:id="0"/>
            </w:r>
            <w:r>
              <w:rPr>
                <w:color w:val="000000" w:themeColor="text1"/>
                <w:spacing w:val="0"/>
                <w:sz w:val="26"/>
                <w:szCs w:val="26"/>
                <w14:textFill>
                  <w14:solidFill>
                    <w14:schemeClr w14:val="tx1"/>
                  </w14:solidFill>
                </w14:textFill>
              </w:rPr>
              <w:t>, installation, maintenance, overhaul, initial repair or supply of other after-sales services such as: training, transferring technology...</w:t>
            </w:r>
          </w:p>
          <w:p w14:paraId="708C634D">
            <w:pPr>
              <w:pStyle w:val="86"/>
              <w:widowControl w:val="0"/>
              <w:shd w:val="clear" w:color="auto" w:fill="FFFFFF"/>
              <w:tabs>
                <w:tab w:val="left" w:pos="1714"/>
              </w:tabs>
              <w:spacing w:before="40" w:after="40"/>
              <w:ind w:left="170"/>
              <w:rPr>
                <w:spacing w:val="0"/>
                <w:sz w:val="26"/>
                <w:szCs w:val="26"/>
              </w:rPr>
            </w:pPr>
            <w:r>
              <w:rPr>
                <w:color w:val="000000" w:themeColor="text1"/>
                <w:sz w:val="26"/>
                <w:szCs w:val="26"/>
                <w14:textFill>
                  <w14:solidFill>
                    <w14:schemeClr w14:val="tx1"/>
                  </w14:solidFill>
                </w14:textFill>
              </w:rPr>
              <w:t xml:space="preserve">15.5. The Bidder must declare the origin of the goods in Form No. 5 (a) Section IV. </w:t>
            </w:r>
            <w:r>
              <w:rPr>
                <w:rFonts w:eastAsia="Calibri"/>
                <w:spacing w:val="0"/>
                <w:sz w:val="26"/>
                <w:szCs w:val="26"/>
              </w:rPr>
              <w:t>In case the bidder offers multiple origins for a unit of Goods (one set, one piece, etc.) but the same manufacturer and has the same unit price, the Purchaser shall request the Bidder to clarify in order to determine the specifics origin of this product.</w:t>
            </w:r>
          </w:p>
          <w:p w14:paraId="708C634E">
            <w:pPr>
              <w:pStyle w:val="86"/>
              <w:widowControl w:val="0"/>
              <w:shd w:val="clear" w:color="auto" w:fill="FFFFFF"/>
              <w:tabs>
                <w:tab w:val="left" w:pos="1714"/>
              </w:tabs>
              <w:spacing w:before="40" w:after="40"/>
              <w:ind w:left="170"/>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15.6. 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compared to the requirements of the BDs, and if applicable, a statement of deviations and exceptions to the provisions of the Section V, Scope of Supply. </w:t>
            </w:r>
          </w:p>
          <w:p w14:paraId="708C634F">
            <w:pPr>
              <w:pStyle w:val="86"/>
              <w:widowControl w:val="0"/>
              <w:shd w:val="clear" w:color="auto" w:fill="FFFFFF"/>
              <w:spacing w:before="40" w:after="40"/>
              <w:ind w:left="170"/>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15.7. The Bidder must provide a complete list, prices, Suppliers, spare parts, specialized tools, consumables... (hereinafter referred to as spare parts) necessary to ensure the proper and continuous operation of the goods within the period specified in the </w:t>
            </w:r>
            <w:r>
              <w:rPr>
                <w:b/>
                <w:color w:val="000000" w:themeColor="text1"/>
                <w:spacing w:val="0"/>
                <w:sz w:val="26"/>
                <w:szCs w:val="26"/>
                <w14:textFill>
                  <w14:solidFill>
                    <w14:schemeClr w14:val="tx1"/>
                  </w14:solidFill>
                </w14:textFill>
              </w:rPr>
              <w:t>BDS</w:t>
            </w:r>
            <w:r>
              <w:rPr>
                <w:color w:val="000000" w:themeColor="text1"/>
                <w:spacing w:val="0"/>
                <w:sz w:val="26"/>
                <w:szCs w:val="26"/>
                <w14:textFill>
                  <w14:solidFill>
                    <w14:schemeClr w14:val="tx1"/>
                  </w14:solidFill>
                </w14:textFill>
              </w:rPr>
              <w:t>.</w:t>
            </w:r>
          </w:p>
          <w:p w14:paraId="708C6350">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15.8. Standards for manufacturing, process, materials, and equipment, as well as references to brand names or catalogue numbers specified by the Purchaser in the Section V, Scope of Supply, are intended to be descriptive only and not restrictive. The Bidder may offer other standards of quality, brand names, and/or catalogue numbers, provided that it demonstrates, to the Purchaser’s satisfaction, that the substitutions ensure substantial equivalence or are superior to those specified in the Section V, Scope of Supply. </w:t>
            </w:r>
          </w:p>
          <w:p w14:paraId="708C6351">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15.9. To prove the eligibility of goods and related services, the bidder must indicate the origin of goods, code name, marking of goods and evidence documents as specified in the </w:t>
            </w:r>
            <w:r>
              <w:rPr>
                <w:b/>
                <w:color w:val="000000" w:themeColor="text1"/>
                <w:sz w:val="26"/>
                <w:szCs w:val="26"/>
                <w14:textFill>
                  <w14:solidFill>
                    <w14:schemeClr w14:val="tx1"/>
                  </w14:solidFill>
                </w14:textFill>
              </w:rPr>
              <w:t>BDS</w:t>
            </w:r>
            <w:r>
              <w:rPr>
                <w:color w:val="000000" w:themeColor="text1"/>
                <w:sz w:val="26"/>
                <w:szCs w:val="26"/>
                <w14:textFill>
                  <w14:solidFill>
                    <w14:schemeClr w14:val="tx1"/>
                  </w14:solidFill>
                </w14:textFill>
              </w:rPr>
              <w:t xml:space="preserve">.    </w:t>
            </w:r>
          </w:p>
        </w:tc>
      </w:tr>
      <w:tr w14:paraId="708C6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353">
            <w:pPr>
              <w:widowControl w:val="0"/>
              <w:shd w:val="clear" w:color="auto" w:fill="FFFFFF"/>
              <w:spacing w:before="40" w:after="40" w:line="240" w:lineRule="auto"/>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16. Documents Establishing the Experience and Qualifications of the Bidder</w:t>
            </w:r>
          </w:p>
          <w:p w14:paraId="708C6354">
            <w:pPr>
              <w:widowControl w:val="0"/>
              <w:spacing w:before="60" w:after="60" w:line="240" w:lineRule="auto"/>
              <w:rPr>
                <w:b/>
                <w:color w:val="000000" w:themeColor="text1"/>
                <w:sz w:val="26"/>
                <w:szCs w:val="26"/>
                <w14:textFill>
                  <w14:solidFill>
                    <w14:schemeClr w14:val="tx1"/>
                  </w14:solidFill>
                </w14:textFill>
              </w:rPr>
            </w:pPr>
          </w:p>
        </w:tc>
        <w:tc>
          <w:tcPr>
            <w:tcW w:w="7230" w:type="dxa"/>
          </w:tcPr>
          <w:p w14:paraId="708C6355">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16.1. The Bidder must fill the necessary information into the forms Section IV, Bidding Forms to establish the experience and qualifications contract performance specified in Section III, Bid Evaluation Criteria. The Bidder shall have their original documents ready for the verification upon the request of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w:t>
            </w:r>
          </w:p>
          <w:p w14:paraId="708C6356">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16.2. The documentary evidence of the Bidder’s qualifications to perform the contract if its bid is accepted shall be specified in the </w:t>
            </w:r>
            <w:r>
              <w:rPr>
                <w:b/>
                <w:color w:val="000000" w:themeColor="text1"/>
                <w:spacing w:val="0"/>
                <w:sz w:val="26"/>
                <w:szCs w:val="26"/>
                <w14:textFill>
                  <w14:solidFill>
                    <w14:schemeClr w14:val="tx1"/>
                  </w14:solidFill>
                </w14:textFill>
              </w:rPr>
              <w:t>BDS</w:t>
            </w:r>
            <w:r>
              <w:rPr>
                <w:color w:val="000000" w:themeColor="text1"/>
                <w:spacing w:val="0"/>
                <w:sz w:val="26"/>
                <w:szCs w:val="26"/>
                <w14:textFill>
                  <w14:solidFill>
                    <w14:schemeClr w14:val="tx1"/>
                  </w14:solidFill>
                </w14:textFill>
              </w:rPr>
              <w:t>.</w:t>
            </w:r>
          </w:p>
          <w:p w14:paraId="708C6357">
            <w:pPr>
              <w:pStyle w:val="86"/>
              <w:widowControl w:val="0"/>
              <w:spacing w:before="60" w:after="6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16.3.  In case the package has been applied for pre-qualification, when submitting the Bid, if the Bidder has changed the experience and qualifications compared with the information declared in the pre-qualification bids, then the Bidder must modify their experience and qualifications. In case of without change of the experience and qualifications, the Bidder must commit in writing on meeting the requirements to perform the contract. In case the bidder's capacity at the deadline for submission of bids does not meet the requirements to perform the bidding package according to the evaluation criteria stated in the pre-qualification invitation documents, the bid will be rejected.</w:t>
            </w:r>
          </w:p>
        </w:tc>
      </w:tr>
      <w:tr w14:paraId="708C6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359">
            <w:pPr>
              <w:widowControl w:val="0"/>
              <w:spacing w:before="60" w:after="60" w:line="240" w:lineRule="auto"/>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17. Period of Validity of Bids</w:t>
            </w:r>
          </w:p>
        </w:tc>
        <w:tc>
          <w:tcPr>
            <w:tcW w:w="7230" w:type="dxa"/>
          </w:tcPr>
          <w:p w14:paraId="708C635A">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17.1. Bids shall remain valid for the period specified in the </w:t>
            </w:r>
            <w:r>
              <w:rPr>
                <w:b/>
                <w:color w:val="000000" w:themeColor="text1"/>
                <w:spacing w:val="0"/>
                <w:sz w:val="26"/>
                <w:szCs w:val="26"/>
                <w14:textFill>
                  <w14:solidFill>
                    <w14:schemeClr w14:val="tx1"/>
                  </w14:solidFill>
                </w14:textFill>
              </w:rPr>
              <w:t>BDS</w:t>
            </w:r>
            <w:r>
              <w:rPr>
                <w:color w:val="000000" w:themeColor="text1"/>
                <w:spacing w:val="0"/>
                <w:sz w:val="26"/>
                <w:szCs w:val="26"/>
                <w14:textFill>
                  <w14:solidFill>
                    <w14:schemeClr w14:val="tx1"/>
                  </w14:solidFill>
                </w14:textFill>
              </w:rPr>
              <w:t xml:space="preserve">. </w:t>
            </w:r>
            <w:r>
              <w:rPr>
                <w:spacing w:val="0"/>
                <w:sz w:val="26"/>
                <w:szCs w:val="26"/>
              </w:rPr>
              <w:t>A bid valid for a shorter period shall be rejected by the Purchaser as non responsive</w:t>
            </w:r>
            <w:r>
              <w:rPr>
                <w:color w:val="000000" w:themeColor="text1"/>
                <w:spacing w:val="0"/>
                <w:sz w:val="26"/>
                <w:szCs w:val="26"/>
                <w14:textFill>
                  <w14:solidFill>
                    <w14:schemeClr w14:val="tx1"/>
                  </w14:solidFill>
                </w14:textFill>
              </w:rPr>
              <w:t>.</w:t>
            </w:r>
          </w:p>
          <w:p w14:paraId="708C635B">
            <w:pPr>
              <w:pStyle w:val="86"/>
              <w:widowControl w:val="0"/>
              <w:spacing w:before="60" w:after="60"/>
              <w:ind w:left="170"/>
              <w:outlineLvl w:val="3"/>
              <w:rPr>
                <w:color w:val="000000" w:themeColor="text1"/>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17.2. In exceptional circumstances, prior to the expiration of the bid validity period,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may request bidders to extend the period of validity of their Bids and bid securities (including thirty days after the deadline of the extended validity period of the bids). If a bidder refuses to extend its bid validity as required, the bid shall not be further evaluated and its bid security will be returned. A Bidder granting the request shall not be required or permitted to modify its Bid. The request and the responses shall be made in writing.</w:t>
            </w:r>
          </w:p>
        </w:tc>
      </w:tr>
      <w:tr w14:paraId="708C6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35D">
            <w:pPr>
              <w:widowControl w:val="0"/>
              <w:shd w:val="clear" w:color="auto" w:fill="FFFFFF"/>
              <w:spacing w:before="40" w:after="40" w:line="240" w:lineRule="auto"/>
              <w:rPr>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18. </w:t>
            </w:r>
            <w:bookmarkStart w:id="4" w:name="_Hlk164243153"/>
            <w:r>
              <w:rPr>
                <w:b/>
                <w:color w:val="000000" w:themeColor="text1"/>
                <w:sz w:val="26"/>
                <w:szCs w:val="26"/>
                <w14:textFill>
                  <w14:solidFill>
                    <w14:schemeClr w14:val="tx1"/>
                  </w14:solidFill>
                </w14:textFill>
              </w:rPr>
              <w:t>Bid Security</w:t>
            </w:r>
            <w:bookmarkEnd w:id="4"/>
          </w:p>
          <w:p w14:paraId="708C635E">
            <w:pPr>
              <w:widowControl w:val="0"/>
              <w:spacing w:before="60" w:after="60" w:line="240" w:lineRule="auto"/>
              <w:rPr>
                <w:b/>
                <w:color w:val="000000" w:themeColor="text1"/>
                <w:sz w:val="26"/>
                <w:szCs w:val="26"/>
                <w14:textFill>
                  <w14:solidFill>
                    <w14:schemeClr w14:val="tx1"/>
                  </w14:solidFill>
                </w14:textFill>
              </w:rPr>
            </w:pPr>
          </w:p>
        </w:tc>
        <w:tc>
          <w:tcPr>
            <w:tcW w:w="7230" w:type="dxa"/>
          </w:tcPr>
          <w:p w14:paraId="708C635F">
            <w:pPr>
              <w:pStyle w:val="23"/>
              <w:widowControl w:val="0"/>
              <w:shd w:val="clear" w:color="auto" w:fill="FFFFFF"/>
              <w:spacing w:before="40" w:after="40"/>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18.1. When participating in the bid, the Bidder must furnish a bid security measure before the deadline for submission of bid in</w:t>
            </w:r>
            <w:r>
              <w:rPr>
                <w:color w:val="000000" w:themeColor="text1"/>
                <w14:textFill>
                  <w14:solidFill>
                    <w14:schemeClr w14:val="tx1"/>
                  </w14:solidFill>
                </w14:textFill>
              </w:rPr>
              <w:t xml:space="preserve"> </w:t>
            </w:r>
            <w:r>
              <w:rPr>
                <w:color w:val="000000" w:themeColor="text1"/>
                <w:sz w:val="26"/>
                <w:szCs w:val="26"/>
                <w14:textFill>
                  <w14:solidFill>
                    <w14:schemeClr w14:val="tx1"/>
                  </w14:solidFill>
                </w14:textFill>
              </w:rPr>
              <w:t>one or more forms in: a letter of guarantee  issued by the legal representative of a domestic credit institution or a foreign bank branch established under Vietnamese law; or certificate of surety bond insurance issued by a domestic non-life insurer or branch of a foreign non-life insurer duly established under the law of Vietnam as prescribed ITB 18.2. The letter of guarantee must be made according to Form No. 04(a) or Form No. 04(b) Section IV - Bidding Forms or another similar form as long as it includes all the basic contents of the Bid Security. If the Bid is extended in accordance with the provisions of ITB 17.2, the validity of the bid security must also be extended accordingly.</w:t>
            </w:r>
          </w:p>
          <w:p w14:paraId="708C6360">
            <w:pPr>
              <w:pStyle w:val="23"/>
              <w:widowControl w:val="0"/>
              <w:shd w:val="clear" w:color="auto" w:fill="FFFFFF"/>
              <w:spacing w:before="40" w:after="40"/>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In case of consortium, the bid security shall comply with one of the following two cases: </w:t>
            </w:r>
          </w:p>
          <w:p w14:paraId="708C6361">
            <w:pPr>
              <w:pStyle w:val="92"/>
              <w:widowControl w:val="0"/>
              <w:shd w:val="clear" w:color="auto" w:fill="FFFFFF"/>
              <w:spacing w:before="40" w:after="40"/>
              <w:ind w:left="170" w:firstLine="0"/>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 Each member of consortium shall provide a separate bid security; however, the aggregate amount of bid securities submitted by all member of consortium must meet the requirement specified in ITB 18.2. If the bid security of any member of consortium is determined to be nonresponsive, the Bid of the consortium shall be rejected. If any member of consortium is in breach of the rules of law resulting in forfeiture of bid security in accordance with ITB 18.5, then bid securities of all members of consortium shall be forfeited.</w:t>
            </w:r>
          </w:p>
          <w:p w14:paraId="708C6362">
            <w:pPr>
              <w:spacing w:before="120" w:after="0"/>
              <w:ind w:left="173"/>
              <w:jc w:val="both"/>
              <w:rPr>
                <w:rFonts w:eastAsia="Times New Roman"/>
                <w:color w:val="000000" w:themeColor="text1"/>
                <w:sz w:val="26"/>
                <w:szCs w:val="26"/>
                <w14:textFill>
                  <w14:solidFill>
                    <w14:schemeClr w14:val="tx1"/>
                  </w14:solidFill>
                </w14:textFill>
              </w:rPr>
            </w:pPr>
            <w:r>
              <w:rPr>
                <w:rFonts w:eastAsia="Times New Roman"/>
                <w:color w:val="000000" w:themeColor="text1"/>
                <w:sz w:val="26"/>
                <w:szCs w:val="26"/>
                <w14:textFill>
                  <w14:solidFill>
                    <w14:schemeClr w14:val="tx1"/>
                  </w14:solidFill>
                </w14:textFill>
              </w:rPr>
              <w:t>b) All members of the consortium shall nominate one member to arrange a bid security for itself and all other partners in the consortium. In this case, the bid security shall be in the name of the consortium or the name of the member who arranges the bid security for the entire consortium provided that the total amount is not less than the required amount in ITB 18.2. If any member of consortium is in breach of the rules of law resulting in forfeiture of the bid security in accordance with ITB 18.5, the bid securities of all consortium members shall not be returned.</w:t>
            </w:r>
          </w:p>
          <w:p w14:paraId="708C6363">
            <w:pPr>
              <w:pStyle w:val="92"/>
              <w:widowControl w:val="0"/>
              <w:shd w:val="clear" w:color="auto" w:fill="FFFFFF"/>
              <w:spacing w:before="40" w:after="40"/>
              <w:ind w:left="170" w:firstLine="0"/>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18.2. The value, currencies and validity of the bid security shall be as specified in the </w:t>
            </w:r>
            <w:r>
              <w:rPr>
                <w:b/>
                <w:color w:val="000000" w:themeColor="text1"/>
                <w:sz w:val="26"/>
                <w:szCs w:val="26"/>
                <w14:textFill>
                  <w14:solidFill>
                    <w14:schemeClr w14:val="tx1"/>
                  </w14:solidFill>
                </w14:textFill>
              </w:rPr>
              <w:t>BDS</w:t>
            </w:r>
            <w:r>
              <w:rPr>
                <w:color w:val="000000" w:themeColor="text1"/>
                <w:sz w:val="26"/>
                <w:szCs w:val="26"/>
                <w14:textFill>
                  <w14:solidFill>
                    <w14:schemeClr w14:val="tx1"/>
                  </w14:solidFill>
                </w14:textFill>
              </w:rPr>
              <w:t xml:space="preserve">. </w:t>
            </w:r>
          </w:p>
          <w:p w14:paraId="708C6364">
            <w:pPr>
              <w:pStyle w:val="92"/>
              <w:widowControl w:val="0"/>
              <w:shd w:val="clear" w:color="auto" w:fill="FFFFFF"/>
              <w:spacing w:before="40" w:after="40"/>
              <w:ind w:left="170" w:firstLine="0"/>
              <w:outlineLvl w:val="3"/>
              <w:rPr>
                <w:strike/>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18.3. The bid security is determined to be non-responsive in one of the following cases: having value lower, validity period shorter than the requirements specified in ITB 18.2, incorrect name of the beneficiary, without the original and without legal signature, signed before the Purchaser issues the BDs, signed before the time of signing the consortium agreement in case of consortium, accompanied by conditions that are unfavorable to the Purchaser (including failure to fully meet the commitments as prescribed in Form No. 04a, Form No. 04b Section IV). </w:t>
            </w:r>
          </w:p>
          <w:p w14:paraId="708C6365">
            <w:pPr>
              <w:pStyle w:val="92"/>
              <w:widowControl w:val="0"/>
              <w:shd w:val="clear" w:color="auto" w:fill="FFFFFF"/>
              <w:spacing w:before="40" w:after="40"/>
              <w:ind w:left="170" w:firstLine="0"/>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18.4. The bid security of unsuccessful Bidders shall be returned or </w:t>
            </w:r>
            <w:r>
              <w:rPr>
                <w:sz w:val="26"/>
                <w:szCs w:val="26"/>
              </w:rPr>
              <w:t>release</w:t>
            </w:r>
            <w:r>
              <w:rPr>
                <w:color w:val="000000" w:themeColor="text1"/>
                <w:sz w:val="26"/>
                <w:szCs w:val="26"/>
                <w14:textFill>
                  <w14:solidFill>
                    <w14:schemeClr w14:val="tx1"/>
                  </w14:solidFill>
                </w14:textFill>
              </w:rPr>
              <w:t xml:space="preserve">d according to the deadline specified in the </w:t>
            </w:r>
            <w:r>
              <w:rPr>
                <w:b/>
                <w:color w:val="000000" w:themeColor="text1"/>
                <w:sz w:val="26"/>
                <w:szCs w:val="26"/>
                <w14:textFill>
                  <w14:solidFill>
                    <w14:schemeClr w14:val="tx1"/>
                  </w14:solidFill>
                </w14:textFill>
              </w:rPr>
              <w:t xml:space="preserve">BDS </w:t>
            </w:r>
            <w:r>
              <w:rPr>
                <w:bCs/>
                <w:color w:val="000000" w:themeColor="text1"/>
                <w:sz w:val="26"/>
                <w:szCs w:val="26"/>
                <w14:textFill>
                  <w14:solidFill>
                    <w14:schemeClr w14:val="tx1"/>
                  </w14:solidFill>
                </w14:textFill>
              </w:rPr>
              <w:t>from the date the bidder selection results are approved.</w:t>
            </w:r>
            <w:r>
              <w:rPr>
                <w:color w:val="000000" w:themeColor="text1"/>
                <w:sz w:val="26"/>
                <w:szCs w:val="26"/>
                <w14:textFill>
                  <w14:solidFill>
                    <w14:schemeClr w14:val="tx1"/>
                  </w14:solidFill>
                </w14:textFill>
              </w:rPr>
              <w:t xml:space="preserve"> The bid security of the successful Bidder shall be returned or released after the contract becomes effective.</w:t>
            </w:r>
          </w:p>
          <w:p w14:paraId="708C6366">
            <w:pPr>
              <w:pStyle w:val="92"/>
              <w:widowControl w:val="0"/>
              <w:shd w:val="clear" w:color="auto" w:fill="FFFFFF"/>
              <w:spacing w:before="40" w:after="40"/>
              <w:ind w:left="170" w:firstLine="0"/>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18.5. The bid security shall be forfeited in the following cases: </w:t>
            </w:r>
          </w:p>
          <w:p w14:paraId="708C6367">
            <w:pPr>
              <w:widowControl w:val="0"/>
              <w:numPr>
                <w:ilvl w:val="1"/>
                <w:numId w:val="31"/>
              </w:numPr>
              <w:shd w:val="clear" w:color="auto" w:fill="FFFFFF"/>
              <w:tabs>
                <w:tab w:val="clear" w:pos="1440"/>
              </w:tabs>
              <w:spacing w:before="40" w:after="40" w:line="240" w:lineRule="auto"/>
              <w:ind w:left="540" w:right="-72"/>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After the deadline for submission of bids and during the validity period of the bid, the bidder withdraws their bid or gives a written refusal to perform one or some tasks proposed in their bid in accordance with the requirements laid down in the BDs. </w:t>
            </w:r>
          </w:p>
          <w:p w14:paraId="708C6368">
            <w:pPr>
              <w:widowControl w:val="0"/>
              <w:numPr>
                <w:ilvl w:val="1"/>
                <w:numId w:val="31"/>
              </w:numPr>
              <w:shd w:val="clear" w:color="auto" w:fill="FFFFFF"/>
              <w:tabs>
                <w:tab w:val="clear" w:pos="1440"/>
              </w:tabs>
              <w:spacing w:before="40" w:after="40" w:line="240" w:lineRule="auto"/>
              <w:ind w:left="540" w:right="-72"/>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The bidder has violated the provisions of Article 16 of Procurement Law; </w:t>
            </w:r>
          </w:p>
          <w:p w14:paraId="708C6369">
            <w:pPr>
              <w:widowControl w:val="0"/>
              <w:numPr>
                <w:ilvl w:val="1"/>
                <w:numId w:val="31"/>
              </w:numPr>
              <w:shd w:val="clear" w:color="auto" w:fill="FFFFFF"/>
              <w:tabs>
                <w:tab w:val="clear" w:pos="1440"/>
              </w:tabs>
              <w:spacing w:before="40" w:after="40" w:line="240" w:lineRule="auto"/>
              <w:ind w:left="540" w:right="-72"/>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The bidder fails to provide Performance security as prescribed at Article 68 of Procurement Law. </w:t>
            </w:r>
          </w:p>
          <w:p w14:paraId="708C636A">
            <w:pPr>
              <w:widowControl w:val="0"/>
              <w:numPr>
                <w:ilvl w:val="1"/>
                <w:numId w:val="31"/>
              </w:numPr>
              <w:shd w:val="clear" w:color="auto" w:fill="FFFFFF"/>
              <w:tabs>
                <w:tab w:val="clear" w:pos="1440"/>
              </w:tabs>
              <w:spacing w:before="40" w:after="40" w:line="240" w:lineRule="auto"/>
              <w:ind w:left="540" w:right="-72"/>
              <w:jc w:val="both"/>
              <w:rPr>
                <w:color w:val="auto"/>
                <w:sz w:val="26"/>
                <w:szCs w:val="26"/>
              </w:rPr>
            </w:pPr>
            <w:bookmarkStart w:id="5" w:name="_Hlk164243139"/>
            <w:r>
              <w:rPr>
                <w:color w:val="000000" w:themeColor="text1"/>
                <w:sz w:val="26"/>
                <w:szCs w:val="26"/>
                <w14:textFill>
                  <w14:solidFill>
                    <w14:schemeClr w14:val="tx1"/>
                  </w14:solidFill>
                </w14:textFill>
              </w:rPr>
              <w:t>The bidder fails or refuses to negotiate the contract (if any), within a period of ten (10) days from the date of receipt of notification of contract negotiation issued by the Purchaser or has negotiated the c</w:t>
            </w:r>
            <w:r>
              <w:rPr>
                <w:color w:val="auto"/>
                <w:sz w:val="26"/>
                <w:szCs w:val="26"/>
              </w:rPr>
              <w:t xml:space="preserve">ontract but refuses to complete, sign the Minutes of contract negotiations, except for the case specified in Clause 4, Article 34 of Decree No. 214/2025/ND-CP or force majeure;  </w:t>
            </w:r>
          </w:p>
          <w:p w14:paraId="708C636B">
            <w:pPr>
              <w:widowControl w:val="0"/>
              <w:numPr>
                <w:ilvl w:val="1"/>
                <w:numId w:val="31"/>
              </w:numPr>
              <w:shd w:val="clear" w:color="auto" w:fill="FFFFFF"/>
              <w:tabs>
                <w:tab w:val="clear" w:pos="1440"/>
              </w:tabs>
              <w:spacing w:before="40" w:after="40" w:line="240" w:lineRule="auto"/>
              <w:ind w:left="540" w:right="-72"/>
              <w:jc w:val="both"/>
              <w:rPr>
                <w:color w:val="000000" w:themeColor="text1"/>
                <w:sz w:val="26"/>
                <w:szCs w:val="26"/>
                <w14:textFill>
                  <w14:solidFill>
                    <w14:schemeClr w14:val="tx1"/>
                  </w14:solidFill>
                </w14:textFill>
              </w:rPr>
            </w:pPr>
            <w:r>
              <w:rPr>
                <w:color w:val="auto"/>
                <w:sz w:val="26"/>
                <w:szCs w:val="26"/>
              </w:rPr>
              <w:t xml:space="preserve">The bidder fails or refuses to complete the contract within twenty (20) days from the date of receipt of the </w:t>
            </w:r>
            <w:r>
              <w:rPr>
                <w:rFonts w:eastAsia="Arial"/>
                <w:color w:val="auto"/>
                <w:sz w:val="26"/>
                <w:szCs w:val="26"/>
              </w:rPr>
              <w:t>Notification of acceptance and award contr</w:t>
            </w:r>
            <w:r>
              <w:rPr>
                <w:rFonts w:eastAsia="Arial"/>
                <w:color w:val="000000" w:themeColor="text1"/>
                <w:sz w:val="26"/>
                <w:szCs w:val="26"/>
                <w14:textFill>
                  <w14:solidFill>
                    <w14:schemeClr w14:val="tx1"/>
                  </w14:solidFill>
                </w14:textFill>
              </w:rPr>
              <w:t xml:space="preserve">act </w:t>
            </w:r>
            <w:r>
              <w:rPr>
                <w:color w:val="000000" w:themeColor="text1"/>
                <w:sz w:val="26"/>
                <w:szCs w:val="26"/>
                <w14:textFill>
                  <w14:solidFill>
                    <w14:schemeClr w14:val="tx1"/>
                  </w14:solidFill>
                </w14:textFill>
              </w:rPr>
              <w:t xml:space="preserve">from Purchaser, except cases of force majeure; </w:t>
            </w:r>
          </w:p>
          <w:p w14:paraId="708C636C">
            <w:pPr>
              <w:widowControl w:val="0"/>
              <w:numPr>
                <w:ilvl w:val="1"/>
                <w:numId w:val="31"/>
              </w:numPr>
              <w:shd w:val="clear" w:color="auto" w:fill="FFFFFF"/>
              <w:tabs>
                <w:tab w:val="clear" w:pos="1440"/>
              </w:tabs>
              <w:spacing w:before="40" w:after="40" w:line="240" w:lineRule="auto"/>
              <w:ind w:left="540" w:right="-72"/>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The bidder fails or refuses to sign the contract within 20 days from the date of </w:t>
            </w:r>
            <w:r>
              <w:rPr>
                <w:color w:val="000000" w:themeColor="text1"/>
                <w:spacing w:val="3"/>
                <w:sz w:val="26"/>
                <w:szCs w:val="26"/>
                <w:shd w:val="clear" w:color="auto" w:fill="FFFFFF"/>
                <w14:textFill>
                  <w14:solidFill>
                    <w14:schemeClr w14:val="tx1"/>
                  </w14:solidFill>
                </w14:textFill>
              </w:rPr>
              <w:t>finalizing</w:t>
            </w:r>
            <w:r>
              <w:rPr>
                <w:color w:val="000000" w:themeColor="text1"/>
                <w:sz w:val="26"/>
                <w:szCs w:val="26"/>
                <w14:textFill>
                  <w14:solidFill>
                    <w14:schemeClr w14:val="tx1"/>
                  </w14:solidFill>
                </w14:textFill>
              </w:rPr>
              <w:t xml:space="preserve"> of that contract, except in cases of force majeure. </w:t>
            </w:r>
            <w:bookmarkEnd w:id="5"/>
          </w:p>
          <w:p w14:paraId="708C636D">
            <w:pPr>
              <w:widowControl w:val="0"/>
              <w:shd w:val="clear" w:color="auto" w:fill="FFFFFF"/>
              <w:spacing w:before="40" w:after="40" w:line="240" w:lineRule="auto"/>
              <w:ind w:left="180" w:right="-72"/>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18.6. In case the package is divided into many lots, the bidder may choose to furnish the bid securities in one of the following two cases:</w:t>
            </w:r>
          </w:p>
          <w:p w14:paraId="708C636E">
            <w:pPr>
              <w:widowControl w:val="0"/>
              <w:numPr>
                <w:ilvl w:val="0"/>
                <w:numId w:val="32"/>
              </w:numPr>
              <w:shd w:val="clear" w:color="auto" w:fill="FFFFFF"/>
              <w:tabs>
                <w:tab w:val="clear" w:pos="1440"/>
              </w:tabs>
              <w:spacing w:before="40" w:after="40" w:line="240" w:lineRule="auto"/>
              <w:ind w:left="597" w:right="-72"/>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Bid security covers for all lots in which the Bidder participates in the bid (the value of the bid security will be equal to the total value of lots). In case the value of the bid security submitted is less than the total cumulative value, the Purchaser has the right to decide which lot of the bid security to use among the lots in which the bidder participates;</w:t>
            </w:r>
          </w:p>
          <w:p w14:paraId="708C636F">
            <w:pPr>
              <w:widowControl w:val="0"/>
              <w:numPr>
                <w:ilvl w:val="0"/>
                <w:numId w:val="32"/>
              </w:numPr>
              <w:shd w:val="clear" w:color="auto" w:fill="FFFFFF"/>
              <w:tabs>
                <w:tab w:val="clear" w:pos="1440"/>
              </w:tabs>
              <w:spacing w:before="40" w:after="40" w:line="240" w:lineRule="auto"/>
              <w:ind w:left="597" w:right="-72"/>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Bid security is segregated for each lot.</w:t>
            </w:r>
          </w:p>
          <w:p w14:paraId="708C6370">
            <w:pPr>
              <w:widowControl w:val="0"/>
              <w:spacing w:before="60" w:after="60"/>
              <w:ind w:right="-72"/>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In case the bidder violates, leading to the non-return of the bid security as prescribed at point b ITB 18.5, the non-refundable value of the bid security shall be calculated on the lot that the bidder has breached.</w:t>
            </w:r>
          </w:p>
        </w:tc>
      </w:tr>
      <w:tr w14:paraId="708C6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2268" w:type="dxa"/>
          </w:tcPr>
          <w:p w14:paraId="708C6372">
            <w:pPr>
              <w:pStyle w:val="91"/>
              <w:widowControl w:val="0"/>
              <w:tabs>
                <w:tab w:val="clear" w:pos="360"/>
              </w:tabs>
              <w:spacing w:before="60" w:after="60"/>
              <w:ind w:left="0" w:firstLine="0"/>
              <w:jc w:val="both"/>
              <w:outlineLvl w:val="3"/>
              <w:rPr>
                <w:bCs/>
                <w:color w:val="000000" w:themeColor="text1"/>
                <w:spacing w:val="-6"/>
                <w:sz w:val="26"/>
                <w:szCs w:val="26"/>
                <w14:textFill>
                  <w14:solidFill>
                    <w14:schemeClr w14:val="tx1"/>
                  </w14:solidFill>
                </w14:textFill>
              </w:rPr>
            </w:pPr>
            <w:r>
              <w:rPr>
                <w:bCs/>
                <w:color w:val="000000" w:themeColor="text1"/>
                <w:sz w:val="26"/>
                <w:szCs w:val="26"/>
                <w14:textFill>
                  <w14:solidFill>
                    <w14:schemeClr w14:val="tx1"/>
                  </w14:solidFill>
                </w14:textFill>
              </w:rPr>
              <w:t>19. Format &amp; Signing of Bid</w:t>
            </w:r>
          </w:p>
        </w:tc>
        <w:tc>
          <w:tcPr>
            <w:tcW w:w="7230" w:type="dxa"/>
          </w:tcPr>
          <w:p w14:paraId="708C6373">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19.1. The Bidder shall prepare one original of Bid as described in ITB 10 and copies of the Bid according to the number specified in the </w:t>
            </w:r>
            <w:r>
              <w:rPr>
                <w:b/>
                <w:color w:val="000000" w:themeColor="text1"/>
                <w:spacing w:val="0"/>
                <w:sz w:val="26"/>
                <w:szCs w:val="26"/>
                <w14:textFill>
                  <w14:solidFill>
                    <w14:schemeClr w14:val="tx1"/>
                  </w14:solidFill>
                </w14:textFill>
              </w:rPr>
              <w:t>BDS</w:t>
            </w:r>
            <w:r>
              <w:rPr>
                <w:color w:val="000000" w:themeColor="text1"/>
                <w:spacing w:val="0"/>
                <w:sz w:val="26"/>
                <w:szCs w:val="26"/>
                <w14:textFill>
                  <w14:solidFill>
                    <w14:schemeClr w14:val="tx1"/>
                  </w14:solidFill>
                </w14:textFill>
              </w:rPr>
              <w:t>. The outer envelopes must clearly mark: “ORIGINAL – BID”, “COPY No.... – BID”.</w:t>
            </w:r>
          </w:p>
          <w:p w14:paraId="708C6374">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bCs/>
                <w:color w:val="000000" w:themeColor="text1"/>
                <w:spacing w:val="0"/>
                <w:sz w:val="26"/>
                <w:szCs w:val="26"/>
                <w14:textFill>
                  <w14:solidFill>
                    <w14:schemeClr w14:val="tx1"/>
                  </w14:solidFill>
                </w14:textFill>
              </w:rPr>
              <w:t xml:space="preserve">In case of modification, replacement of </w:t>
            </w:r>
            <w:r>
              <w:rPr>
                <w:color w:val="000000" w:themeColor="text1"/>
                <w:spacing w:val="0"/>
                <w:sz w:val="26"/>
                <w:szCs w:val="26"/>
                <w14:textFill>
                  <w14:solidFill>
                    <w14:schemeClr w14:val="tx1"/>
                  </w14:solidFill>
                </w14:textFill>
              </w:rPr>
              <w:t xml:space="preserve">Bid, the Bidder shall prepare one original and copies in the number specified in the </w:t>
            </w:r>
            <w:r>
              <w:rPr>
                <w:b/>
                <w:color w:val="000000" w:themeColor="text1"/>
                <w:spacing w:val="0"/>
                <w:sz w:val="26"/>
                <w:szCs w:val="26"/>
                <w14:textFill>
                  <w14:solidFill>
                    <w14:schemeClr w14:val="tx1"/>
                  </w14:solidFill>
                </w14:textFill>
              </w:rPr>
              <w:t>BDS</w:t>
            </w:r>
            <w:r>
              <w:rPr>
                <w:color w:val="000000" w:themeColor="text1"/>
                <w:spacing w:val="0"/>
                <w:sz w:val="26"/>
                <w:szCs w:val="26"/>
                <w14:textFill>
                  <w14:solidFill>
                    <w14:schemeClr w14:val="tx1"/>
                  </w14:solidFill>
                </w14:textFill>
              </w:rPr>
              <w:t xml:space="preserve">. The outer envelopes must clearly mark “ORIGINAL – </w:t>
            </w:r>
            <w:r>
              <w:rPr>
                <w:bCs/>
                <w:color w:val="000000" w:themeColor="text1"/>
                <w:spacing w:val="0"/>
                <w:sz w:val="26"/>
                <w:szCs w:val="26"/>
                <w14:textFill>
                  <w14:solidFill>
                    <w14:schemeClr w14:val="tx1"/>
                  </w14:solidFill>
                </w14:textFill>
              </w:rPr>
              <w:t xml:space="preserve">MODIFICATION OF </w:t>
            </w:r>
            <w:r>
              <w:rPr>
                <w:color w:val="000000" w:themeColor="text1"/>
                <w:spacing w:val="0"/>
                <w:sz w:val="26"/>
                <w:szCs w:val="26"/>
                <w14:textFill>
                  <w14:solidFill>
                    <w14:schemeClr w14:val="tx1"/>
                  </w14:solidFill>
                </w14:textFill>
              </w:rPr>
              <w:t xml:space="preserve">BID”, “COPY No.... – </w:t>
            </w:r>
            <w:r>
              <w:rPr>
                <w:bCs/>
                <w:color w:val="000000" w:themeColor="text1"/>
                <w:spacing w:val="0"/>
                <w:sz w:val="26"/>
                <w:szCs w:val="26"/>
                <w14:textFill>
                  <w14:solidFill>
                    <w14:schemeClr w14:val="tx1"/>
                  </w14:solidFill>
                </w14:textFill>
              </w:rPr>
              <w:t xml:space="preserve">MODIFICATION OF </w:t>
            </w:r>
            <w:r>
              <w:rPr>
                <w:color w:val="000000" w:themeColor="text1"/>
                <w:spacing w:val="0"/>
                <w:sz w:val="26"/>
                <w:szCs w:val="26"/>
                <w14:textFill>
                  <w14:solidFill>
                    <w14:schemeClr w14:val="tx1"/>
                  </w14:solidFill>
                </w14:textFill>
              </w:rPr>
              <w:t>BID”, “ORIGINAL – REPLACEMENT</w:t>
            </w:r>
            <w:r>
              <w:rPr>
                <w:bCs/>
                <w:color w:val="000000" w:themeColor="text1"/>
                <w:spacing w:val="0"/>
                <w:sz w:val="26"/>
                <w:szCs w:val="26"/>
                <w14:textFill>
                  <w14:solidFill>
                    <w14:schemeClr w14:val="tx1"/>
                  </w14:solidFill>
                </w14:textFill>
              </w:rPr>
              <w:t xml:space="preserve"> OF </w:t>
            </w:r>
            <w:r>
              <w:rPr>
                <w:color w:val="000000" w:themeColor="text1"/>
                <w:spacing w:val="0"/>
                <w:sz w:val="26"/>
                <w:szCs w:val="26"/>
                <w14:textFill>
                  <w14:solidFill>
                    <w14:schemeClr w14:val="tx1"/>
                  </w14:solidFill>
                </w14:textFill>
              </w:rPr>
              <w:t>BID”, “COPY No.... – REPLACEMENT</w:t>
            </w:r>
            <w:r>
              <w:rPr>
                <w:bCs/>
                <w:color w:val="000000" w:themeColor="text1"/>
                <w:spacing w:val="0"/>
                <w:sz w:val="26"/>
                <w:szCs w:val="26"/>
                <w14:textFill>
                  <w14:solidFill>
                    <w14:schemeClr w14:val="tx1"/>
                  </w14:solidFill>
                </w14:textFill>
              </w:rPr>
              <w:t xml:space="preserve"> OF </w:t>
            </w:r>
            <w:r>
              <w:rPr>
                <w:color w:val="000000" w:themeColor="text1"/>
                <w:spacing w:val="0"/>
                <w:sz w:val="26"/>
                <w:szCs w:val="26"/>
                <w14:textFill>
                  <w14:solidFill>
                    <w14:schemeClr w14:val="tx1"/>
                  </w14:solidFill>
                </w14:textFill>
              </w:rPr>
              <w:t>BID”.</w:t>
            </w:r>
          </w:p>
          <w:p w14:paraId="708C6375">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bCs/>
                <w:color w:val="000000" w:themeColor="text1"/>
                <w:spacing w:val="0"/>
                <w:sz w:val="26"/>
                <w:szCs w:val="26"/>
                <w14:textFill>
                  <w14:solidFill>
                    <w14:schemeClr w14:val="tx1"/>
                  </w14:solidFill>
                </w14:textFill>
              </w:rPr>
              <w:t xml:space="preserve">In case of </w:t>
            </w:r>
            <w:r>
              <w:rPr>
                <w:color w:val="000000" w:themeColor="text1"/>
                <w:spacing w:val="0"/>
                <w:sz w:val="26"/>
                <w:szCs w:val="26"/>
                <w14:textFill>
                  <w14:solidFill>
                    <w14:schemeClr w14:val="tx1"/>
                  </w14:solidFill>
                </w14:textFill>
              </w:rPr>
              <w:t xml:space="preserve">alternative technical solutions in bid as specified in ITB 12, then the Bidder shall prepare one original and copies in the number specified in the </w:t>
            </w:r>
            <w:r>
              <w:rPr>
                <w:b/>
                <w:color w:val="000000" w:themeColor="text1"/>
                <w:spacing w:val="0"/>
                <w:sz w:val="26"/>
                <w:szCs w:val="26"/>
                <w14:textFill>
                  <w14:solidFill>
                    <w14:schemeClr w14:val="tx1"/>
                  </w14:solidFill>
                </w14:textFill>
              </w:rPr>
              <w:t>BDS</w:t>
            </w:r>
            <w:r>
              <w:rPr>
                <w:color w:val="000000" w:themeColor="text1"/>
                <w:spacing w:val="0"/>
                <w:sz w:val="26"/>
                <w:szCs w:val="26"/>
                <w14:textFill>
                  <w14:solidFill>
                    <w14:schemeClr w14:val="tx1"/>
                  </w14:solidFill>
                </w14:textFill>
              </w:rPr>
              <w:t xml:space="preserve">. The outer envelopes must clearly mark “ORIGINAL – PROPOSAL OF ALTERNATIVE BID SOLUTION”, COPY No... PROPOSAL OF ALTERNATIVE BID SOLUTION”.  </w:t>
            </w:r>
          </w:p>
          <w:p w14:paraId="708C6376">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If the bid includes documents and information that are confidential to the bidder's production and business activities (such as proprietary information, business secrets, sensitive information), the bidder Contractors must stamp “"CONFIDENTIAL” for these documents and information.</w:t>
            </w:r>
          </w:p>
          <w:p w14:paraId="708C6377">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19.2. The Bidder shall be responsible for the consistency between the original and the copies. In the event of any discrepancy between the original and the copies, however it does not change the rank of bidders, then the original shall prevail. In the event of any discrepancy between the original and the copies result in different evaluation of the original and the copies, and it changes the rank of bidders, then the bid shall be rejected.</w:t>
            </w:r>
          </w:p>
          <w:p w14:paraId="708C6378">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19.3. The original of the Bid shall be typed or written in indelible ink and numbered pages continuously. Letter of Bid, discount letter (if any), supplementary documents, clarifications to bid, price schedules and other schedules in Section IV – Bidding forms shall be signed and be stamped (if any) by a legal representative of the Bidder or a person duly authorized to sign on behalf of the Bidder. In case authorization must have Power of Attorney as specified in Form 02 Section IV – Bidding forms or notarized copies of charter company, d</w:t>
            </w:r>
            <w:r>
              <w:rPr>
                <w:rStyle w:val="94"/>
                <w:color w:val="000000" w:themeColor="text1"/>
                <w:spacing w:val="0"/>
                <w:sz w:val="26"/>
                <w:szCs w:val="26"/>
                <w14:textFill>
                  <w14:solidFill>
                    <w14:schemeClr w14:val="tx1"/>
                  </w14:solidFill>
                </w14:textFill>
              </w:rPr>
              <w:t xml:space="preserve">ecision for establishment </w:t>
            </w:r>
            <w:r>
              <w:rPr>
                <w:color w:val="000000" w:themeColor="text1"/>
                <w:spacing w:val="0"/>
                <w:sz w:val="26"/>
                <w:szCs w:val="26"/>
                <w14:textFill>
                  <w14:solidFill>
                    <w14:schemeClr w14:val="tx1"/>
                  </w14:solidFill>
                </w14:textFill>
              </w:rPr>
              <w:t xml:space="preserve">or other documents to prove the competence of the authorized person and shall be attached to the bid.  </w:t>
            </w:r>
          </w:p>
          <w:p w14:paraId="708C6379">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19.4. In case the Bidder is a consortium, the Bid shall be signed by the legal representatives of all the members of the consortium or an authorized representative of the consortium under consortium agreement on behalf of the consortium, and so as to be legally binding on all the members as evidenced by a consortium agreement signed by their legal representatives. </w:t>
            </w:r>
          </w:p>
          <w:p w14:paraId="708C637A">
            <w:pPr>
              <w:pStyle w:val="86"/>
              <w:widowControl w:val="0"/>
              <w:tabs>
                <w:tab w:val="left" w:pos="4156"/>
              </w:tabs>
              <w:spacing w:before="60" w:after="60"/>
              <w:ind w:left="170"/>
              <w:outlineLvl w:val="3"/>
              <w:rPr>
                <w:color w:val="000000" w:themeColor="text1"/>
                <w:spacing w:val="0"/>
                <w:sz w:val="26"/>
                <w:szCs w:val="26"/>
                <w14:textFill>
                  <w14:solidFill>
                    <w14:schemeClr w14:val="tx1"/>
                  </w14:solidFill>
                </w14:textFill>
              </w:rPr>
            </w:pPr>
            <w:r>
              <w:rPr>
                <w:color w:val="000000" w:themeColor="text1"/>
                <w:sz w:val="26"/>
                <w:szCs w:val="26"/>
                <w14:textFill>
                  <w14:solidFill>
                    <w14:schemeClr w14:val="tx1"/>
                  </w14:solidFill>
                </w14:textFill>
              </w:rPr>
              <w:t xml:space="preserve">19.5. Words added, inserted between lines, erased or overwritten will only be considered valid if there is a signature next to or on that page of the person signing the bids. </w:t>
            </w:r>
          </w:p>
        </w:tc>
      </w:tr>
      <w:tr w14:paraId="708C6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37C">
            <w:pPr>
              <w:pStyle w:val="91"/>
              <w:widowControl w:val="0"/>
              <w:tabs>
                <w:tab w:val="clear" w:pos="360"/>
              </w:tabs>
              <w:spacing w:before="60" w:after="60"/>
              <w:ind w:left="0" w:firstLine="0"/>
              <w:jc w:val="both"/>
              <w:outlineLvl w:val="3"/>
              <w:rPr>
                <w:bCs/>
                <w:color w:val="000000" w:themeColor="text1"/>
                <w:spacing w:val="-6"/>
                <w:sz w:val="26"/>
                <w:szCs w:val="26"/>
                <w14:textFill>
                  <w14:solidFill>
                    <w14:schemeClr w14:val="tx1"/>
                  </w14:solidFill>
                </w14:textFill>
              </w:rPr>
            </w:pPr>
            <w:r>
              <w:rPr>
                <w:bCs/>
                <w:color w:val="000000" w:themeColor="text1"/>
                <w:sz w:val="26"/>
                <w:szCs w:val="26"/>
                <w14:textFill>
                  <w14:solidFill>
                    <w14:schemeClr w14:val="tx1"/>
                  </w14:solidFill>
                </w14:textFill>
              </w:rPr>
              <w:t xml:space="preserve">20. Sealing and Marking of Bids </w:t>
            </w:r>
          </w:p>
        </w:tc>
        <w:tc>
          <w:tcPr>
            <w:tcW w:w="7230" w:type="dxa"/>
          </w:tcPr>
          <w:p w14:paraId="708C637D">
            <w:pPr>
              <w:pStyle w:val="639"/>
              <w:spacing w:after="0"/>
              <w:ind w:left="173" w:firstLine="0"/>
              <w:contextualSpacing w:val="0"/>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20.1. The bid envelope includes the original and copies of the Bid, the outer envelope must clearly state "BID".</w:t>
            </w:r>
          </w:p>
          <w:p w14:paraId="708C637E">
            <w:pPr>
              <w:pStyle w:val="86"/>
              <w:widowControl w:val="0"/>
              <w:shd w:val="clear" w:color="auto" w:fill="FFFFFF"/>
              <w:spacing w:before="40" w:after="40"/>
              <w:ind w:left="170"/>
              <w:outlineLvl w:val="3"/>
              <w:rPr>
                <w:bCs/>
                <w:color w:val="000000" w:themeColor="text1"/>
                <w:spacing w:val="0"/>
                <w:sz w:val="26"/>
                <w:szCs w:val="26"/>
                <w14:textFill>
                  <w14:solidFill>
                    <w14:schemeClr w14:val="tx1"/>
                  </w14:solidFill>
                </w14:textFill>
              </w:rPr>
            </w:pPr>
            <w:r>
              <w:rPr>
                <w:bCs/>
                <w:color w:val="000000" w:themeColor="text1"/>
                <w:spacing w:val="0"/>
                <w:sz w:val="26"/>
                <w:szCs w:val="26"/>
                <w14:textFill>
                  <w14:solidFill>
                    <w14:schemeClr w14:val="tx1"/>
                  </w14:solidFill>
                </w14:textFill>
              </w:rPr>
              <w:t xml:space="preserve">In case of modification, substitution of </w:t>
            </w:r>
            <w:r>
              <w:rPr>
                <w:color w:val="000000" w:themeColor="text1"/>
                <w:spacing w:val="0"/>
                <w:sz w:val="26"/>
                <w:szCs w:val="26"/>
                <w14:textFill>
                  <w14:solidFill>
                    <w14:schemeClr w14:val="tx1"/>
                  </w14:solidFill>
                </w14:textFill>
              </w:rPr>
              <w:t>Bid</w:t>
            </w:r>
            <w:r>
              <w:rPr>
                <w:bCs/>
                <w:color w:val="000000" w:themeColor="text1"/>
                <w:spacing w:val="0"/>
                <w:sz w:val="26"/>
                <w:szCs w:val="26"/>
                <w14:textFill>
                  <w14:solidFill>
                    <w14:schemeClr w14:val="tx1"/>
                  </w14:solidFill>
                </w14:textFill>
              </w:rPr>
              <w:t xml:space="preserve">, the </w:t>
            </w:r>
            <w:r>
              <w:rPr>
                <w:spacing w:val="0"/>
                <w:sz w:val="26"/>
                <w:szCs w:val="26"/>
              </w:rPr>
              <w:t xml:space="preserve">modified, substituted </w:t>
            </w:r>
            <w:r>
              <w:rPr>
                <w:bCs/>
                <w:color w:val="000000" w:themeColor="text1"/>
                <w:spacing w:val="0"/>
                <w:sz w:val="26"/>
                <w:szCs w:val="26"/>
                <w14:textFill>
                  <w14:solidFill>
                    <w14:schemeClr w14:val="tx1"/>
                  </w14:solidFill>
                </w14:textFill>
              </w:rPr>
              <w:t xml:space="preserve">documents (including the original and copies) must be kept in separate envelopes from the envelope containing the Bid. The </w:t>
            </w:r>
            <w:r>
              <w:rPr>
                <w:color w:val="000000" w:themeColor="text1"/>
                <w:spacing w:val="0"/>
                <w:sz w:val="26"/>
                <w:szCs w:val="26"/>
                <w14:textFill>
                  <w14:solidFill>
                    <w14:schemeClr w14:val="tx1"/>
                  </w14:solidFill>
                </w14:textFill>
              </w:rPr>
              <w:t>outer envelopes</w:t>
            </w:r>
            <w:r>
              <w:rPr>
                <w:bCs/>
                <w:color w:val="000000" w:themeColor="text1"/>
                <w:spacing w:val="0"/>
                <w:sz w:val="26"/>
                <w:szCs w:val="26"/>
                <w14:textFill>
                  <w14:solidFill>
                    <w14:schemeClr w14:val="tx1"/>
                  </w14:solidFill>
                </w14:textFill>
              </w:rPr>
              <w:t xml:space="preserve"> must be clearly </w:t>
            </w:r>
            <w:r>
              <w:rPr>
                <w:sz w:val="26"/>
                <w:szCs w:val="26"/>
              </w:rPr>
              <w:t>marked</w:t>
            </w:r>
            <w:r>
              <w:rPr>
                <w:bCs/>
                <w:color w:val="000000" w:themeColor="text1"/>
                <w:spacing w:val="0"/>
                <w:sz w:val="26"/>
                <w:szCs w:val="26"/>
                <w14:textFill>
                  <w14:solidFill>
                    <w14:schemeClr w14:val="tx1"/>
                  </w14:solidFill>
                </w14:textFill>
              </w:rPr>
              <w:t xml:space="preserve"> "BID DOCUMENTS". </w:t>
            </w:r>
            <w:r>
              <w:rPr>
                <w:smallCaps/>
                <w:sz w:val="26"/>
                <w:szCs w:val="26"/>
              </w:rPr>
              <w:t>“</w:t>
            </w:r>
            <w:r>
              <w:rPr>
                <w:bCs/>
                <w:color w:val="000000" w:themeColor="text1"/>
                <w:spacing w:val="0"/>
                <w:sz w:val="26"/>
                <w:szCs w:val="26"/>
                <w14:textFill>
                  <w14:solidFill>
                    <w14:schemeClr w14:val="tx1"/>
                  </w14:solidFill>
                </w14:textFill>
              </w:rPr>
              <w:t>SUBTITUTION,” or “MODIFICATION”.</w:t>
            </w:r>
            <w:r>
              <w:rPr>
                <w:sz w:val="26"/>
                <w:szCs w:val="26"/>
              </w:rPr>
              <w:t xml:space="preserve"> </w:t>
            </w:r>
          </w:p>
          <w:p w14:paraId="708C637F">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In case of having proposals of alternative technical solutions, then all the alternative technical solutions, including technical proposals and price proposals shall be enclosed in separate sealed envelopes to Bid envelopes, duly marking the outer envelopes as “PROPOSAL OF ALTERNATIVE TECHNICAL SOLUTION”. </w:t>
            </w:r>
          </w:p>
          <w:p w14:paraId="708C6380">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The envelopes: Bid; modification of Bid (if any), </w:t>
            </w:r>
            <w:r>
              <w:rPr>
                <w:bCs/>
                <w:color w:val="000000" w:themeColor="text1"/>
                <w:spacing w:val="0"/>
                <w:sz w:val="26"/>
                <w:szCs w:val="26"/>
                <w14:textFill>
                  <w14:solidFill>
                    <w14:schemeClr w14:val="tx1"/>
                  </w14:solidFill>
                </w14:textFill>
              </w:rPr>
              <w:t xml:space="preserve">substitution of </w:t>
            </w:r>
            <w:r>
              <w:rPr>
                <w:color w:val="000000" w:themeColor="text1"/>
                <w:spacing w:val="0"/>
                <w:sz w:val="26"/>
                <w:szCs w:val="26"/>
                <w14:textFill>
                  <w14:solidFill>
                    <w14:schemeClr w14:val="tx1"/>
                  </w14:solidFill>
                </w14:textFill>
              </w:rPr>
              <w:t>Bid (if any); proposal of alternative technical solution (if any) shall be sealed. Sealing method is specified by the Bidder.</w:t>
            </w:r>
          </w:p>
          <w:p w14:paraId="708C6381">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20.2. The inner and outer envelopes shall:</w:t>
            </w:r>
          </w:p>
          <w:p w14:paraId="708C6382">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a) bear the name and address of the Bidder;</w:t>
            </w:r>
          </w:p>
          <w:p w14:paraId="708C6383">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b) be addressed to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in accordance with ITB 21.1;</w:t>
            </w:r>
          </w:p>
          <w:p w14:paraId="708C6384">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c) bear the name of the package indicated in ITB 1.2;</w:t>
            </w:r>
          </w:p>
          <w:p w14:paraId="708C6385">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d) bear a warning: “Do not open before the time and date for Bid opening”.</w:t>
            </w:r>
          </w:p>
          <w:p w14:paraId="708C6386">
            <w:pPr>
              <w:pStyle w:val="86"/>
              <w:widowControl w:val="0"/>
              <w:tabs>
                <w:tab w:val="left" w:pos="4156"/>
              </w:tabs>
              <w:spacing w:before="60" w:after="60"/>
              <w:ind w:left="170"/>
              <w:outlineLvl w:val="3"/>
              <w:rPr>
                <w:color w:val="000000" w:themeColor="text1"/>
                <w:spacing w:val="0"/>
                <w:sz w:val="26"/>
                <w:szCs w:val="26"/>
                <w14:textFill>
                  <w14:solidFill>
                    <w14:schemeClr w14:val="tx1"/>
                  </w14:solidFill>
                </w14:textFill>
              </w:rPr>
            </w:pPr>
            <w:r>
              <w:rPr>
                <w:color w:val="000000" w:themeColor="text1"/>
                <w:sz w:val="26"/>
                <w:szCs w:val="26"/>
                <w14:textFill>
                  <w14:solidFill>
                    <w14:schemeClr w14:val="tx1"/>
                  </w14:solidFill>
                </w14:textFill>
              </w:rPr>
              <w:t>20.3. The bidders shall be responsible for any consequence or inconvenience if they do not comply with the requirements of BDs such as not sealing their bids or losing seal of bids during transportation of Bids to the Purchaser, not indicating properly the information on the bid envelopes as instructed in ITB 20.1 and 20.2. The Purchaser shall not be responsible for the confidentiality of information in the Bid in case the Bidder does not follow the instructions as required above mention.</w:t>
            </w:r>
          </w:p>
        </w:tc>
      </w:tr>
      <w:tr w14:paraId="708C6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388">
            <w:pPr>
              <w:pStyle w:val="91"/>
              <w:widowControl w:val="0"/>
              <w:shd w:val="clear" w:color="auto" w:fill="FFFFFF"/>
              <w:tabs>
                <w:tab w:val="clear" w:pos="360"/>
              </w:tabs>
              <w:spacing w:before="40" w:after="40"/>
              <w:ind w:left="0" w:firstLine="0"/>
              <w:jc w:val="both"/>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21. Deadline for Submission of Bids</w:t>
            </w:r>
          </w:p>
          <w:p w14:paraId="708C6389">
            <w:pPr>
              <w:widowControl w:val="0"/>
              <w:spacing w:before="60" w:after="60" w:line="240" w:lineRule="auto"/>
              <w:rPr>
                <w:b/>
                <w:color w:val="000000" w:themeColor="text1"/>
                <w:sz w:val="26"/>
                <w:szCs w:val="26"/>
                <w14:textFill>
                  <w14:solidFill>
                    <w14:schemeClr w14:val="tx1"/>
                  </w14:solidFill>
                </w14:textFill>
              </w:rPr>
            </w:pPr>
          </w:p>
        </w:tc>
        <w:tc>
          <w:tcPr>
            <w:tcW w:w="7230" w:type="dxa"/>
          </w:tcPr>
          <w:p w14:paraId="708C638A">
            <w:pPr>
              <w:pStyle w:val="23"/>
              <w:widowControl w:val="0"/>
              <w:shd w:val="clear" w:color="auto" w:fill="FFFFFF"/>
              <w:spacing w:before="40" w:after="40"/>
              <w:ind w:left="170"/>
              <w:jc w:val="both"/>
              <w:rPr>
                <w:color w:val="000000" w:themeColor="text1"/>
                <w:sz w:val="26"/>
                <w:szCs w:val="26"/>
                <w:lang w:val="en-US"/>
                <w14:textFill>
                  <w14:solidFill>
                    <w14:schemeClr w14:val="tx1"/>
                  </w14:solidFill>
                </w14:textFill>
              </w:rPr>
            </w:pPr>
            <w:r>
              <w:rPr>
                <w:color w:val="000000" w:themeColor="text1"/>
                <w:sz w:val="26"/>
                <w:szCs w:val="26"/>
                <w14:textFill>
                  <w14:solidFill>
                    <w14:schemeClr w14:val="tx1"/>
                  </w14:solidFill>
                </w14:textFill>
              </w:rPr>
              <w:t xml:space="preserve">21.1. </w:t>
            </w:r>
            <w:r>
              <w:rPr>
                <w:color w:val="000000" w:themeColor="text1"/>
                <w:sz w:val="26"/>
                <w:szCs w:val="26"/>
                <w:lang w:val="en-US"/>
                <w14:textFill>
                  <w14:solidFill>
                    <w14:schemeClr w14:val="tx1"/>
                  </w14:solidFill>
                </w14:textFill>
              </w:rPr>
              <w:t xml:space="preserve">The deadline for submission of bids prescribed in the Invitation for Bids on </w:t>
            </w:r>
            <w:r>
              <w:rPr>
                <w:color w:val="000000" w:themeColor="text1"/>
                <w:sz w:val="26"/>
                <w:szCs w:val="26"/>
                <w14:textFill>
                  <w14:solidFill>
                    <w14:schemeClr w14:val="tx1"/>
                  </w14:solidFill>
                </w14:textFill>
              </w:rPr>
              <w:t>VNEPS</w:t>
            </w:r>
            <w:r>
              <w:rPr>
                <w:color w:val="000000" w:themeColor="text1"/>
                <w:sz w:val="26"/>
                <w:szCs w:val="26"/>
                <w:lang w:val="en-US"/>
                <w14:textFill>
                  <w14:solidFill>
                    <w14:schemeClr w14:val="tx1"/>
                  </w14:solidFill>
                </w14:textFill>
              </w:rPr>
              <w:t xml:space="preserve">. </w:t>
            </w:r>
            <w:r>
              <w:rPr>
                <w:color w:val="000000" w:themeColor="text1"/>
                <w:sz w:val="26"/>
                <w:szCs w:val="26"/>
                <w14:textFill>
                  <w14:solidFill>
                    <w14:schemeClr w14:val="tx1"/>
                  </w14:solidFill>
                </w14:textFill>
              </w:rPr>
              <w:t>T</w:t>
            </w:r>
            <w:r>
              <w:rPr>
                <w:rFonts w:eastAsia="Calibri"/>
                <w:color w:val="000000" w:themeColor="text1"/>
                <w:sz w:val="26"/>
                <w:szCs w:val="26"/>
                <w14:textFill>
                  <w14:solidFill>
                    <w14:schemeClr w14:val="tx1"/>
                  </w14:solidFill>
                </w14:textFill>
              </w:rPr>
              <w:t xml:space="preserve">he Bidders shall submit the Bids as prescribed in the </w:t>
            </w:r>
            <w:r>
              <w:rPr>
                <w:rFonts w:eastAsia="Calibri"/>
                <w:b/>
                <w:color w:val="000000" w:themeColor="text1"/>
                <w:sz w:val="26"/>
                <w:szCs w:val="26"/>
                <w14:textFill>
                  <w14:solidFill>
                    <w14:schemeClr w14:val="tx1"/>
                  </w14:solidFill>
                </w14:textFill>
              </w:rPr>
              <w:t>BDS</w:t>
            </w:r>
            <w:r>
              <w:rPr>
                <w:rFonts w:eastAsia="Calibri"/>
                <w:color w:val="000000" w:themeColor="text1"/>
                <w:sz w:val="26"/>
                <w:szCs w:val="26"/>
                <w14:textFill>
                  <w14:solidFill>
                    <w14:schemeClr w14:val="tx1"/>
                  </w14:solidFill>
                </w14:textFill>
              </w:rPr>
              <w:t xml:space="preserve"> and ensuring that the </w:t>
            </w:r>
            <w:r>
              <w:rPr>
                <w:color w:val="000000" w:themeColor="text1"/>
                <w:sz w:val="26"/>
                <w:szCs w:val="26"/>
                <w14:textFill>
                  <w14:solidFill>
                    <w14:schemeClr w14:val="tx1"/>
                  </w14:solidFill>
                </w14:textFill>
              </w:rPr>
              <w:t>Purchaser</w:t>
            </w:r>
            <w:r>
              <w:rPr>
                <w:rFonts w:eastAsia="Calibri"/>
                <w:color w:val="000000" w:themeColor="text1"/>
                <w:sz w:val="26"/>
                <w:szCs w:val="26"/>
                <w14:textFill>
                  <w14:solidFill>
                    <w14:schemeClr w14:val="tx1"/>
                  </w14:solidFill>
                </w14:textFill>
              </w:rPr>
              <w:t xml:space="preserve"> will receive the bids prior to the deadline for submission of bids.</w:t>
            </w:r>
          </w:p>
          <w:p w14:paraId="708C638B">
            <w:pPr>
              <w:pStyle w:val="86"/>
              <w:widowControl w:val="0"/>
              <w:shd w:val="clear" w:color="auto" w:fill="FFFFFF"/>
              <w:tabs>
                <w:tab w:val="left" w:pos="4156"/>
              </w:tabs>
              <w:spacing w:before="40" w:after="40"/>
              <w:ind w:left="170"/>
              <w:outlineLvl w:val="3"/>
              <w:rPr>
                <w:rFonts w:eastAsia="Calibri"/>
                <w:color w:val="000000" w:themeColor="text1"/>
                <w:spacing w:val="0"/>
                <w:sz w:val="26"/>
                <w:szCs w:val="26"/>
                <w14:textFill>
                  <w14:solidFill>
                    <w14:schemeClr w14:val="tx1"/>
                  </w14:solidFill>
                </w14:textFill>
              </w:rPr>
            </w:pPr>
            <w:r>
              <w:rPr>
                <w:color w:val="000000" w:themeColor="text1"/>
                <w:sz w:val="26"/>
                <w:szCs w:val="26"/>
                <w14:textFill>
                  <w14:solidFill>
                    <w14:schemeClr w14:val="tx1"/>
                  </w14:solidFill>
                </w14:textFill>
              </w:rPr>
              <w:t xml:space="preserve">21.2. The Purchaser may extend the deadline for submission of bids by amending the Invitation for Bids on VNEPS, </w:t>
            </w:r>
            <w:r>
              <w:rPr>
                <w:spacing w:val="0"/>
                <w:sz w:val="26"/>
                <w:szCs w:val="26"/>
              </w:rPr>
              <w:t xml:space="preserve">when extending </w:t>
            </w:r>
            <w:r>
              <w:rPr>
                <w:color w:val="000000" w:themeColor="text1"/>
                <w:sz w:val="26"/>
                <w:szCs w:val="26"/>
                <w14:textFill>
                  <w14:solidFill>
                    <w14:schemeClr w14:val="tx1"/>
                  </w14:solidFill>
                </w14:textFill>
              </w:rPr>
              <w:t>the deadline for submission of bids</w:t>
            </w:r>
            <w:r>
              <w:rPr>
                <w:spacing w:val="0"/>
                <w:sz w:val="26"/>
                <w:szCs w:val="26"/>
              </w:rPr>
              <w:t xml:space="preserve">, all responsibilities of Purchaser and bidder according to the previous </w:t>
            </w:r>
            <w:r>
              <w:rPr>
                <w:color w:val="000000" w:themeColor="text1"/>
                <w:sz w:val="26"/>
                <w:szCs w:val="26"/>
                <w14:textFill>
                  <w14:solidFill>
                    <w14:schemeClr w14:val="tx1"/>
                  </w14:solidFill>
                </w14:textFill>
              </w:rPr>
              <w:t xml:space="preserve">deadline for submission of bids </w:t>
            </w:r>
            <w:r>
              <w:rPr>
                <w:spacing w:val="0"/>
                <w:sz w:val="26"/>
                <w:szCs w:val="26"/>
              </w:rPr>
              <w:t xml:space="preserve">will be changed according to the new extended </w:t>
            </w:r>
            <w:r>
              <w:rPr>
                <w:color w:val="000000" w:themeColor="text1"/>
                <w:sz w:val="26"/>
                <w:szCs w:val="26"/>
                <w14:textFill>
                  <w14:solidFill>
                    <w14:schemeClr w14:val="tx1"/>
                  </w14:solidFill>
                </w14:textFill>
              </w:rPr>
              <w:t>deadline for submission of bids</w:t>
            </w:r>
            <w:r>
              <w:rPr>
                <w:spacing w:val="0"/>
                <w:sz w:val="26"/>
                <w:szCs w:val="26"/>
              </w:rPr>
              <w:t>.</w:t>
            </w:r>
          </w:p>
        </w:tc>
      </w:tr>
      <w:tr w14:paraId="708C6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268" w:type="dxa"/>
          </w:tcPr>
          <w:p w14:paraId="708C638D">
            <w:pPr>
              <w:pStyle w:val="91"/>
              <w:widowControl w:val="0"/>
              <w:spacing w:before="60" w:after="60"/>
              <w:ind w:left="0" w:firstLine="0"/>
              <w:jc w:val="both"/>
              <w:outlineLvl w:val="3"/>
              <w:rPr>
                <w:bCs/>
                <w:color w:val="000000" w:themeColor="text1"/>
                <w:spacing w:val="-10"/>
                <w:sz w:val="26"/>
                <w:szCs w:val="26"/>
                <w14:textFill>
                  <w14:solidFill>
                    <w14:schemeClr w14:val="tx1"/>
                  </w14:solidFill>
                </w14:textFill>
              </w:rPr>
            </w:pPr>
            <w:r>
              <w:rPr>
                <w:bCs/>
                <w:color w:val="000000" w:themeColor="text1"/>
                <w:sz w:val="26"/>
                <w:szCs w:val="26"/>
                <w14:textFill>
                  <w14:solidFill>
                    <w14:schemeClr w14:val="tx1"/>
                  </w14:solidFill>
                </w14:textFill>
              </w:rPr>
              <w:t>22. Late Bids</w:t>
            </w:r>
          </w:p>
        </w:tc>
        <w:tc>
          <w:tcPr>
            <w:tcW w:w="7230" w:type="dxa"/>
          </w:tcPr>
          <w:p w14:paraId="708C638E">
            <w:pPr>
              <w:spacing w:before="120"/>
              <w:ind w:right="43"/>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Bids are sent to the Purchaser after the deadline of submission of Bids will not be opened, invalid and rejected. Any documents sent by the bidder after the deadline of submission of Bids to amend and supplement the submitted Bids are invalid, except for documents sent by the bidder to clarify the bids at the request of the Purchaser or provide clarifying and supplementing documents to prove the eligibility, capacity and experience of the bidders as prescribed in ITB 26.1 and ITB 26.3.</w:t>
            </w:r>
          </w:p>
        </w:tc>
      </w:tr>
      <w:tr w14:paraId="708C6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268" w:type="dxa"/>
          </w:tcPr>
          <w:p w14:paraId="708C6390">
            <w:pPr>
              <w:spacing w:before="120" w:after="120"/>
              <w:ind w:left="147" w:right="191"/>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23. Withdrawal, Substitution, and Modification of Bids</w:t>
            </w:r>
          </w:p>
        </w:tc>
        <w:tc>
          <w:tcPr>
            <w:tcW w:w="7230" w:type="dxa"/>
          </w:tcPr>
          <w:p w14:paraId="708C6391">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23.1. A Bidder may withdraw, substitute or modify its bid after it has been submitted by sending a written notice, duly signed by an authorized representative, in case of authorization, the authorization letter must be attached as prescribed in ITB 19.3. Bids for modification or </w:t>
            </w:r>
            <w:r>
              <w:rPr>
                <w:bCs/>
                <w:color w:val="000000" w:themeColor="text1"/>
                <w:sz w:val="26"/>
                <w:szCs w:val="26"/>
                <w14:textFill>
                  <w14:solidFill>
                    <w14:schemeClr w14:val="tx1"/>
                  </w14:solidFill>
                </w14:textFill>
              </w:rPr>
              <w:t>substitution</w:t>
            </w:r>
            <w:r>
              <w:rPr>
                <w:b/>
                <w:color w:val="000000" w:themeColor="text1"/>
                <w:sz w:val="26"/>
                <w:szCs w:val="26"/>
                <w14:textFill>
                  <w14:solidFill>
                    <w14:schemeClr w14:val="tx1"/>
                  </w14:solidFill>
                </w14:textFill>
              </w:rPr>
              <w:t xml:space="preserve"> </w:t>
            </w:r>
            <w:r>
              <w:rPr>
                <w:color w:val="000000" w:themeColor="text1"/>
                <w:spacing w:val="0"/>
                <w:sz w:val="26"/>
                <w:szCs w:val="26"/>
                <w14:textFill>
                  <w14:solidFill>
                    <w14:schemeClr w14:val="tx1"/>
                  </w14:solidFill>
                </w14:textFill>
              </w:rPr>
              <w:t xml:space="preserve">must be enclosed with a written notice of the corresponding modification or </w:t>
            </w:r>
            <w:r>
              <w:rPr>
                <w:bCs/>
                <w:color w:val="000000" w:themeColor="text1"/>
                <w:sz w:val="26"/>
                <w:szCs w:val="26"/>
                <w14:textFill>
                  <w14:solidFill>
                    <w14:schemeClr w14:val="tx1"/>
                  </w14:solidFill>
                </w14:textFill>
              </w:rPr>
              <w:t>substitution</w:t>
            </w:r>
            <w:r>
              <w:rPr>
                <w:b/>
                <w:color w:val="000000" w:themeColor="text1"/>
                <w:sz w:val="26"/>
                <w:szCs w:val="26"/>
                <w14:textFill>
                  <w14:solidFill>
                    <w14:schemeClr w14:val="tx1"/>
                  </w14:solidFill>
                </w14:textFill>
              </w:rPr>
              <w:t xml:space="preserve"> </w:t>
            </w:r>
            <w:r>
              <w:rPr>
                <w:color w:val="000000" w:themeColor="text1"/>
                <w:spacing w:val="0"/>
                <w:sz w:val="26"/>
                <w:szCs w:val="26"/>
                <w14:textFill>
                  <w14:solidFill>
                    <w14:schemeClr w14:val="tx1"/>
                  </w14:solidFill>
                </w14:textFill>
              </w:rPr>
              <w:t>and must satisfy the following conditions:</w:t>
            </w:r>
          </w:p>
          <w:p w14:paraId="708C6392">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a) prepared and submitted to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in accordance with ITB 19 and 20, and in addition, the respective envelopes shall be clearly marked “SUBSTITUTION” or “MODIFICATION” or “WITHDRAWAL”; </w:t>
            </w:r>
          </w:p>
          <w:p w14:paraId="708C6393">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b) received by the Purchaser prior to the deadline for submission of Bids in accordance with ITB 21.</w:t>
            </w:r>
          </w:p>
          <w:p w14:paraId="708C6394">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23.2. Bids requested to be withdrawn in accordance with ITB 23.1 shall be returned unopened to the Bidders.</w:t>
            </w:r>
          </w:p>
          <w:p w14:paraId="708C6395">
            <w:pPr>
              <w:spacing w:before="120" w:after="120"/>
              <w:ind w:left="132" w:right="134"/>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23.3. No bid may be withdrawn, substituted or modified in the interval between the deadline for submission of bids and the expiration of the period of bid validity specified by the Bidder on the Letter of Bid or any extension thereof. </w:t>
            </w:r>
          </w:p>
        </w:tc>
      </w:tr>
      <w:tr w14:paraId="708C6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268" w:type="dxa"/>
          </w:tcPr>
          <w:p w14:paraId="708C6397">
            <w:pPr>
              <w:spacing w:before="120" w:after="120"/>
              <w:ind w:left="147" w:right="191"/>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24. Bid Opening</w:t>
            </w:r>
          </w:p>
        </w:tc>
        <w:tc>
          <w:tcPr>
            <w:tcW w:w="7230" w:type="dxa"/>
          </w:tcPr>
          <w:p w14:paraId="708C6398">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24.1. </w:t>
            </w:r>
            <w:r>
              <w:rPr>
                <w:rFonts w:eastAsia="Calibri"/>
                <w:color w:val="000000" w:themeColor="text1"/>
                <w:spacing w:val="0"/>
                <w:sz w:val="26"/>
                <w:szCs w:val="26"/>
                <w14:textFill>
                  <w14:solidFill>
                    <w14:schemeClr w14:val="tx1"/>
                  </w14:solidFill>
                </w14:textFill>
              </w:rPr>
              <w:t xml:space="preserve">Except the cases specified in ITB 22 and 23.2, the Purchaser shall publicly open and read out in accordance with ITB 24.5(b) all Bids received prior to the deadline for submission of bids. Bid opening shall be publicly conducted by the deadline at the date, time and place specified in the </w:t>
            </w:r>
            <w:r>
              <w:rPr>
                <w:rFonts w:eastAsia="Calibri"/>
                <w:b/>
                <w:color w:val="000000" w:themeColor="text1"/>
                <w:spacing w:val="0"/>
                <w:sz w:val="26"/>
                <w:szCs w:val="26"/>
                <w14:textFill>
                  <w14:solidFill>
                    <w14:schemeClr w14:val="tx1"/>
                  </w14:solidFill>
                </w14:textFill>
              </w:rPr>
              <w:t>BDS</w:t>
            </w:r>
            <w:r>
              <w:rPr>
                <w:rFonts w:eastAsia="Calibri"/>
                <w:color w:val="000000" w:themeColor="text1"/>
                <w:spacing w:val="0"/>
                <w:sz w:val="26"/>
                <w:szCs w:val="26"/>
                <w14:textFill>
                  <w14:solidFill>
                    <w14:schemeClr w14:val="tx1"/>
                  </w14:solidFill>
                </w14:textFill>
              </w:rPr>
              <w:t xml:space="preserve"> in the presence of Bidders’ representatives and representatives of relevant agencies and organizations. Bid opening does not depend on the presence or absence of representatives of the Bidders.</w:t>
            </w:r>
          </w:p>
          <w:p w14:paraId="708C6399">
            <w:pPr>
              <w:pStyle w:val="639"/>
              <w:spacing w:after="200"/>
              <w:ind w:left="173" w:firstLine="0"/>
              <w:contextualSpacing w:val="0"/>
              <w:rPr>
                <w:color w:val="000000" w:themeColor="text1"/>
                <w:spacing w:val="0"/>
                <w:sz w:val="26"/>
                <w:szCs w:val="26"/>
                <w14:textFill>
                  <w14:solidFill>
                    <w14:schemeClr w14:val="tx1"/>
                  </w14:solidFill>
                </w14:textFill>
              </w:rPr>
            </w:pPr>
            <w:r>
              <w:rPr>
                <w:color w:val="000000" w:themeColor="text1"/>
                <w:sz w:val="26"/>
                <w:szCs w:val="26"/>
                <w14:textFill>
                  <w14:solidFill>
                    <w14:schemeClr w14:val="tx1"/>
                  </w14:solidFill>
                </w14:textFill>
              </w:rPr>
              <w:t xml:space="preserve">24.2. </w:t>
            </w:r>
            <w:r>
              <w:rPr>
                <w:color w:val="000000" w:themeColor="text1"/>
                <w:spacing w:val="0"/>
                <w:sz w:val="26"/>
                <w:szCs w:val="26"/>
                <w14:textFill>
                  <w14:solidFill>
                    <w14:schemeClr w14:val="tx1"/>
                  </w14:solidFill>
                </w14:textFill>
              </w:rPr>
              <w:t>First, envelopes marked “</w:t>
            </w:r>
            <w:r>
              <w:rPr>
                <w:smallCaps/>
                <w:color w:val="000000" w:themeColor="text1"/>
                <w:spacing w:val="0"/>
                <w:sz w:val="26"/>
                <w:szCs w:val="26"/>
                <w14:textFill>
                  <w14:solidFill>
                    <w14:schemeClr w14:val="tx1"/>
                  </w14:solidFill>
                </w14:textFill>
              </w:rPr>
              <w:t>Withdrawal</w:t>
            </w:r>
            <w:r>
              <w:rPr>
                <w:color w:val="000000" w:themeColor="text1"/>
                <w:spacing w:val="0"/>
                <w:sz w:val="26"/>
                <w:szCs w:val="26"/>
                <w14:textFill>
                  <w14:solidFill>
                    <w14:schemeClr w14:val="tx1"/>
                  </w14:solidFill>
                </w14:textFill>
              </w:rPr>
              <w:t>” shall be opened and read out and the envelope with the corresponding Bid shall not be opened but returned to the Bidder. If the withdrawal envelope does not contain a copy of the “power of attorney” confirming the signature as a person duly authorized to sign on behalf of the Bidder, the corresponding Bid will be opened. No Bid withdrawal shall be permitted unless the corresponding withdrawal notice contains a valid authorization to request the withdrawal and is read out at Bid opening. In this case, the bid will still be opened according to the provisions of ITB 24.5.</w:t>
            </w:r>
          </w:p>
          <w:p w14:paraId="708C639A">
            <w:pPr>
              <w:pStyle w:val="23"/>
              <w:widowControl w:val="0"/>
              <w:shd w:val="clear" w:color="auto" w:fill="FFFFFF"/>
              <w:spacing w:before="40" w:after="40"/>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24.3. Next, envelopes marked “SUBSTITUTION” shall be opened and read out and exchanged with the corresponding Bid being substituted, and the substituted bid envelopes shall not be opened, but returned to the Bidder. The Purchaser will not accept the bidder to withdraw the bid if the written notice of bid withdrawal is not accompanied by documents proving that the person signing the document is the legal representative of the bidder or these documents are not made public at Bid opening. In this case, the bid will still be opened according to the provisions of ITB 24.5.</w:t>
            </w:r>
          </w:p>
          <w:p w14:paraId="708C639B">
            <w:pPr>
              <w:pStyle w:val="639"/>
              <w:ind w:left="173" w:firstLine="0"/>
              <w:contextualSpacing w:val="0"/>
              <w:rPr>
                <w:color w:val="000000" w:themeColor="text1"/>
                <w:spacing w:val="0"/>
                <w:sz w:val="26"/>
                <w:szCs w:val="26"/>
                <w14:textFill>
                  <w14:solidFill>
                    <w14:schemeClr w14:val="tx1"/>
                  </w14:solidFill>
                </w14:textFill>
              </w:rPr>
            </w:pPr>
            <w:r>
              <w:rPr>
                <w:color w:val="000000" w:themeColor="text1"/>
                <w:sz w:val="26"/>
                <w:szCs w:val="26"/>
                <w14:textFill>
                  <w14:solidFill>
                    <w14:schemeClr w14:val="tx1"/>
                  </w14:solidFill>
                </w14:textFill>
              </w:rPr>
              <w:t xml:space="preserve">24.4. </w:t>
            </w:r>
            <w:r>
              <w:rPr>
                <w:color w:val="000000" w:themeColor="text1"/>
                <w:spacing w:val="0"/>
                <w:sz w:val="26"/>
                <w:szCs w:val="26"/>
                <w14:textFill>
                  <w14:solidFill>
                    <w14:schemeClr w14:val="tx1"/>
                  </w14:solidFill>
                </w14:textFill>
              </w:rPr>
              <w:t>Next, envelopes marked “</w:t>
            </w:r>
            <w:r>
              <w:rPr>
                <w:smallCaps/>
                <w:color w:val="000000" w:themeColor="text1"/>
                <w:spacing w:val="0"/>
                <w:sz w:val="26"/>
                <w:szCs w:val="26"/>
                <w14:textFill>
                  <w14:solidFill>
                    <w14:schemeClr w14:val="tx1"/>
                  </w14:solidFill>
                </w14:textFill>
              </w:rPr>
              <w:t>Modification</w:t>
            </w:r>
            <w:r>
              <w:rPr>
                <w:color w:val="000000" w:themeColor="text1"/>
                <w:spacing w:val="0"/>
                <w:sz w:val="26"/>
                <w:szCs w:val="26"/>
                <w14:textFill>
                  <w14:solidFill>
                    <w14:schemeClr w14:val="tx1"/>
                  </w14:solidFill>
                </w14:textFill>
              </w:rPr>
              <w:t>” shall be opened and read out with the corresponding Bid. No Bid modification shall be permitted unless the corresponding modification notice contains a valid authorization to request the modification and is read out at Bid opening</w:t>
            </w:r>
            <w:r>
              <w:rPr>
                <w:color w:val="000000" w:themeColor="text1"/>
                <w:sz w:val="26"/>
                <w:szCs w:val="26"/>
                <w14:textFill>
                  <w14:solidFill>
                    <w14:schemeClr w14:val="tx1"/>
                  </w14:solidFill>
                </w14:textFill>
              </w:rPr>
              <w:t xml:space="preserve">. </w:t>
            </w:r>
          </w:p>
          <w:p w14:paraId="708C639C">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24.5. Each envelope of Bid shall be opened one at a time following the alphabetical sequence of the Bidders’ names and sequence below:</w:t>
            </w:r>
          </w:p>
          <w:p w14:paraId="708C639D">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a) Examine the seals;</w:t>
            </w:r>
          </w:p>
          <w:p w14:paraId="708C639E">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b) Open the original of Bid, modification (if any) or sub</w:t>
            </w:r>
            <w:r>
              <w:rPr>
                <w:spacing w:val="0"/>
                <w:sz w:val="26"/>
                <w:szCs w:val="26"/>
              </w:rPr>
              <w:t xml:space="preserve">stitution (if any) and read out: the name of the Bidder; number of originals, copies; bid price in letter of bid; bid price in grand summary schedule; discounts (if any); Bid validity period; </w:t>
            </w:r>
            <w:r>
              <w:rPr>
                <w:sz w:val="26"/>
                <w:szCs w:val="26"/>
              </w:rPr>
              <w:t xml:space="preserve">time for the package performance; </w:t>
            </w:r>
            <w:r>
              <w:rPr>
                <w:spacing w:val="0"/>
                <w:sz w:val="26"/>
                <w:szCs w:val="26"/>
              </w:rPr>
              <w:t>value of bid security, bid security validity period and other required necessary information.</w:t>
            </w:r>
            <w:r>
              <w:rPr>
                <w:color w:val="000000" w:themeColor="text1"/>
                <w:spacing w:val="0"/>
                <w:sz w:val="26"/>
                <w:szCs w:val="26"/>
                <w14:textFill>
                  <w14:solidFill>
                    <w14:schemeClr w14:val="tx1"/>
                  </w14:solidFill>
                </w14:textFill>
              </w:rPr>
              <w:t xml:space="preserve"> In case the package is separated out lots, then read out the bid price and discounts (if any) per lot. Only Bids and discounts information that are opened and read out at the Bid opening shall be considered further in the evaluation. </w:t>
            </w:r>
          </w:p>
          <w:p w14:paraId="708C639F">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c)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’s representative must sign the original of letter of bid, bid securities, summary of Bid price, authorization of legal bidder’s representative (if any); discount letter (if any), Consortium agreement (if any). The Purchaser is not permitted to reject any bid in the opening, except late bids in accordance with ITB 22;</w:t>
            </w:r>
          </w:p>
          <w:p w14:paraId="708C63A0">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24.6. The Purchaser shall prepare</w:t>
            </w:r>
            <w:r>
              <w:rPr>
                <w:color w:val="000000" w:themeColor="text1"/>
                <w:sz w:val="26"/>
                <w:szCs w:val="26"/>
                <w14:textFill>
                  <w14:solidFill>
                    <w14:schemeClr w14:val="tx1"/>
                  </w14:solidFill>
                </w14:textFill>
              </w:rPr>
              <w:t xml:space="preserve"> a Minute of the bid opening that shall include the information as specified in ITB 24.5(b). The minute of the bid opening shall be signed by the representatives of the Purchaser and the Bidders participating in bid opening. The omission of a Bidder’s signature on the minute shall not invalidate the contents and effect of the minute. A copy of the minute shall be distributed to all Bidders; posted on VNEPS within 24 hours from the time of bid opening.</w:t>
            </w:r>
          </w:p>
        </w:tc>
      </w:tr>
      <w:tr w14:paraId="708C6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268" w:type="dxa"/>
          </w:tcPr>
          <w:p w14:paraId="708C63A2">
            <w:pPr>
              <w:spacing w:before="120" w:after="120"/>
              <w:ind w:left="147" w:right="191"/>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25. </w:t>
            </w:r>
            <w:r>
              <w:rPr>
                <w:rFonts w:eastAsia="Times New Roman"/>
                <w:b/>
                <w:color w:val="000000" w:themeColor="text1"/>
                <w:sz w:val="26"/>
                <w:szCs w:val="26"/>
                <w14:textFill>
                  <w14:solidFill>
                    <w14:schemeClr w14:val="tx1"/>
                  </w14:solidFill>
                </w14:textFill>
              </w:rPr>
              <w:t>Confidentiality</w:t>
            </w:r>
          </w:p>
        </w:tc>
        <w:tc>
          <w:tcPr>
            <w:tcW w:w="7230" w:type="dxa"/>
          </w:tcPr>
          <w:p w14:paraId="708C63A3">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25.1. Information relating to the evaluation of bids and recommendation of contract award, shall not be disclosed to bidders or any other persons not officially concerned with the bidding process until information on results of bidder selection is communication to all Bidders. In any case the bid’s information of a Bidder is not disclosed to other Bidder, except the public information in the minute of the bid opening. </w:t>
            </w:r>
          </w:p>
          <w:p w14:paraId="708C63A4">
            <w:pPr>
              <w:spacing w:before="120" w:after="120"/>
              <w:ind w:left="132" w:right="134"/>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25.2. Unless otherwise clarification of bids as specified in ITB 26 and contract negotiation (if any), the Bidder is not allowed to contact the Purchaser on any matter related to its bids and other matter related to the package during the period from the bid opening to notification of results of bidder selection.</w:t>
            </w:r>
          </w:p>
        </w:tc>
      </w:tr>
      <w:tr w14:paraId="708C6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268" w:type="dxa"/>
          </w:tcPr>
          <w:p w14:paraId="708C63A6">
            <w:pPr>
              <w:spacing w:before="120" w:after="120"/>
              <w:ind w:left="147" w:right="191"/>
              <w:jc w:val="both"/>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26. Clarification of Bids</w:t>
            </w:r>
          </w:p>
        </w:tc>
        <w:tc>
          <w:tcPr>
            <w:tcW w:w="7230" w:type="dxa"/>
          </w:tcPr>
          <w:p w14:paraId="708C63A7">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26.1. </w:t>
            </w:r>
            <w:r>
              <w:rPr>
                <w:spacing w:val="0"/>
                <w:sz w:val="26"/>
                <w:szCs w:val="26"/>
              </w:rPr>
              <w:t>After bid opening, the Bidder is responsible for clarification of Bid as required by the Purchaser,</w:t>
            </w:r>
            <w:r>
              <w:rPr>
                <w:spacing w:val="0"/>
              </w:rPr>
              <w:t xml:space="preserve"> </w:t>
            </w:r>
            <w:r>
              <w:rPr>
                <w:spacing w:val="0"/>
                <w:sz w:val="26"/>
                <w:szCs w:val="26"/>
              </w:rPr>
              <w:t xml:space="preserve">including the clarification of the bidder's eligibility, capacity and experience. For the proposal of technical, price in the bids, the clarification must ensure the principle of no change in the prices or substance or basic contents of the bids (unless the Bidder confirms that the arithmetic error correction of his Bid is done by the Purchaser during the bid evaluation). The Bidder shall notify to the Purchaser in writing on receiving the request for clarification of bids by one of the following: sending directly, post, fax or email.  </w:t>
            </w:r>
          </w:p>
          <w:p w14:paraId="708C63A8">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26.2. The clarification of bids between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and the Bidder is made in writing. Documents that are not related to the content of the request for clarification of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will not be considered, evaluated, except for self-clarification documents as prescribed in ITB 26.3</w:t>
            </w:r>
          </w:p>
          <w:p w14:paraId="708C63A9">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26.3. During the period specified in the </w:t>
            </w:r>
            <w:r>
              <w:rPr>
                <w:b/>
                <w:color w:val="000000" w:themeColor="text1"/>
                <w:spacing w:val="0"/>
                <w:sz w:val="26"/>
                <w:szCs w:val="26"/>
                <w14:textFill>
                  <w14:solidFill>
                    <w14:schemeClr w14:val="tx1"/>
                  </w14:solidFill>
                </w14:textFill>
              </w:rPr>
              <w:t>BDS</w:t>
            </w:r>
            <w:r>
              <w:rPr>
                <w:color w:val="000000" w:themeColor="text1"/>
                <w:spacing w:val="0"/>
                <w:sz w:val="26"/>
                <w:szCs w:val="26"/>
                <w14:textFill>
                  <w14:solidFill>
                    <w14:schemeClr w14:val="tx1"/>
                  </w14:solidFill>
                </w14:textFill>
              </w:rPr>
              <w:t xml:space="preserve">, if the Bidder find that the Bids lack of the evidence documentations such as eligibility, capacity and experience, the Bidder is allowed to submit the supplemental documentations to clarify its eligibility, experience and capacity.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is responsible for receiving these documents for review, evaluation; the clarification documents of eligibility, capacity and experience shall be considered as a part of the Bids. The Purchaser must notify the Bidder of receipt of the Bidder's clarification documents by one of the following means: Send documents directly, by post, fax or email.</w:t>
            </w:r>
          </w:p>
          <w:p w14:paraId="708C63AA">
            <w:pPr>
              <w:pStyle w:val="86"/>
              <w:widowControl w:val="0"/>
              <w:shd w:val="clear" w:color="auto" w:fill="FFFFFF"/>
              <w:spacing w:before="40" w:after="40"/>
              <w:ind w:left="170"/>
              <w:outlineLvl w:val="3"/>
              <w:rPr>
                <w:spacing w:val="0"/>
                <w:sz w:val="26"/>
                <w:szCs w:val="26"/>
              </w:rPr>
            </w:pPr>
            <w:r>
              <w:rPr>
                <w:color w:val="000000" w:themeColor="text1"/>
                <w:spacing w:val="0"/>
                <w:sz w:val="26"/>
                <w:szCs w:val="26"/>
                <w14:textFill>
                  <w14:solidFill>
                    <w14:schemeClr w14:val="tx1"/>
                  </w14:solidFill>
                </w14:textFill>
              </w:rPr>
              <w:t xml:space="preserve">26.4 Clarification of the bid is only done between the Purchaser and the bidder whose bid needs to be clarified and must ensure the principle of not changing the nature of the Bid. The clarification content of the Bid is preserved by Purchaser as part of the Bid. For clarifications that directly affect the evaluation of eligibility, capacity, experience and technical and price requirements. For clarifications that directly affect the evaluation of eligibility, capacity, experience and technical and price requirements, if the deadline of clarification is over, the Bidder does not have a written reply to clarify or has a written reply that does not satisfy the request for clarification of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will evaluate the Bidder's bids according to the bids submitted before the deadline for submis</w:t>
            </w:r>
            <w:r>
              <w:rPr>
                <w:spacing w:val="0"/>
                <w:sz w:val="26"/>
                <w:szCs w:val="26"/>
              </w:rPr>
              <w:t xml:space="preserve">sion of bids. The </w:t>
            </w:r>
            <w:r>
              <w:rPr>
                <w:sz w:val="26"/>
                <w:szCs w:val="26"/>
              </w:rPr>
              <w:t xml:space="preserve">Purchaser </w:t>
            </w:r>
            <w:r>
              <w:rPr>
                <w:spacing w:val="0"/>
                <w:sz w:val="26"/>
                <w:szCs w:val="26"/>
              </w:rPr>
              <w:t>must give the bidder a reasonable time to clarify the Bids.</w:t>
            </w:r>
          </w:p>
          <w:p w14:paraId="708C63AB">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spacing w:val="0"/>
                <w:sz w:val="26"/>
                <w:szCs w:val="26"/>
              </w:rPr>
              <w:t>26.5 If necessary, the Purchaser may send a w</w:t>
            </w:r>
            <w:r>
              <w:rPr>
                <w:color w:val="000000" w:themeColor="text1"/>
                <w:spacing w:val="0"/>
                <w:sz w:val="26"/>
                <w:szCs w:val="26"/>
                <w14:textFill>
                  <w14:solidFill>
                    <w14:schemeClr w14:val="tx1"/>
                  </w14:solidFill>
                </w14:textFill>
              </w:rPr>
              <w:t>ritten request to the potential winning bidder to work directly with the Purchaser to clarify the Bid. The content of the Bid clarification must be specifically recorded in the minutes. The clarification of the Bid in this case must ensure objectivity and transparency.</w:t>
            </w:r>
          </w:p>
        </w:tc>
      </w:tr>
      <w:tr w14:paraId="708C6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268" w:type="dxa"/>
          </w:tcPr>
          <w:p w14:paraId="708C63AD">
            <w:pPr>
              <w:spacing w:before="120" w:after="120"/>
              <w:ind w:left="147" w:right="191"/>
              <w:jc w:val="both"/>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27. Deviations, Reservations, and Omissions</w:t>
            </w:r>
          </w:p>
        </w:tc>
        <w:tc>
          <w:tcPr>
            <w:tcW w:w="7230" w:type="dxa"/>
          </w:tcPr>
          <w:p w14:paraId="708C63AE">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During the evaluation of bids, the following definitions apply: </w:t>
            </w:r>
          </w:p>
          <w:p w14:paraId="708C63AF">
            <w:pPr>
              <w:pStyle w:val="89"/>
              <w:widowControl w:val="0"/>
              <w:shd w:val="clear" w:color="auto" w:fill="FFFFFF"/>
              <w:spacing w:before="40" w:after="40"/>
              <w:ind w:left="170" w:firstLine="0"/>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27.1. “Deviation” is a departure from the requirements specified in the BDs;</w:t>
            </w:r>
          </w:p>
          <w:p w14:paraId="708C63B0">
            <w:pPr>
              <w:pStyle w:val="89"/>
              <w:widowControl w:val="0"/>
              <w:shd w:val="clear" w:color="auto" w:fill="FFFFFF"/>
              <w:spacing w:before="40" w:after="40"/>
              <w:ind w:left="170" w:firstLine="0"/>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27.2. “Reservation” is the setting of limiting conditions or withholding from complete acceptance of the requirements specified in the BDs; </w:t>
            </w:r>
          </w:p>
          <w:p w14:paraId="708C63B1">
            <w:pPr>
              <w:spacing w:before="120" w:after="120"/>
              <w:ind w:left="132" w:right="134"/>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27.3. “Omission” is the failure to submit part or all of the information or documentation required in the BDs. </w:t>
            </w:r>
          </w:p>
        </w:tc>
      </w:tr>
      <w:tr w14:paraId="708C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268" w:type="dxa"/>
          </w:tcPr>
          <w:p w14:paraId="708C63B3">
            <w:pPr>
              <w:spacing w:before="120" w:after="120"/>
              <w:ind w:left="147" w:right="191"/>
              <w:jc w:val="both"/>
              <w:rPr>
                <w:b/>
                <w:bCs/>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28. Determination of Responsiveness of Bids</w:t>
            </w:r>
          </w:p>
        </w:tc>
        <w:tc>
          <w:tcPr>
            <w:tcW w:w="7230" w:type="dxa"/>
          </w:tcPr>
          <w:p w14:paraId="708C63B4">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28.1.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’s determination of a bid’s responsiveness is to be based on the contents of the bid itself, as defined in ITB 10.</w:t>
            </w:r>
          </w:p>
          <w:p w14:paraId="708C63B5">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28.2. A substantially responsive Bid is one that meets the requirements of the BDs without material deviation, reservation, or omission. A material deviation, reservation, or omission is one that:</w:t>
            </w:r>
          </w:p>
          <w:p w14:paraId="708C63B6">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a) if accepted, would affect in any substantial way the scope, quality, or performance of the Goods and Related Services specified in the Contract; limit in any substantial way, inconsistent with the BDs,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’s rights or the Bidder’s obligations under contract;</w:t>
            </w:r>
          </w:p>
          <w:p w14:paraId="708C63B7">
            <w:pPr>
              <w:pStyle w:val="86"/>
              <w:widowControl w:val="0"/>
              <w:shd w:val="clear" w:color="auto" w:fill="FFFFFF"/>
              <w:spacing w:before="40" w:after="40"/>
              <w:ind w:left="170"/>
              <w:outlineLvl w:val="3"/>
              <w:rPr>
                <w:color w:val="000000" w:themeColor="text1"/>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b) if rectified, would unfairly affect the competitive position of other bidders presenting </w:t>
            </w:r>
            <w:r>
              <w:rPr>
                <w:color w:val="000000" w:themeColor="text1"/>
                <w:sz w:val="26"/>
                <w:szCs w:val="26"/>
                <w14:textFill>
                  <w14:solidFill>
                    <w14:schemeClr w14:val="tx1"/>
                  </w14:solidFill>
                </w14:textFill>
              </w:rPr>
              <w:t>substantially responsive bids.</w:t>
            </w:r>
          </w:p>
          <w:p w14:paraId="708C63B8">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z w:val="26"/>
                <w:szCs w:val="26"/>
                <w14:textFill>
                  <w14:solidFill>
                    <w14:schemeClr w14:val="tx1"/>
                  </w14:solidFill>
                </w14:textFill>
              </w:rPr>
              <w:t>28.3. The Purchaser shall examine the technical aspects of the bid submitted in accordance with ITB 15 and ITB 16 to confirm that all requirements specified in the BDs have been met without any material</w:t>
            </w:r>
            <w:r>
              <w:rPr>
                <w:color w:val="000000" w:themeColor="text1"/>
                <w:spacing w:val="0"/>
                <w:sz w:val="26"/>
                <w:szCs w:val="26"/>
                <w14:textFill>
                  <w14:solidFill>
                    <w14:schemeClr w14:val="tx1"/>
                  </w14:solidFill>
                </w14:textFill>
              </w:rPr>
              <w:t xml:space="preserve"> deviation or reservation, or omission.</w:t>
            </w:r>
          </w:p>
          <w:p w14:paraId="708C63B9">
            <w:pPr>
              <w:spacing w:before="120" w:after="120"/>
              <w:ind w:left="132" w:right="134"/>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 28.4. If a Bid is not substantially responsive to the requirements of BDs, it shall be rejected by the Purchaser and may not subsequently be made responsive by correction of the material deviation, reservation, or omission. </w:t>
            </w:r>
          </w:p>
        </w:tc>
      </w:tr>
      <w:tr w14:paraId="708C6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268" w:type="dxa"/>
          </w:tcPr>
          <w:p w14:paraId="708C63BB">
            <w:pPr>
              <w:spacing w:before="120" w:after="120"/>
              <w:ind w:left="147" w:right="191"/>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29. Nonconformi</w:t>
            </w:r>
            <w:r>
              <w:rPr>
                <w:b/>
                <w:color w:val="000000" w:themeColor="text1"/>
                <w:sz w:val="26"/>
                <w:szCs w:val="26"/>
                <w14:textFill>
                  <w14:solidFill>
                    <w14:schemeClr w14:val="tx1"/>
                  </w14:solidFill>
                </w14:textFill>
              </w:rPr>
              <w:softHyphen/>
            </w:r>
            <w:r>
              <w:rPr>
                <w:b/>
                <w:color w:val="000000" w:themeColor="text1"/>
                <w:sz w:val="26"/>
                <w:szCs w:val="26"/>
                <w14:textFill>
                  <w14:solidFill>
                    <w14:schemeClr w14:val="tx1"/>
                  </w14:solidFill>
                </w14:textFill>
              </w:rPr>
              <w:t>ties</w:t>
            </w:r>
          </w:p>
        </w:tc>
        <w:tc>
          <w:tcPr>
            <w:tcW w:w="7230" w:type="dxa"/>
          </w:tcPr>
          <w:p w14:paraId="708C63BC">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29.1. Provided that a Bid is substantially responsive, the </w:t>
            </w:r>
            <w:r>
              <w:rPr>
                <w:color w:val="000000" w:themeColor="text1"/>
                <w:sz w:val="26"/>
                <w:szCs w:val="26"/>
                <w14:textFill>
                  <w14:solidFill>
                    <w14:schemeClr w14:val="tx1"/>
                  </w14:solidFill>
                </w14:textFill>
              </w:rPr>
              <w:t>Purchaser, the bidder selection result team</w:t>
            </w:r>
            <w:r>
              <w:rPr>
                <w:color w:val="000000" w:themeColor="text1"/>
                <w:spacing w:val="0"/>
                <w:sz w:val="26"/>
                <w:szCs w:val="26"/>
                <w14:textFill>
                  <w14:solidFill>
                    <w14:schemeClr w14:val="tx1"/>
                  </w14:solidFill>
                </w14:textFill>
              </w:rPr>
              <w:t xml:space="preserve"> may waive any non-conformities in the Bid that do not constitute a material deviation, reservation or omission.</w:t>
            </w:r>
          </w:p>
          <w:p w14:paraId="708C63BD">
            <w:pPr>
              <w:pStyle w:val="86"/>
              <w:widowControl w:val="0"/>
              <w:shd w:val="clear" w:color="auto" w:fill="FFFFFF"/>
              <w:spacing w:before="40" w:after="40"/>
              <w:ind w:left="170"/>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29.2. Provided that a bid is substantially responsive, the </w:t>
            </w:r>
            <w:r>
              <w:rPr>
                <w:color w:val="000000" w:themeColor="text1"/>
                <w:sz w:val="26"/>
                <w:szCs w:val="26"/>
                <w14:textFill>
                  <w14:solidFill>
                    <w14:schemeClr w14:val="tx1"/>
                  </w14:solidFill>
                </w14:textFill>
              </w:rPr>
              <w:t>Purchaser, the bidder selection result team</w:t>
            </w:r>
            <w:r>
              <w:rPr>
                <w:color w:val="000000" w:themeColor="text1"/>
                <w:spacing w:val="0"/>
                <w:sz w:val="26"/>
                <w:szCs w:val="26"/>
                <w14:textFill>
                  <w14:solidFill>
                    <w14:schemeClr w14:val="tx1"/>
                  </w14:solidFill>
                </w14:textFill>
              </w:rPr>
              <w:t xml:space="preserve"> may request that the Bidder submit the necessary information or documentation, within a reasonable period of time, to rectify nonmaterial nonconformities or omissions in the bid related to documentation requirements.  Such omission shall not be related to any aspect of the price of the Bid.  Failure of the Bidder to comply with the request may result in the rejection of its Bid.</w:t>
            </w:r>
          </w:p>
          <w:p w14:paraId="708C63BE">
            <w:pPr>
              <w:spacing w:before="120" w:after="120"/>
              <w:ind w:left="132" w:right="134"/>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29.3. Provided that a bid is substantially responsive, the Purchaser, the bidder selection result team shall rectify quantifiable nonmaterial nonconformities related to the Bid Price. To this effect, the Bid Price shall be adjusted, for comparison purposes only, to reflect the price of a missing or non-conforming item or component; this adjustment is only completely to compare bids.</w:t>
            </w:r>
          </w:p>
        </w:tc>
      </w:tr>
      <w:tr w14:paraId="708C6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268" w:type="dxa"/>
          </w:tcPr>
          <w:p w14:paraId="708C63C0">
            <w:pPr>
              <w:pStyle w:val="91"/>
              <w:widowControl w:val="0"/>
              <w:shd w:val="clear" w:color="auto" w:fill="FFFFFF"/>
              <w:spacing w:before="40" w:after="40"/>
              <w:ind w:left="0" w:firstLine="0"/>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30.Subcontractors</w:t>
            </w:r>
          </w:p>
          <w:p w14:paraId="708C63C1">
            <w:pPr>
              <w:spacing w:before="120" w:after="120"/>
              <w:ind w:left="147" w:right="191"/>
              <w:jc w:val="both"/>
              <w:rPr>
                <w:b/>
                <w:color w:val="000000" w:themeColor="text1"/>
                <w:sz w:val="26"/>
                <w:szCs w:val="26"/>
                <w14:textFill>
                  <w14:solidFill>
                    <w14:schemeClr w14:val="tx1"/>
                  </w14:solidFill>
                </w14:textFill>
              </w:rPr>
            </w:pPr>
          </w:p>
        </w:tc>
        <w:tc>
          <w:tcPr>
            <w:tcW w:w="7230" w:type="dxa"/>
          </w:tcPr>
          <w:p w14:paraId="708C63C2">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30.1. Subcontractor </w:t>
            </w:r>
            <w:r>
              <w:rPr>
                <w:color w:val="000000" w:themeColor="text1"/>
                <w:sz w:val="26"/>
                <w:szCs w:val="26"/>
                <w14:textFill>
                  <w14:solidFill>
                    <w14:schemeClr w14:val="tx1"/>
                  </w14:solidFill>
                </w14:textFill>
              </w:rPr>
              <w:t xml:space="preserve">means an organization or individual that is subcontracted by the bidder to </w:t>
            </w:r>
            <w:r>
              <w:rPr>
                <w:color w:val="000000" w:themeColor="text1"/>
                <w:spacing w:val="0"/>
                <w:sz w:val="26"/>
                <w:szCs w:val="26"/>
                <w14:textFill>
                  <w14:solidFill>
                    <w14:schemeClr w14:val="tx1"/>
                  </w14:solidFill>
                </w14:textFill>
              </w:rPr>
              <w:t>perform related services.</w:t>
            </w:r>
          </w:p>
          <w:p w14:paraId="708C63C3">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30.2. Requirements on subcontractors stated in </w:t>
            </w:r>
            <w:r>
              <w:rPr>
                <w:b/>
                <w:color w:val="000000" w:themeColor="text1"/>
                <w:spacing w:val="0"/>
                <w:sz w:val="26"/>
                <w:szCs w:val="26"/>
                <w14:textFill>
                  <w14:solidFill>
                    <w14:schemeClr w14:val="tx1"/>
                  </w14:solidFill>
                </w14:textFill>
              </w:rPr>
              <w:t>BDS</w:t>
            </w:r>
            <w:r>
              <w:rPr>
                <w:color w:val="000000" w:themeColor="text1"/>
                <w:spacing w:val="0"/>
                <w:sz w:val="26"/>
                <w:szCs w:val="26"/>
                <w14:textFill>
                  <w14:solidFill>
                    <w14:schemeClr w14:val="tx1"/>
                  </w14:solidFill>
                </w14:textFill>
              </w:rPr>
              <w:t>.</w:t>
            </w:r>
          </w:p>
          <w:p w14:paraId="708C63C4">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30.3. The subcontracting will not change the responsibility of the Bidder under contract. The Bidder must be responsible for quantity, quality, schedule and other responsibilities of the work by subcontractor performance. Qualification and experience of the subcontractor will not be considered to evaluate the Bids. The Bidder must meet the qualification criteria (without regard to experience and qualification of the subcontractor).  </w:t>
            </w:r>
          </w:p>
          <w:p w14:paraId="708C63C5">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In case the Bidder does not propose to use a subcontractor for a specific job or does not expect the work to use a subcontractor in the bid, it is understood that the Bidder is responsible for performing all the work in the bid package. </w:t>
            </w:r>
          </w:p>
          <w:p w14:paraId="708C63C6">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30.4. The main bidder is not allowed to use subcontractors for work other than the work declared for use of subcontractors stated in the Bid; the replacement or addition of subcontractors outside the list of subcontractors stated in the Bid shall only be carried out when there is a valid and reasonable reason and the Purchaser's approval is obtained.</w:t>
            </w:r>
          </w:p>
        </w:tc>
      </w:tr>
      <w:tr w14:paraId="708C6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268" w:type="dxa"/>
          </w:tcPr>
          <w:p w14:paraId="708C63C8">
            <w:pPr>
              <w:spacing w:before="120" w:after="120"/>
              <w:ind w:left="147" w:right="191"/>
              <w:jc w:val="both"/>
              <w:rPr>
                <w:b/>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xml:space="preserve">31. Correction of errors and </w:t>
            </w:r>
            <w:r>
              <w:rPr>
                <w:b/>
                <w:color w:val="000000" w:themeColor="text1"/>
                <w:sz w:val="26"/>
                <w:szCs w:val="26"/>
                <w14:textFill>
                  <w14:solidFill>
                    <w14:schemeClr w14:val="tx1"/>
                  </w14:solidFill>
                </w14:textFill>
              </w:rPr>
              <w:t>Adjustment of deviations</w:t>
            </w:r>
          </w:p>
        </w:tc>
        <w:tc>
          <w:tcPr>
            <w:tcW w:w="7230" w:type="dxa"/>
          </w:tcPr>
          <w:p w14:paraId="708C63C9">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31.1. Correction of errors is the correction of errors in the Bid, including arithmetic errors and other errors, will be conducted according to the following principles:</w:t>
            </w:r>
          </w:p>
          <w:p w14:paraId="708C63CA">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a) Arithmetic errors include incorrect addition, subtraction, multiplication and division when the Bidder calculates quoted prices. For fixed unit price contract, adjusted unit price contract, timing contract, cost-based plus fee contract, output-based contract, percentage contract, if there is </w:t>
            </w:r>
            <w:r>
              <w:rPr>
                <w:sz w:val="26"/>
                <w:szCs w:val="26"/>
              </w:rPr>
              <w:t xml:space="preserve">inconsistency </w:t>
            </w:r>
            <w:r>
              <w:rPr>
                <w:color w:val="000000" w:themeColor="text1"/>
                <w:spacing w:val="0"/>
                <w:sz w:val="26"/>
                <w:szCs w:val="26"/>
                <w14:textFill>
                  <w14:solidFill>
                    <w14:schemeClr w14:val="tx1"/>
                  </w14:solidFill>
                </w14:textFill>
              </w:rPr>
              <w:t xml:space="preserve">between unit price and total price, </w:t>
            </w:r>
            <w:r>
              <w:rPr>
                <w:sz w:val="26"/>
                <w:szCs w:val="26"/>
              </w:rPr>
              <w:t>the unit price shall be the basis for correction</w:t>
            </w:r>
            <w:r>
              <w:rPr>
                <w:color w:val="000000" w:themeColor="text1"/>
                <w:spacing w:val="0"/>
                <w:sz w:val="26"/>
                <w:szCs w:val="26"/>
                <w14:textFill>
                  <w14:solidFill>
                    <w14:schemeClr w14:val="tx1"/>
                  </w14:solidFill>
                </w14:textFill>
              </w:rPr>
              <w:t xml:space="preserve">. </w:t>
            </w:r>
            <w:r>
              <w:rPr>
                <w:sz w:val="26"/>
                <w:szCs w:val="26"/>
              </w:rPr>
              <w:t>in case there is abnormal in the unit price due to decimal error (10 times, 100 times, 1,000 times), the total price shall be the basis for correction</w:t>
            </w:r>
            <w:r>
              <w:rPr>
                <w:color w:val="000000" w:themeColor="text1"/>
                <w:spacing w:val="0"/>
                <w:sz w:val="26"/>
                <w:szCs w:val="26"/>
                <w14:textFill>
                  <w14:solidFill>
                    <w14:schemeClr w14:val="tx1"/>
                  </w14:solidFill>
                </w14:textFill>
              </w:rPr>
              <w:t>.</w:t>
            </w:r>
          </w:p>
          <w:p w14:paraId="708C63CB">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b) If there is an error in a total corresponding to the addition or subtraction of subtotals, the subtotals shall prevail and the total shall be corrected.</w:t>
            </w:r>
          </w:p>
          <w:p w14:paraId="708C63CC">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c) If there is a discrepancy between words and figures, the amount in words shall prevail, unless the amount in words has no meaning; in case the amount expressed in words is related to an arithmetic error, in which case the amount in figures after being accurate (if any) shall prevail subject (if any) to ITB 31.1(a) and ITB 31.1(b).</w:t>
            </w:r>
          </w:p>
          <w:p w14:paraId="708C63CD">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d) </w:t>
            </w:r>
            <w:r>
              <w:rPr>
                <w:color w:val="000000" w:themeColor="text1"/>
                <w:sz w:val="26"/>
                <w:szCs w:val="26"/>
                <w14:textFill>
                  <w14:solidFill>
                    <w14:schemeClr w14:val="tx1"/>
                  </w14:solidFill>
                </w14:textFill>
              </w:rPr>
              <w:t xml:space="preserve">When the amount column is filled in without a corresponding unit price, the unit price shall be determined by dividing that total sum by the quantity; when the unit price is available but the amount column is left blank, the amount shall be determined by multiplying the quantity by the unit price; for a specific item, when both unit price and amount are available but the quantity column is left blank, that quantity shall be determined by dividing the amount by the unit price of that item. When the determined quantity differs with that mentioned in the BDs, it shall be regarded a scope of supply error and be adjusted </w:t>
            </w:r>
            <w:r>
              <w:rPr>
                <w:color w:val="000000" w:themeColor="text1"/>
                <w:spacing w:val="0"/>
                <w:sz w:val="26"/>
                <w:szCs w:val="26"/>
                <w14:textFill>
                  <w14:solidFill>
                    <w14:schemeClr w14:val="tx1"/>
                  </w14:solidFill>
                </w14:textFill>
              </w:rPr>
              <w:t>as specified in Adjustment of deviations.</w:t>
            </w:r>
          </w:p>
          <w:p w14:paraId="708C63CE">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e) </w:t>
            </w:r>
            <w:r>
              <w:rPr>
                <w:color w:val="000000" w:themeColor="text1"/>
                <w:sz w:val="26"/>
                <w:szCs w:val="26"/>
                <w14:textFill>
                  <w14:solidFill>
                    <w14:schemeClr w14:val="tx1"/>
                  </w14:solidFill>
                </w14:textFill>
              </w:rPr>
              <w:t>Unit errors: be adjusted according to the requirements of the BDs</w:t>
            </w:r>
            <w:r>
              <w:rPr>
                <w:color w:val="000000" w:themeColor="text1"/>
                <w:spacing w:val="0"/>
                <w:sz w:val="26"/>
                <w:szCs w:val="26"/>
                <w14:textFill>
                  <w14:solidFill>
                    <w14:schemeClr w14:val="tx1"/>
                  </w14:solidFill>
                </w14:textFill>
              </w:rPr>
              <w:t>;</w:t>
            </w:r>
          </w:p>
          <w:p w14:paraId="708C63CF">
            <w:pPr>
              <w:pStyle w:val="86"/>
              <w:widowControl w:val="0"/>
              <w:shd w:val="clear" w:color="auto" w:fill="FFFFFF"/>
              <w:spacing w:before="40" w:after="40"/>
              <w:ind w:left="170"/>
              <w:outlineLvl w:val="3"/>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31.2. Adjustment of deviations</w:t>
            </w:r>
          </w:p>
          <w:p w14:paraId="708C63D0">
            <w:pPr>
              <w:pStyle w:val="96"/>
              <w:numPr>
                <w:ilvl w:val="0"/>
                <w:numId w:val="33"/>
              </w:numPr>
              <w:shd w:val="clear" w:color="auto" w:fill="FFFFFF"/>
              <w:tabs>
                <w:tab w:val="clear" w:pos="851"/>
              </w:tabs>
              <w:spacing w:before="40" w:after="40"/>
              <w:rPr>
                <w:b w:val="0"/>
                <w:color w:val="000000" w:themeColor="text1"/>
                <w:lang w:val="en-US"/>
                <w14:textFill>
                  <w14:solidFill>
                    <w14:schemeClr w14:val="tx1"/>
                  </w14:solidFill>
                </w14:textFill>
              </w:rPr>
            </w:pPr>
            <w:r>
              <w:rPr>
                <w:b w:val="0"/>
                <w:color w:val="000000" w:themeColor="text1"/>
                <w:lang w:val="en-US"/>
                <w14:textFill>
                  <w14:solidFill>
                    <w14:schemeClr w14:val="tx1"/>
                  </w14:solidFill>
                </w14:textFill>
              </w:rPr>
              <w:t>Deviation in scope of supply:</w:t>
            </w:r>
          </w:p>
          <w:p w14:paraId="708C63D1">
            <w:pPr>
              <w:pStyle w:val="96"/>
              <w:shd w:val="clear" w:color="auto" w:fill="FFFFFF"/>
              <w:tabs>
                <w:tab w:val="clear" w:pos="851"/>
              </w:tabs>
              <w:spacing w:before="40" w:after="40"/>
              <w:ind w:left="530" w:firstLine="0"/>
              <w:rPr>
                <w:b w:val="0"/>
                <w:color w:val="000000" w:themeColor="text1"/>
                <w:lang w:val="en-US"/>
                <w14:textFill>
                  <w14:solidFill>
                    <w14:schemeClr w14:val="tx1"/>
                  </w14:solidFill>
                </w14:textFill>
              </w:rPr>
            </w:pPr>
            <w:r>
              <w:rPr>
                <w:b w:val="0"/>
                <w:color w:val="000000" w:themeColor="text1"/>
                <w:lang w:val="en-US"/>
                <w14:textFill>
                  <w14:solidFill>
                    <w14:schemeClr w14:val="tx1"/>
                  </w14:solidFill>
                </w14:textFill>
              </w:rPr>
              <w:t>- In case the bidder lists goods and work items as required in the BDs but does not record the bid unit price and the total amount for one or several goods or work items, it is considered a deviation and is correcting deviations as prescribed in ITB 31.2(b) to compare and rank bids;</w:t>
            </w:r>
          </w:p>
          <w:p w14:paraId="708C63D2">
            <w:pPr>
              <w:pStyle w:val="96"/>
              <w:shd w:val="clear" w:color="auto" w:fill="FFFFFF"/>
              <w:tabs>
                <w:tab w:val="clear" w:pos="851"/>
              </w:tabs>
              <w:spacing w:before="40" w:after="40"/>
              <w:ind w:left="530" w:firstLine="0"/>
              <w:rPr>
                <w:b w:val="0"/>
                <w:color w:val="000000" w:themeColor="text1"/>
                <w:lang w:val="en-US"/>
                <w14:textFill>
                  <w14:solidFill>
                    <w14:schemeClr w14:val="tx1"/>
                  </w14:solidFill>
                </w14:textFill>
              </w:rPr>
            </w:pPr>
            <w:r>
              <w:rPr>
                <w:b w:val="0"/>
                <w:color w:val="000000" w:themeColor="text1"/>
                <w:lang w:val="en-US"/>
                <w14:textFill>
                  <w14:solidFill>
                    <w14:schemeClr w14:val="tx1"/>
                  </w14:solidFill>
                </w14:textFill>
              </w:rPr>
              <w:t xml:space="preserve">- The part of work mentioned in the BDs that is not listed in the bid price schedule is considered as the missing offer in the bid and is adjusted for deviation as prescribed in ITB 31.2(b) to compare bids, rank bids. The work items stated in the BDs are listed in the bid price schedule but the quantities are less or more than the requirements of the BDs is considered an </w:t>
            </w:r>
            <w:r>
              <w:rPr>
                <w:b w:val="0"/>
                <w:color w:val="000000" w:themeColor="text1"/>
                <w14:textFill>
                  <w14:solidFill>
                    <w14:schemeClr w14:val="tx1"/>
                  </w14:solidFill>
                </w14:textFill>
              </w:rPr>
              <w:t>missing offer</w:t>
            </w:r>
            <w:r>
              <w:rPr>
                <w:b w:val="0"/>
                <w:color w:val="000000" w:themeColor="text1"/>
                <w:lang w:val="en-US"/>
                <w14:textFill>
                  <w14:solidFill>
                    <w14:schemeClr w14:val="tx1"/>
                  </w14:solidFill>
                </w14:textFill>
              </w:rPr>
              <w:t xml:space="preserve"> or </w:t>
            </w:r>
            <w:r>
              <w:rPr>
                <w:b w:val="0"/>
                <w:color w:val="000000" w:themeColor="text1"/>
                <w14:textFill>
                  <w14:solidFill>
                    <w14:schemeClr w14:val="tx1"/>
                  </w14:solidFill>
                </w14:textFill>
              </w:rPr>
              <w:t>redundant offer</w:t>
            </w:r>
            <w:r>
              <w:rPr>
                <w:b w:val="0"/>
                <w:color w:val="000000" w:themeColor="text1"/>
                <w:lang w:val="en-US"/>
                <w14:textFill>
                  <w14:solidFill>
                    <w14:schemeClr w14:val="tx1"/>
                  </w14:solidFill>
                </w14:textFill>
              </w:rPr>
              <w:t xml:space="preserve"> and the deviation is corrected as prescribed in ITB 31.2(b). </w:t>
            </w:r>
          </w:p>
          <w:p w14:paraId="708C63D3">
            <w:pPr>
              <w:pStyle w:val="96"/>
              <w:shd w:val="clear" w:color="auto" w:fill="FFFFFF"/>
              <w:tabs>
                <w:tab w:val="clear" w:pos="851"/>
              </w:tabs>
              <w:spacing w:before="40" w:after="40"/>
              <w:ind w:left="530" w:firstLine="0"/>
              <w:rPr>
                <w:b w:val="0"/>
                <w:color w:val="000000" w:themeColor="text1"/>
                <w:lang w:val="en-US"/>
                <w14:textFill>
                  <w14:solidFill>
                    <w14:schemeClr w14:val="tx1"/>
                  </w14:solidFill>
                </w14:textFill>
              </w:rPr>
            </w:pPr>
            <w:r>
              <w:rPr>
                <w:b w:val="0"/>
                <w:color w:val="000000" w:themeColor="text1"/>
                <w:lang w:val="en-US"/>
                <w14:textFill>
                  <w14:solidFill>
                    <w14:schemeClr w14:val="tx1"/>
                  </w14:solidFill>
                </w14:textFill>
              </w:rPr>
              <w:t>The part of work listed in the summary of bid price that is not included in the scope of work stated in the BDs is considered redundant and adjusted for deviation according to the provisions of ITB 31.2(b).</w:t>
            </w:r>
          </w:p>
          <w:p w14:paraId="708C63D4">
            <w:pPr>
              <w:spacing w:before="40" w:after="40" w:line="240" w:lineRule="auto"/>
              <w:ind w:left="174"/>
              <w:rPr>
                <w:rFonts w:eastAsia="Times New Roman"/>
                <w:color w:val="000000" w:themeColor="text1"/>
                <w:sz w:val="26"/>
                <w:szCs w:val="26"/>
                <w14:textFill>
                  <w14:solidFill>
                    <w14:schemeClr w14:val="tx1"/>
                  </w14:solidFill>
                </w14:textFill>
              </w:rPr>
            </w:pPr>
            <w:r>
              <w:rPr>
                <w:rFonts w:eastAsia="Times New Roman"/>
                <w:color w:val="000000" w:themeColor="text1"/>
                <w:sz w:val="26"/>
                <w:szCs w:val="26"/>
                <w14:textFill>
                  <w14:solidFill>
                    <w14:schemeClr w14:val="tx1"/>
                  </w14:solidFill>
                </w14:textFill>
              </w:rPr>
              <w:t>b) Correction of excess and lack deviation in the scope of supply</w:t>
            </w:r>
          </w:p>
          <w:p w14:paraId="708C63D5">
            <w:pPr>
              <w:pStyle w:val="86"/>
              <w:widowControl w:val="0"/>
              <w:shd w:val="clear" w:color="auto" w:fill="FFFFFF"/>
              <w:spacing w:before="40" w:after="40"/>
              <w:ind w:left="175" w:firstLine="392"/>
              <w:outlineLvl w:val="3"/>
              <w:rPr>
                <w:color w:val="000000" w:themeColor="text1"/>
                <w:spacing w:val="0"/>
                <w:sz w:val="26"/>
                <w:szCs w:val="26"/>
                <w14:textFill>
                  <w14:solidFill>
                    <w14:schemeClr w14:val="tx1"/>
                  </w14:solidFill>
                </w14:textFill>
              </w:rPr>
            </w:pPr>
            <w:r>
              <w:rPr>
                <w:rFonts w:eastAsia="Calibri"/>
                <w:color w:val="000000" w:themeColor="text1"/>
                <w:spacing w:val="0"/>
                <w:sz w:val="26"/>
                <w:szCs w:val="26"/>
                <w:lang w:eastAsia="zh-CN"/>
                <w14:textFill>
                  <w14:solidFill>
                    <w14:schemeClr w14:val="tx1"/>
                  </w14:solidFill>
                </w14:textFill>
              </w:rPr>
              <w:t xml:space="preserve">In case Bid is lacking one or more items mentioned in ITB 31.2(a) and without unit price for these items, </w:t>
            </w:r>
            <w:r>
              <w:rPr>
                <w:color w:val="000000" w:themeColor="text1"/>
                <w:sz w:val="26"/>
                <w:szCs w:val="26"/>
                <w14:textFill>
                  <w14:solidFill>
                    <w14:schemeClr w14:val="tx1"/>
                  </w14:solidFill>
                </w14:textFill>
              </w:rPr>
              <w:t>the highest offered unit price for such items taken from other bids that pass the technical evaluation shall be used to adjust the deviation; in case the other bids which pass the technical evaluation do not include unit price, the unit price in the cost estimate shall be the basis for deviation adjustment; in case no cost estimate was made for the procuring package, the unit price used when calculating procuring package price shall be the basis for deviation adjustment,</w:t>
            </w:r>
            <w:r>
              <w:rPr>
                <w:color w:val="000000" w:themeColor="text1"/>
                <w:spacing w:val="0"/>
                <w:sz w:val="26"/>
                <w:szCs w:val="26"/>
                <w14:textFill>
                  <w14:solidFill>
                    <w14:schemeClr w14:val="tx1"/>
                  </w14:solidFill>
                </w14:textFill>
              </w:rPr>
              <w:t xml:space="preserve"> as a basis for comparing bids and ranking bidders. Deviation adjustment just purpose for comparing and ranking bids only. </w:t>
            </w:r>
          </w:p>
          <w:p w14:paraId="708C63D6">
            <w:pPr>
              <w:pStyle w:val="18"/>
              <w:widowControl w:val="0"/>
              <w:tabs>
                <w:tab w:val="left" w:pos="851"/>
              </w:tabs>
              <w:spacing w:before="120" w:line="264" w:lineRule="auto"/>
              <w:ind w:left="175" w:firstLine="567"/>
              <w:jc w:val="both"/>
              <w:rPr>
                <w:rFonts w:eastAsia="Times New Roman"/>
                <w:color w:val="000000" w:themeColor="text1"/>
                <w:sz w:val="26"/>
                <w:szCs w:val="26"/>
                <w14:textFill>
                  <w14:solidFill>
                    <w14:schemeClr w14:val="tx1"/>
                  </w14:solidFill>
                </w14:textFill>
              </w:rPr>
            </w:pPr>
            <w:r>
              <w:rPr>
                <w:color w:val="000000" w:themeColor="text1"/>
                <w:sz w:val="26"/>
                <w:szCs w:val="26"/>
                <w:lang w:eastAsia="zh-CN"/>
                <w14:textFill>
                  <w14:solidFill>
                    <w14:schemeClr w14:val="tx1"/>
                  </w14:solidFill>
                </w14:textFill>
              </w:rPr>
              <w:t xml:space="preserve">If the bids are lacking in volume compared to the requirements in the BDs, </w:t>
            </w:r>
            <w:r>
              <w:rPr>
                <w:color w:val="000000" w:themeColor="text1"/>
                <w:sz w:val="26"/>
                <w:szCs w:val="26"/>
                <w14:textFill>
                  <w14:solidFill>
                    <w14:schemeClr w14:val="tx1"/>
                  </w14:solidFill>
                </w14:textFill>
              </w:rPr>
              <w:t xml:space="preserve">the value of missing offer shall be added by the equivalent unit price indicated in the bid which contains deviations; </w:t>
            </w:r>
          </w:p>
          <w:p w14:paraId="708C63D7">
            <w:pPr>
              <w:pStyle w:val="18"/>
              <w:widowControl w:val="0"/>
              <w:tabs>
                <w:tab w:val="left" w:pos="851"/>
              </w:tabs>
              <w:spacing w:before="120" w:line="264" w:lineRule="auto"/>
              <w:ind w:left="175" w:firstLine="567"/>
              <w:jc w:val="both"/>
              <w:rPr>
                <w:color w:val="000000" w:themeColor="text1"/>
                <w:sz w:val="26"/>
                <w:szCs w:val="26"/>
                <w14:textFill>
                  <w14:solidFill>
                    <w14:schemeClr w14:val="tx1"/>
                  </w14:solidFill>
                </w14:textFill>
              </w:rPr>
            </w:pPr>
            <w:r>
              <w:rPr>
                <w:color w:val="000000" w:themeColor="text1"/>
                <w:sz w:val="26"/>
                <w:szCs w:val="26"/>
                <w:lang w:eastAsia="zh-CN"/>
                <w14:textFill>
                  <w14:solidFill>
                    <w14:schemeClr w14:val="tx1"/>
                  </w14:solidFill>
                </w14:textFill>
              </w:rPr>
              <w:t>If the bids offer excess volume compared to the requirements in the BDs</w:t>
            </w:r>
            <w:r>
              <w:rPr>
                <w:color w:val="000000" w:themeColor="text1"/>
                <w:sz w:val="26"/>
                <w:szCs w:val="26"/>
                <w14:textFill>
                  <w14:solidFill>
                    <w14:schemeClr w14:val="tx1"/>
                  </w14:solidFill>
                </w14:textFill>
              </w:rPr>
              <w:t>,</w:t>
            </w:r>
            <w:r>
              <w:rPr>
                <w:b/>
                <w:color w:val="000000" w:themeColor="text1"/>
                <w:sz w:val="26"/>
                <w:szCs w:val="26"/>
                <w14:textFill>
                  <w14:solidFill>
                    <w14:schemeClr w14:val="tx1"/>
                  </w14:solidFill>
                </w14:textFill>
              </w:rPr>
              <w:t xml:space="preserve"> </w:t>
            </w:r>
            <w:r>
              <w:rPr>
                <w:color w:val="000000" w:themeColor="text1"/>
                <w:sz w:val="26"/>
                <w:szCs w:val="26"/>
                <w14:textFill>
                  <w14:solidFill>
                    <w14:schemeClr w14:val="tx1"/>
                  </w14:solidFill>
                </w14:textFill>
              </w:rPr>
              <w:t xml:space="preserve">the value of redundant offer shall be deducted by the equivalent unit price indicated in the bid which contains deviations; </w:t>
            </w:r>
          </w:p>
          <w:p w14:paraId="708C63D8">
            <w:pPr>
              <w:pStyle w:val="18"/>
              <w:widowControl w:val="0"/>
              <w:spacing w:before="120" w:line="264" w:lineRule="auto"/>
              <w:ind w:left="175" w:hanging="4"/>
              <w:jc w:val="both"/>
              <w:rPr>
                <w:rFonts w:eastAsia="Times New Roman"/>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31.3. In case the bidder issues discount letter, error correction and adjustment of deviation are conducted based on the bid price before subtracting discount. The percentage of the lacking deviation is determined by comparing to the bid price indicated in the letter of bid; </w:t>
            </w:r>
          </w:p>
          <w:p w14:paraId="708C63D9">
            <w:pPr>
              <w:pStyle w:val="86"/>
              <w:widowControl w:val="0"/>
              <w:shd w:val="clear" w:color="auto" w:fill="FFFFFF"/>
              <w:spacing w:before="40" w:after="40"/>
              <w:ind w:left="175" w:hanging="4"/>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31.4. Apply the unit price for the missing deviation for the first ranked bidder: </w:t>
            </w:r>
          </w:p>
          <w:p w14:paraId="708C63DA">
            <w:pPr>
              <w:pStyle w:val="86"/>
              <w:widowControl w:val="0"/>
              <w:shd w:val="clear" w:color="auto" w:fill="FFFFFF"/>
              <w:spacing w:before="40" w:after="40"/>
              <w:ind w:left="175" w:hanging="4"/>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In case the Bid has missing deviations after adjusting the deviations as prescribed in </w:t>
            </w:r>
            <w:r>
              <w:rPr>
                <w:color w:val="000000" w:themeColor="text1"/>
                <w:sz w:val="26"/>
                <w:szCs w:val="26"/>
                <w14:textFill>
                  <w14:solidFill>
                    <w14:schemeClr w14:val="tx1"/>
                  </w14:solidFill>
                </w14:textFill>
              </w:rPr>
              <w:t>ITB 31.2(b)</w:t>
            </w:r>
            <w:r>
              <w:rPr>
                <w:color w:val="000000" w:themeColor="text1"/>
                <w:spacing w:val="0"/>
                <w:sz w:val="26"/>
                <w:szCs w:val="26"/>
                <w14:textFill>
                  <w14:solidFill>
                    <w14:schemeClr w14:val="tx1"/>
                  </w14:solidFill>
                </w14:textFill>
              </w:rPr>
              <w:t xml:space="preserve">, it will still be ranked first and the Bid does not have the unit price of this deviation, the proposed winning unit price for the missing offer will be taken in order of priority: the corresponding lowest unit price among the responsive bids in the technical evaluation step, unit price in the estimate cost, unit price forms the package price (in case of no estimate cost). </w:t>
            </w:r>
          </w:p>
          <w:p w14:paraId="708C63DB">
            <w:pPr>
              <w:pStyle w:val="18"/>
              <w:widowControl w:val="0"/>
              <w:spacing w:before="120" w:line="264" w:lineRule="auto"/>
              <w:ind w:left="175"/>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31.5. After the error correction, deviation adjustment and applying unit prices for missing deviations as prescribed in items above, the Purchaser shall inform the bidders in writing on the error correction, deviation adjustment and application of unit prices to their Bids. Within 03 working days since the date of receiving notice from the Purchaser, the bidders shall inform in writing to the Purchaser on their acceptance of the error correction, deviation adjustment and application of unit prices results which the Purchaser has informed. In case the bidder does not agree with the error correction, deviation adjustment and application of unit prices results which the Purchaser informed, their bid shall be rejected, unless the Purchaser's correction, deviation adjustment and application of unit prices is not appropriate and accurate. </w:t>
            </w:r>
          </w:p>
        </w:tc>
      </w:tr>
      <w:tr w14:paraId="708C6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268" w:type="dxa"/>
          </w:tcPr>
          <w:p w14:paraId="708C63DD">
            <w:pPr>
              <w:spacing w:before="120" w:after="120"/>
              <w:ind w:left="147" w:right="191"/>
              <w:jc w:val="both"/>
              <w:rPr>
                <w:b/>
                <w:color w:val="000000" w:themeColor="text1"/>
                <w:sz w:val="26"/>
                <w:szCs w:val="26"/>
                <w14:textFill>
                  <w14:solidFill>
                    <w14:schemeClr w14:val="tx1"/>
                  </w14:solidFill>
                </w14:textFill>
              </w:rPr>
            </w:pPr>
            <w:r>
              <w:rPr>
                <w:b/>
                <w:color w:val="000000" w:themeColor="text1"/>
                <w:position w:val="-8"/>
                <w:sz w:val="26"/>
                <w:szCs w:val="26"/>
                <w14:textFill>
                  <w14:solidFill>
                    <w14:schemeClr w14:val="tx1"/>
                  </w14:solidFill>
                </w14:textFill>
              </w:rPr>
              <w:t>32. Preference in bidder selection</w:t>
            </w:r>
          </w:p>
        </w:tc>
        <w:tc>
          <w:tcPr>
            <w:tcW w:w="7230" w:type="dxa"/>
          </w:tcPr>
          <w:p w14:paraId="708C63DE">
            <w:pPr>
              <w:pStyle w:val="96"/>
              <w:shd w:val="clear" w:color="auto" w:fill="FFFFFF"/>
              <w:tabs>
                <w:tab w:val="clear" w:pos="851"/>
              </w:tabs>
              <w:spacing w:before="40" w:after="40"/>
              <w:ind w:left="170" w:firstLine="0"/>
              <w:rPr>
                <w:b w:val="0"/>
                <w:color w:val="000000" w:themeColor="text1"/>
                <w:lang w:val="en-US"/>
                <w14:textFill>
                  <w14:solidFill>
                    <w14:schemeClr w14:val="tx1"/>
                  </w14:solidFill>
                </w14:textFill>
              </w:rPr>
            </w:pPr>
            <w:r>
              <w:rPr>
                <w:b w:val="0"/>
                <w:color w:val="000000" w:themeColor="text1"/>
                <w:lang w:val="en-US"/>
                <w14:textFill>
                  <w14:solidFill>
                    <w14:schemeClr w14:val="tx1"/>
                  </w14:solidFill>
                </w14:textFill>
              </w:rPr>
              <w:t xml:space="preserve">32.1. Principle for preference: </w:t>
            </w:r>
          </w:p>
          <w:p w14:paraId="708C63DF">
            <w:pPr>
              <w:pStyle w:val="19"/>
              <w:widowControl w:val="0"/>
              <w:numPr>
                <w:ilvl w:val="0"/>
                <w:numId w:val="34"/>
              </w:numPr>
              <w:shd w:val="clear" w:color="auto" w:fill="FFFFFF"/>
              <w:spacing w:before="40" w:after="40"/>
              <w:ind w:left="739" w:hanging="284"/>
              <w:jc w:val="both"/>
              <w:rPr>
                <w:color w:val="000000" w:themeColor="text1"/>
                <w:sz w:val="26"/>
                <w:szCs w:val="26"/>
                <w14:textFill>
                  <w14:solidFill>
                    <w14:schemeClr w14:val="tx1"/>
                  </w14:solidFill>
                </w14:textFill>
              </w:rPr>
            </w:pPr>
            <w:r>
              <w:rPr>
                <w:sz w:val="26"/>
                <w:szCs w:val="26"/>
              </w:rPr>
              <w:t xml:space="preserve">Where bidders shall be eligible for more than one preference </w:t>
            </w:r>
            <w:r>
              <w:rPr>
                <w:color w:val="000000" w:themeColor="text1"/>
                <w:sz w:val="26"/>
                <w:szCs w:val="26"/>
                <w:lang w:val="en-US"/>
                <w14:textFill>
                  <w14:solidFill>
                    <w14:schemeClr w14:val="tx1"/>
                  </w14:solidFill>
                </w14:textFill>
              </w:rPr>
              <w:t xml:space="preserve">on evaluation of qualification and experience or finance, </w:t>
            </w:r>
            <w:r>
              <w:rPr>
                <w:sz w:val="26"/>
                <w:szCs w:val="26"/>
              </w:rPr>
              <w:t xml:space="preserve">such bidder shall only be entitled to the highest preference </w:t>
            </w:r>
            <w:r>
              <w:rPr>
                <w:color w:val="000000" w:themeColor="text1"/>
                <w:sz w:val="26"/>
                <w:szCs w:val="26"/>
                <w:lang w:val="en-US"/>
                <w14:textFill>
                  <w14:solidFill>
                    <w14:schemeClr w14:val="tx1"/>
                  </w14:solidFill>
                </w14:textFill>
              </w:rPr>
              <w:t xml:space="preserve"> corresponding to each evaluation of qualification and experience or finance.</w:t>
            </w:r>
          </w:p>
          <w:p w14:paraId="708C63E0">
            <w:pPr>
              <w:pStyle w:val="19"/>
              <w:widowControl w:val="0"/>
              <w:numPr>
                <w:ilvl w:val="0"/>
                <w:numId w:val="34"/>
              </w:numPr>
              <w:shd w:val="clear" w:color="auto" w:fill="FFFFFF"/>
              <w:spacing w:before="40" w:after="40"/>
              <w:ind w:left="739" w:hanging="284"/>
              <w:jc w:val="both"/>
              <w:rPr>
                <w:color w:val="000000" w:themeColor="text1"/>
                <w:sz w:val="26"/>
                <w:szCs w:val="26"/>
                <w14:textFill>
                  <w14:solidFill>
                    <w14:schemeClr w14:val="tx1"/>
                  </w14:solidFill>
                </w14:textFill>
              </w:rPr>
            </w:pPr>
            <w:r>
              <w:rPr>
                <w:color w:val="000000" w:themeColor="text1"/>
                <w:sz w:val="26"/>
                <w:szCs w:val="26"/>
                <w:lang w:val="en-US"/>
                <w14:textFill>
                  <w14:solidFill>
                    <w14:schemeClr w14:val="tx1"/>
                  </w14:solidFill>
                </w14:textFill>
              </w:rPr>
              <w:t>In case all Bidders are eligible for the same preference or none of them are eligible for preference then it is not necessary to apply preference when ranking Bidders.</w:t>
            </w:r>
          </w:p>
          <w:p w14:paraId="708C63E1">
            <w:pPr>
              <w:pStyle w:val="19"/>
              <w:widowControl w:val="0"/>
              <w:numPr>
                <w:ilvl w:val="0"/>
                <w:numId w:val="34"/>
              </w:numPr>
              <w:shd w:val="clear" w:color="auto" w:fill="FFFFFF"/>
              <w:spacing w:before="40" w:after="40"/>
              <w:ind w:left="739" w:hanging="284"/>
              <w:jc w:val="both"/>
              <w:rPr>
                <w:color w:val="000000" w:themeColor="text1"/>
                <w:sz w:val="26"/>
                <w:szCs w:val="26"/>
                <w14:textFill>
                  <w14:solidFill>
                    <w14:schemeClr w14:val="tx1"/>
                  </w14:solidFill>
                </w14:textFill>
              </w:rPr>
            </w:pPr>
            <w:r>
              <w:rPr>
                <w:color w:val="000000" w:themeColor="text1"/>
                <w:sz w:val="26"/>
                <w:szCs w:val="26"/>
                <w:lang w:val="en-US"/>
                <w14:textFill>
                  <w14:solidFill>
                    <w14:schemeClr w14:val="tx1"/>
                  </w14:solidFill>
                </w14:textFill>
              </w:rPr>
              <w:t>Bidders have to prove that the Bidders, goods, services offered are eligible for preference in accordance with Clause 1, Article 10 of Procurement law.</w:t>
            </w:r>
          </w:p>
          <w:p w14:paraId="708C63E2">
            <w:pPr>
              <w:pStyle w:val="19"/>
              <w:widowControl w:val="0"/>
              <w:numPr>
                <w:ilvl w:val="0"/>
                <w:numId w:val="34"/>
              </w:numPr>
              <w:shd w:val="clear" w:color="auto" w:fill="FFFFFF"/>
              <w:spacing w:before="40" w:after="40"/>
              <w:ind w:left="739" w:hanging="284"/>
              <w:jc w:val="both"/>
              <w:rPr>
                <w:color w:val="000000" w:themeColor="text1"/>
                <w:sz w:val="26"/>
                <w:szCs w:val="26"/>
                <w14:textFill>
                  <w14:solidFill>
                    <w14:schemeClr w14:val="tx1"/>
                  </w14:solidFill>
                </w14:textFill>
              </w:rPr>
            </w:pPr>
            <w:r>
              <w:rPr>
                <w:rFonts w:eastAsia="Calibri"/>
                <w:color w:val="000000" w:themeColor="text1"/>
                <w:sz w:val="26"/>
                <w:szCs w:val="26"/>
                <w14:textFill>
                  <w14:solidFill>
                    <w14:schemeClr w14:val="tx1"/>
                  </w14:solidFill>
                </w14:textFill>
              </w:rPr>
              <w:t xml:space="preserve">Bidders shall be eligible preference when </w:t>
            </w:r>
            <w:r>
              <w:rPr>
                <w:rStyle w:val="640"/>
                <w:lang w:val="en-US" w:eastAsia="vi-VN"/>
              </w:rPr>
              <w:t xml:space="preserve">the percentage of </w:t>
            </w:r>
            <w:r>
              <w:rPr>
                <w:rFonts w:eastAsia="Calibri"/>
                <w:color w:val="000000" w:themeColor="text1"/>
                <w:sz w:val="26"/>
                <w:szCs w:val="26"/>
                <w14:textFill>
                  <w14:solidFill>
                    <w14:schemeClr w14:val="tx1"/>
                  </w14:solidFill>
                </w14:textFill>
              </w:rPr>
              <w:t xml:space="preserve">the domestic </w:t>
            </w:r>
            <w:r>
              <w:rPr>
                <w:rStyle w:val="640"/>
                <w:lang w:val="en-US" w:eastAsia="vi-VN"/>
              </w:rPr>
              <w:t xml:space="preserve">production </w:t>
            </w:r>
            <w:r>
              <w:rPr>
                <w:rFonts w:eastAsia="Calibri"/>
                <w:color w:val="000000" w:themeColor="text1"/>
                <w:sz w:val="26"/>
                <w:szCs w:val="26"/>
                <w14:textFill>
                  <w14:solidFill>
                    <w14:schemeClr w14:val="tx1"/>
                  </w14:solidFill>
                </w14:textFill>
              </w:rPr>
              <w:t>cost of supplied goods is equal to or more than 30%.</w:t>
            </w:r>
          </w:p>
          <w:p w14:paraId="708C63E3">
            <w:pPr>
              <w:pStyle w:val="19"/>
              <w:widowControl w:val="0"/>
              <w:shd w:val="clear" w:color="auto" w:fill="FFFFFF"/>
              <w:tabs>
                <w:tab w:val="clear" w:pos="720"/>
              </w:tabs>
              <w:spacing w:before="40" w:after="40"/>
              <w:ind w:left="17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32.2. For </w:t>
            </w:r>
            <w:r>
              <w:rPr>
                <w:rStyle w:val="640"/>
                <w:color w:val="000000" w:themeColor="text1"/>
                <w:lang w:eastAsia="vi-VN"/>
                <w14:textFill>
                  <w14:solidFill>
                    <w14:schemeClr w14:val="tx1"/>
                  </w14:solidFill>
                </w14:textFill>
              </w:rPr>
              <w:t xml:space="preserve">IT software products, criteria for determining domestically-produced IT software products eligible for </w:t>
            </w:r>
            <w:r>
              <w:rPr>
                <w:rFonts w:eastAsia="Calibri"/>
                <w:color w:val="000000" w:themeColor="text1"/>
                <w:sz w:val="26"/>
                <w:szCs w:val="26"/>
                <w14:textFill>
                  <w14:solidFill>
                    <w14:schemeClr w14:val="tx1"/>
                  </w14:solidFill>
                </w14:textFill>
              </w:rPr>
              <w:t>preference</w:t>
            </w:r>
            <w:r>
              <w:rPr>
                <w:rStyle w:val="640"/>
                <w:color w:val="000000" w:themeColor="text1"/>
                <w:lang w:eastAsia="vi-VN"/>
                <w14:textFill>
                  <w14:solidFill>
                    <w14:schemeClr w14:val="tx1"/>
                  </w14:solidFill>
                </w14:textFill>
              </w:rPr>
              <w:t xml:space="preserve"> comply with the law on information technology, regardless of the domestic production cost content requirement in ITB 32.3</w:t>
            </w:r>
          </w:p>
          <w:p w14:paraId="708C63E4">
            <w:pPr>
              <w:pStyle w:val="19"/>
              <w:widowControl w:val="0"/>
              <w:shd w:val="clear" w:color="auto" w:fill="FFFFFF"/>
              <w:tabs>
                <w:tab w:val="clear" w:pos="720"/>
              </w:tabs>
              <w:spacing w:before="40" w:after="40"/>
              <w:ind w:left="17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32.3. A margin of preference is applied in bid evaluation process to compare, rank the bids:</w:t>
            </w:r>
          </w:p>
          <w:p w14:paraId="708C63E5">
            <w:pPr>
              <w:pStyle w:val="19"/>
              <w:widowControl w:val="0"/>
              <w:shd w:val="clear" w:color="auto" w:fill="FFFFFF"/>
              <w:tabs>
                <w:tab w:val="left" w:pos="993"/>
              </w:tabs>
              <w:spacing w:before="40" w:after="40"/>
              <w:ind w:left="17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goods are</w:t>
            </w:r>
            <w:r>
              <w:rPr>
                <w:rFonts w:eastAsia="Calibri"/>
                <w:color w:val="000000" w:themeColor="text1"/>
                <w:sz w:val="26"/>
                <w:szCs w:val="26"/>
                <w14:textFill>
                  <w14:solidFill>
                    <w14:schemeClr w14:val="tx1"/>
                  </w14:solidFill>
                </w14:textFill>
              </w:rPr>
              <w:t xml:space="preserve"> eligible preference when the Bidder proves that the domestic value added of the goods is equal to or more than 30% bid price of such goods. The rate % of domestic production cost of goods is calculated according to </w:t>
            </w:r>
            <w:r>
              <w:rPr>
                <w:rFonts w:eastAsia="Calibri"/>
                <w:color w:val="000000" w:themeColor="text1"/>
                <w:sz w:val="26"/>
                <w:szCs w:val="26"/>
                <w:lang w:val="en-US"/>
                <w14:textFill>
                  <w14:solidFill>
                    <w14:schemeClr w14:val="tx1"/>
                  </w14:solidFill>
                </w14:textFill>
              </w:rPr>
              <w:t>one of the two</w:t>
            </w:r>
            <w:r>
              <w:rPr>
                <w:rFonts w:eastAsia="Calibri"/>
                <w:color w:val="000000" w:themeColor="text1"/>
                <w:sz w:val="26"/>
                <w:szCs w:val="26"/>
                <w14:textFill>
                  <w14:solidFill>
                    <w14:schemeClr w14:val="tx1"/>
                  </w14:solidFill>
                </w14:textFill>
              </w:rPr>
              <w:t xml:space="preserve"> following formula</w:t>
            </w:r>
            <w:r>
              <w:rPr>
                <w:rFonts w:eastAsia="Calibri"/>
                <w:color w:val="000000" w:themeColor="text1"/>
                <w:sz w:val="26"/>
                <w:szCs w:val="26"/>
                <w:lang w:val="en-US"/>
                <w14:textFill>
                  <w14:solidFill>
                    <w14:schemeClr w14:val="tx1"/>
                  </w14:solidFill>
                </w14:textFill>
              </w:rPr>
              <w:t>s</w:t>
            </w:r>
            <w:r>
              <w:rPr>
                <w:rFonts w:eastAsia="Calibri"/>
                <w:color w:val="000000" w:themeColor="text1"/>
                <w:sz w:val="26"/>
                <w:szCs w:val="26"/>
                <w14:textFill>
                  <w14:solidFill>
                    <w14:schemeClr w14:val="tx1"/>
                  </w14:solidFill>
                </w14:textFill>
              </w:rPr>
              <w:t xml:space="preserve">:  </w:t>
            </w:r>
          </w:p>
          <w:p w14:paraId="708C63E6">
            <w:pPr>
              <w:pStyle w:val="19"/>
              <w:widowControl w:val="0"/>
              <w:shd w:val="clear" w:color="auto" w:fill="FFFFFF"/>
              <w:tabs>
                <w:tab w:val="left" w:pos="993"/>
              </w:tabs>
              <w:spacing w:before="40" w:after="40"/>
              <w:ind w:left="170" w:firstLine="0"/>
              <w:jc w:val="center"/>
              <w:rPr>
                <w:color w:val="000000" w:themeColor="text1"/>
                <w:sz w:val="26"/>
                <w:szCs w:val="26"/>
                <w14:textFill>
                  <w14:solidFill>
                    <w14:schemeClr w14:val="tx1"/>
                  </w14:solidFill>
                </w14:textFill>
              </w:rPr>
            </w:pPr>
            <w:r>
              <w:rPr>
                <w:color w:val="000000" w:themeColor="text1"/>
                <w:sz w:val="26"/>
                <w:szCs w:val="26"/>
                <w:lang w:val="en-US"/>
                <w14:textFill>
                  <w14:solidFill>
                    <w14:schemeClr w14:val="tx1"/>
                  </w14:solidFill>
                </w14:textFill>
              </w:rPr>
              <w:t xml:space="preserve">Direct formula: </w:t>
            </w:r>
            <w:r>
              <w:rPr>
                <w:color w:val="000000" w:themeColor="text1"/>
                <w:sz w:val="26"/>
                <w:szCs w:val="26"/>
                <w14:textFill>
                  <w14:solidFill>
                    <w14:schemeClr w14:val="tx1"/>
                  </w14:solidFill>
                </w14:textFill>
              </w:rPr>
              <w:t>D (%) = G</w:t>
            </w:r>
            <w:r>
              <w:rPr>
                <w:color w:val="000000" w:themeColor="text1"/>
                <w:sz w:val="26"/>
                <w:szCs w:val="26"/>
                <w:vertAlign w:val="superscript"/>
                <w14:textFill>
                  <w14:solidFill>
                    <w14:schemeClr w14:val="tx1"/>
                  </w14:solidFill>
                </w14:textFill>
              </w:rPr>
              <w:t>*</w:t>
            </w:r>
            <w:r>
              <w:rPr>
                <w:color w:val="000000" w:themeColor="text1"/>
                <w:sz w:val="26"/>
                <w:szCs w:val="26"/>
                <w14:textFill>
                  <w14:solidFill>
                    <w14:schemeClr w14:val="tx1"/>
                  </w14:solidFill>
                </w14:textFill>
              </w:rPr>
              <w:t xml:space="preserve">/G </w:t>
            </w:r>
            <w:r>
              <w:rPr>
                <w:color w:val="000000" w:themeColor="text1"/>
                <w:sz w:val="26"/>
                <w:szCs w:val="26"/>
                <w:lang w:val="en-US"/>
                <w14:textFill>
                  <w14:solidFill>
                    <w14:schemeClr w14:val="tx1"/>
                  </w14:solidFill>
                </w14:textFill>
              </w:rPr>
              <w:t>x 100</w:t>
            </w:r>
            <w:r>
              <w:rPr>
                <w:color w:val="000000" w:themeColor="text1"/>
                <w:sz w:val="26"/>
                <w:szCs w:val="26"/>
                <w14:textFill>
                  <w14:solidFill>
                    <w14:schemeClr w14:val="tx1"/>
                  </w14:solidFill>
                </w14:textFill>
              </w:rPr>
              <w:t>%</w:t>
            </w:r>
          </w:p>
          <w:p w14:paraId="708C63E7">
            <w:pPr>
              <w:pStyle w:val="19"/>
              <w:widowControl w:val="0"/>
              <w:shd w:val="clear" w:color="auto" w:fill="FFFFFF"/>
              <w:tabs>
                <w:tab w:val="left" w:pos="993"/>
              </w:tabs>
              <w:spacing w:before="40" w:after="40"/>
              <w:ind w:left="170" w:firstLine="0"/>
              <w:jc w:val="center"/>
              <w:rPr>
                <w:color w:val="000000" w:themeColor="text1"/>
                <w:sz w:val="26"/>
                <w:szCs w:val="26"/>
                <w14:textFill>
                  <w14:solidFill>
                    <w14:schemeClr w14:val="tx1"/>
                  </w14:solidFill>
                </w14:textFill>
              </w:rPr>
            </w:pPr>
            <w:r>
              <w:rPr>
                <w:color w:val="000000" w:themeColor="text1"/>
                <w:sz w:val="26"/>
                <w:szCs w:val="26"/>
                <w:lang w:val="en-US"/>
                <w14:textFill>
                  <w14:solidFill>
                    <w14:schemeClr w14:val="tx1"/>
                  </w14:solidFill>
                </w14:textFill>
              </w:rPr>
              <w:t xml:space="preserve">Indirect formula: </w:t>
            </w:r>
            <w:r>
              <w:rPr>
                <w:color w:val="000000" w:themeColor="text1"/>
                <w:sz w:val="26"/>
                <w:szCs w:val="26"/>
                <w14:textFill>
                  <w14:solidFill>
                    <w14:schemeClr w14:val="tx1"/>
                  </w14:solidFill>
                </w14:textFill>
              </w:rPr>
              <w:t xml:space="preserve">D (%) = </w:t>
            </w:r>
            <w:r>
              <w:rPr>
                <w:color w:val="000000" w:themeColor="text1"/>
                <w:sz w:val="26"/>
                <w:szCs w:val="26"/>
                <w:lang w:val="en-US"/>
                <w14:textFill>
                  <w14:solidFill>
                    <w14:schemeClr w14:val="tx1"/>
                  </w14:solidFill>
                </w14:textFill>
              </w:rPr>
              <w:t>(</w:t>
            </w:r>
            <w:r>
              <w:rPr>
                <w:color w:val="000000" w:themeColor="text1"/>
                <w:sz w:val="26"/>
                <w:szCs w:val="26"/>
                <w14:textFill>
                  <w14:solidFill>
                    <w14:schemeClr w14:val="tx1"/>
                  </w14:solidFill>
                </w14:textFill>
              </w:rPr>
              <w:t>G</w:t>
            </w:r>
            <w:r>
              <w:rPr>
                <w:color w:val="000000" w:themeColor="text1"/>
                <w:sz w:val="26"/>
                <w:szCs w:val="26"/>
                <w:lang w:val="en-US"/>
                <w14:textFill>
                  <w14:solidFill>
                    <w14:schemeClr w14:val="tx1"/>
                  </w14:solidFill>
                </w14:textFill>
              </w:rPr>
              <w:t xml:space="preserve"> – C)</w:t>
            </w:r>
            <w:r>
              <w:rPr>
                <w:color w:val="000000" w:themeColor="text1"/>
                <w:sz w:val="26"/>
                <w:szCs w:val="26"/>
                <w14:textFill>
                  <w14:solidFill>
                    <w14:schemeClr w14:val="tx1"/>
                  </w14:solidFill>
                </w14:textFill>
              </w:rPr>
              <w:t xml:space="preserve">/G </w:t>
            </w:r>
            <w:r>
              <w:rPr>
                <w:color w:val="000000" w:themeColor="text1"/>
                <w:sz w:val="26"/>
                <w:szCs w:val="26"/>
                <w:lang w:val="en-US"/>
                <w14:textFill>
                  <w14:solidFill>
                    <w14:schemeClr w14:val="tx1"/>
                  </w14:solidFill>
                </w14:textFill>
              </w:rPr>
              <w:t>x 100</w:t>
            </w:r>
            <w:r>
              <w:rPr>
                <w:color w:val="000000" w:themeColor="text1"/>
                <w:sz w:val="26"/>
                <w:szCs w:val="26"/>
                <w14:textFill>
                  <w14:solidFill>
                    <w14:schemeClr w14:val="tx1"/>
                  </w14:solidFill>
                </w14:textFill>
              </w:rPr>
              <w:t>%</w:t>
            </w:r>
          </w:p>
          <w:p w14:paraId="708C63E8">
            <w:pPr>
              <w:pStyle w:val="19"/>
              <w:widowControl w:val="0"/>
              <w:shd w:val="clear" w:color="auto" w:fill="FFFFFF"/>
              <w:tabs>
                <w:tab w:val="left" w:pos="993"/>
              </w:tabs>
              <w:spacing w:before="40" w:after="40"/>
              <w:ind w:left="17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In which:</w:t>
            </w:r>
          </w:p>
          <w:p w14:paraId="708C63E9">
            <w:pPr>
              <w:pStyle w:val="19"/>
              <w:widowControl w:val="0"/>
              <w:shd w:val="clear" w:color="auto" w:fill="FFFFFF"/>
              <w:tabs>
                <w:tab w:val="left" w:pos="993"/>
              </w:tabs>
              <w:spacing w:before="40" w:after="40"/>
              <w:ind w:left="17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G</w:t>
            </w:r>
            <w:r>
              <w:rPr>
                <w:color w:val="000000" w:themeColor="text1"/>
                <w:sz w:val="26"/>
                <w:szCs w:val="26"/>
                <w:vertAlign w:val="superscript"/>
                <w14:textFill>
                  <w14:solidFill>
                    <w14:schemeClr w14:val="tx1"/>
                  </w14:solidFill>
                </w14:textFill>
              </w:rPr>
              <w:t>*</w:t>
            </w:r>
            <w:r>
              <w:rPr>
                <w:color w:val="000000" w:themeColor="text1"/>
                <w:sz w:val="26"/>
                <w:szCs w:val="26"/>
                <w14:textFill>
                  <w14:solidFill>
                    <w14:schemeClr w14:val="tx1"/>
                  </w14:solidFill>
                </w14:textFill>
              </w:rPr>
              <w:t xml:space="preserve">: is the </w:t>
            </w:r>
            <w:r>
              <w:rPr>
                <w:rFonts w:eastAsia="Calibri"/>
                <w:color w:val="000000" w:themeColor="text1"/>
                <w:sz w:val="26"/>
                <w:szCs w:val="26"/>
                <w14:textFill>
                  <w14:solidFill>
                    <w14:schemeClr w14:val="tx1"/>
                  </w14:solidFill>
                </w14:textFill>
              </w:rPr>
              <w:t xml:space="preserve">domestic production cost;  </w:t>
            </w:r>
          </w:p>
          <w:p w14:paraId="708C63EA">
            <w:pPr>
              <w:pStyle w:val="19"/>
              <w:widowControl w:val="0"/>
              <w:shd w:val="clear" w:color="auto" w:fill="FFFFFF"/>
              <w:tabs>
                <w:tab w:val="left" w:pos="993"/>
              </w:tabs>
              <w:spacing w:before="40" w:after="40"/>
              <w:ind w:left="17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 G: is </w:t>
            </w:r>
            <w:r>
              <w:rPr>
                <w:rFonts w:eastAsia="Calibri"/>
                <w:color w:val="000000" w:themeColor="text1"/>
                <w:sz w:val="26"/>
                <w:szCs w:val="26"/>
                <w14:textFill>
                  <w14:solidFill>
                    <w14:schemeClr w14:val="tx1"/>
                  </w14:solidFill>
                </w14:textFill>
              </w:rPr>
              <w:t>the bid price of goods minus taxes;</w:t>
            </w:r>
            <w:r>
              <w:rPr>
                <w:rFonts w:eastAsia="Calibri"/>
                <w:color w:val="000000" w:themeColor="text1"/>
                <w:sz w:val="26"/>
                <w:szCs w:val="26"/>
                <w:lang w:val="en-US"/>
                <w14:textFill>
                  <w14:solidFill>
                    <w14:schemeClr w14:val="tx1"/>
                  </w14:solidFill>
                </w14:textFill>
              </w:rPr>
              <w:t xml:space="preserve"> in case the Bidder is the manufacturer, G is EXW price of goods;</w:t>
            </w:r>
            <w:r>
              <w:rPr>
                <w:rFonts w:eastAsia="Calibri"/>
                <w:color w:val="000000" w:themeColor="text1"/>
                <w:sz w:val="26"/>
                <w:szCs w:val="26"/>
                <w14:textFill>
                  <w14:solidFill>
                    <w14:schemeClr w14:val="tx1"/>
                  </w14:solidFill>
                </w14:textFill>
              </w:rPr>
              <w:t xml:space="preserve">  </w:t>
            </w:r>
          </w:p>
          <w:p w14:paraId="708C63EB">
            <w:pPr>
              <w:pStyle w:val="19"/>
              <w:widowControl w:val="0"/>
              <w:shd w:val="clear" w:color="auto" w:fill="FFFFFF"/>
              <w:tabs>
                <w:tab w:val="left" w:pos="993"/>
              </w:tabs>
              <w:spacing w:before="40" w:after="40"/>
              <w:ind w:left="17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 </w:t>
            </w:r>
            <w:r>
              <w:rPr>
                <w:color w:val="000000" w:themeColor="text1"/>
                <w:sz w:val="26"/>
                <w:szCs w:val="26"/>
                <w:lang w:val="en-US"/>
                <w14:textFill>
                  <w14:solidFill>
                    <w14:schemeClr w14:val="tx1"/>
                  </w14:solidFill>
                </w14:textFill>
              </w:rPr>
              <w:t>C</w:t>
            </w:r>
            <w:r>
              <w:rPr>
                <w:color w:val="000000" w:themeColor="text1"/>
                <w:sz w:val="26"/>
                <w:szCs w:val="26"/>
                <w14:textFill>
                  <w14:solidFill>
                    <w14:schemeClr w14:val="tx1"/>
                  </w14:solidFill>
                </w14:textFill>
              </w:rPr>
              <w:t xml:space="preserve">: </w:t>
            </w:r>
            <w:r>
              <w:rPr>
                <w:rFonts w:eastAsia="Calibri"/>
                <w:color w:val="000000" w:themeColor="text1"/>
                <w:sz w:val="26"/>
                <w:szCs w:val="26"/>
                <w14:textFill>
                  <w14:solidFill>
                    <w14:schemeClr w14:val="tx1"/>
                  </w14:solidFill>
                </w14:textFill>
              </w:rPr>
              <w:t xml:space="preserve"> </w:t>
            </w:r>
            <w:r>
              <w:rPr>
                <w:rFonts w:eastAsia="Calibri"/>
                <w:color w:val="000000" w:themeColor="text1"/>
                <w:sz w:val="26"/>
                <w:szCs w:val="26"/>
                <w:lang w:val="en-US"/>
                <w14:textFill>
                  <w14:solidFill>
                    <w14:schemeClr w14:val="tx1"/>
                  </w14:solidFill>
                </w14:textFill>
              </w:rPr>
              <w:t>is</w:t>
            </w:r>
            <w:r>
              <w:rPr>
                <w:rFonts w:eastAsia="Calibri"/>
                <w:color w:val="000000" w:themeColor="text1"/>
                <w:sz w:val="26"/>
                <w:szCs w:val="26"/>
                <w14:textFill>
                  <w14:solidFill>
                    <w14:schemeClr w14:val="tx1"/>
                  </w14:solidFill>
                </w14:textFill>
              </w:rPr>
              <w:t xml:space="preserve"> the costs of import</w:t>
            </w:r>
            <w:r>
              <w:rPr>
                <w:rFonts w:eastAsia="Calibri"/>
                <w:color w:val="000000" w:themeColor="text1"/>
                <w:sz w:val="26"/>
                <w:szCs w:val="26"/>
                <w:lang w:val="en-US"/>
                <w14:textFill>
                  <w14:solidFill>
                    <w14:schemeClr w14:val="tx1"/>
                  </w14:solidFill>
                </w14:textFill>
              </w:rPr>
              <w:t>, not</w:t>
            </w:r>
            <w:r>
              <w:rPr>
                <w:rFonts w:eastAsia="Calibri"/>
                <w:color w:val="000000" w:themeColor="text1"/>
                <w:sz w:val="26"/>
                <w:szCs w:val="26"/>
                <w14:textFill>
                  <w14:solidFill>
                    <w14:schemeClr w14:val="tx1"/>
                  </w14:solidFill>
                </w14:textFill>
              </w:rPr>
              <w:t xml:space="preserve"> including </w:t>
            </w:r>
            <w:r>
              <w:rPr>
                <w:rFonts w:eastAsia="Calibri"/>
                <w:color w:val="000000" w:themeColor="text1"/>
                <w:sz w:val="26"/>
                <w:szCs w:val="26"/>
                <w:lang w:val="en-US"/>
                <w14:textFill>
                  <w14:solidFill>
                    <w14:schemeClr w14:val="tx1"/>
                  </w14:solidFill>
                </w14:textFill>
              </w:rPr>
              <w:t xml:space="preserve">taxes, </w:t>
            </w:r>
            <w:r>
              <w:rPr>
                <w:rFonts w:eastAsia="Calibri"/>
                <w:color w:val="000000" w:themeColor="text1"/>
                <w:sz w:val="26"/>
                <w:szCs w:val="26"/>
                <w14:textFill>
                  <w14:solidFill>
                    <w14:schemeClr w14:val="tx1"/>
                  </w14:solidFill>
                </w14:textFill>
              </w:rPr>
              <w:t>fees</w:t>
            </w:r>
            <w:r>
              <w:rPr>
                <w:rFonts w:eastAsia="Calibri"/>
                <w:color w:val="000000" w:themeColor="text1"/>
                <w:sz w:val="26"/>
                <w:szCs w:val="26"/>
                <w:lang w:val="en-US"/>
                <w14:textFill>
                  <w14:solidFill>
                    <w14:schemeClr w14:val="tx1"/>
                  </w14:solidFill>
                </w14:textFill>
              </w:rPr>
              <w:t xml:space="preserve"> relating to import</w:t>
            </w:r>
            <w:r>
              <w:rPr>
                <w:color w:val="000000" w:themeColor="text1"/>
                <w:sz w:val="26"/>
                <w:szCs w:val="26"/>
                <w14:textFill>
                  <w14:solidFill>
                    <w14:schemeClr w14:val="tx1"/>
                  </w14:solidFill>
                </w14:textFill>
              </w:rPr>
              <w:t xml:space="preserve">; </w:t>
            </w:r>
          </w:p>
          <w:p w14:paraId="708C63EC">
            <w:pPr>
              <w:pStyle w:val="19"/>
              <w:widowControl w:val="0"/>
              <w:shd w:val="clear" w:color="auto" w:fill="FFFFFF"/>
              <w:tabs>
                <w:tab w:val="left" w:pos="993"/>
              </w:tabs>
              <w:spacing w:before="40" w:after="40"/>
              <w:ind w:left="170" w:firstLine="0"/>
              <w:jc w:val="both"/>
              <w:rPr>
                <w:color w:val="000000" w:themeColor="text1"/>
                <w:sz w:val="26"/>
                <w:szCs w:val="26"/>
                <w:lang w:val="en-US"/>
                <w14:textFill>
                  <w14:solidFill>
                    <w14:schemeClr w14:val="tx1"/>
                  </w14:solidFill>
                </w14:textFill>
              </w:rPr>
            </w:pPr>
            <w:r>
              <w:rPr>
                <w:color w:val="000000" w:themeColor="text1"/>
                <w:sz w:val="26"/>
                <w:szCs w:val="26"/>
                <w14:textFill>
                  <w14:solidFill>
                    <w14:schemeClr w14:val="tx1"/>
                  </w14:solidFill>
                </w14:textFill>
              </w:rPr>
              <w:t>- D: is t</w:t>
            </w:r>
            <w:r>
              <w:rPr>
                <w:rFonts w:eastAsia="Calibri"/>
                <w:color w:val="000000" w:themeColor="text1"/>
                <w:sz w:val="26"/>
                <w:szCs w:val="26"/>
                <w14:textFill>
                  <w14:solidFill>
                    <w14:schemeClr w14:val="tx1"/>
                  </w14:solidFill>
                </w14:textFill>
              </w:rPr>
              <w:t xml:space="preserve">he percentage of domestic production cost of goods. If D </w:t>
            </w:r>
            <w:r>
              <w:rPr>
                <w:rFonts w:eastAsia="Calibri"/>
                <w:color w:val="000000" w:themeColor="text1"/>
                <w:sz w:val="26"/>
                <w:szCs w:val="26"/>
                <w:u w:val="single"/>
                <w14:textFill>
                  <w14:solidFill>
                    <w14:schemeClr w14:val="tx1"/>
                  </w14:solidFill>
                </w14:textFill>
              </w:rPr>
              <w:t>&gt;</w:t>
            </w:r>
            <w:r>
              <w:rPr>
                <w:rFonts w:eastAsia="Calibri"/>
                <w:color w:val="000000" w:themeColor="text1"/>
                <w:sz w:val="26"/>
                <w:szCs w:val="26"/>
                <w14:textFill>
                  <w14:solidFill>
                    <w14:schemeClr w14:val="tx1"/>
                  </w14:solidFill>
                </w14:textFill>
              </w:rPr>
              <w:t xml:space="preserve"> 30%, </w:t>
            </w:r>
            <w:r>
              <w:rPr>
                <w:color w:val="000000" w:themeColor="text1"/>
                <w:sz w:val="26"/>
                <w:szCs w:val="26"/>
                <w14:textFill>
                  <w14:solidFill>
                    <w14:schemeClr w14:val="tx1"/>
                  </w14:solidFill>
                </w14:textFill>
              </w:rPr>
              <w:t xml:space="preserve">then such goods are </w:t>
            </w:r>
            <w:r>
              <w:rPr>
                <w:rFonts w:eastAsia="Calibri"/>
                <w:color w:val="000000" w:themeColor="text1"/>
                <w:sz w:val="26"/>
                <w:szCs w:val="26"/>
                <w14:textFill>
                  <w14:solidFill>
                    <w14:schemeClr w14:val="tx1"/>
                  </w14:solidFill>
                </w14:textFill>
              </w:rPr>
              <w:t xml:space="preserve">eligible preference </w:t>
            </w:r>
            <w:r>
              <w:rPr>
                <w:rFonts w:eastAsia="Calibri"/>
                <w:color w:val="000000" w:themeColor="text1"/>
                <w:sz w:val="26"/>
                <w:szCs w:val="26"/>
                <w:lang w:val="en-US"/>
                <w14:textFill>
                  <w14:solidFill>
                    <w14:schemeClr w14:val="tx1"/>
                  </w14:solidFill>
                </w14:textFill>
              </w:rPr>
              <w:t xml:space="preserve">as specified in </w:t>
            </w:r>
            <w:r>
              <w:rPr>
                <w:rFonts w:eastAsia="Calibri"/>
                <w:color w:val="auto"/>
                <w:sz w:val="26"/>
                <w:szCs w:val="26"/>
                <w:highlight w:val="none"/>
                <w:lang w:val="en-US"/>
              </w:rPr>
              <w:t>Clauses 6, 7, 8, 9, 10 and 11 of the Decree No. 214/2025/NĐ-CP</w:t>
            </w:r>
            <w:r>
              <w:rPr>
                <w:rFonts w:eastAsia="Calibri"/>
                <w:color w:val="auto"/>
                <w:sz w:val="26"/>
                <w:szCs w:val="26"/>
                <w:highlight w:val="none"/>
              </w:rPr>
              <w:t>.</w:t>
            </w:r>
            <w:r>
              <w:rPr>
                <w:rFonts w:eastAsia="Calibri"/>
                <w:color w:val="auto"/>
                <w:sz w:val="26"/>
                <w:szCs w:val="26"/>
                <w:highlight w:val="none"/>
                <w:lang w:val="en-US"/>
              </w:rPr>
              <w:t xml:space="preserve"> </w:t>
            </w:r>
          </w:p>
          <w:p w14:paraId="708C63ED">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32.4. The application for preference shall be performed as specified in the </w:t>
            </w:r>
            <w:r>
              <w:rPr>
                <w:b/>
                <w:color w:val="000000" w:themeColor="text1"/>
                <w:sz w:val="26"/>
                <w:szCs w:val="26"/>
                <w14:textFill>
                  <w14:solidFill>
                    <w14:schemeClr w14:val="tx1"/>
                  </w14:solidFill>
                </w14:textFill>
              </w:rPr>
              <w:t>BDS</w:t>
            </w:r>
            <w:r>
              <w:rPr>
                <w:color w:val="000000" w:themeColor="text1"/>
                <w:sz w:val="26"/>
                <w:szCs w:val="26"/>
                <w14:textFill>
                  <w14:solidFill>
                    <w14:schemeClr w14:val="tx1"/>
                  </w14:solidFill>
                </w14:textFill>
              </w:rPr>
              <w:t xml:space="preserve">. </w:t>
            </w:r>
          </w:p>
          <w:p w14:paraId="708C63EE">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32.5. The bidder must declare information about the Preferential goods according to Forms 7(a), Form 7(a1) and Form 7(a2) Section IV as a basis for consideration and preference evaluation. If the bidder fails to declare, the bidder's goods are not considered eligible for preferences.</w:t>
            </w:r>
          </w:p>
          <w:p w14:paraId="708C63EF">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32.6. In case the offered goods of bidders are not the objects for eligible preference, the Purchaser shall not evaluate and determine preference value. In case the offered goods of bidders are the objects for eligible preference, the Bidder must submit the documents to prove in the Bids.</w:t>
            </w:r>
          </w:p>
        </w:tc>
      </w:tr>
      <w:tr w14:paraId="708C6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268" w:type="dxa"/>
          </w:tcPr>
          <w:p w14:paraId="708C63F1">
            <w:pPr>
              <w:spacing w:before="120" w:after="120"/>
              <w:ind w:left="147" w:right="191"/>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33. Bid Evaluation </w:t>
            </w:r>
          </w:p>
        </w:tc>
        <w:tc>
          <w:tcPr>
            <w:tcW w:w="7230" w:type="dxa"/>
          </w:tcPr>
          <w:p w14:paraId="708C63F2">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33.1.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shall use the criteria listed in this Clause and methodologies as specified in the </w:t>
            </w:r>
            <w:r>
              <w:rPr>
                <w:b/>
                <w:color w:val="000000" w:themeColor="text1"/>
                <w:spacing w:val="0"/>
                <w:sz w:val="26"/>
                <w:szCs w:val="26"/>
                <w14:textFill>
                  <w14:solidFill>
                    <w14:schemeClr w14:val="tx1"/>
                  </w14:solidFill>
                </w14:textFill>
              </w:rPr>
              <w:t xml:space="preserve">BDS </w:t>
            </w:r>
            <w:r>
              <w:rPr>
                <w:color w:val="000000" w:themeColor="text1"/>
                <w:spacing w:val="0"/>
                <w:sz w:val="26"/>
                <w:szCs w:val="26"/>
                <w14:textFill>
                  <w14:solidFill>
                    <w14:schemeClr w14:val="tx1"/>
                  </w14:solidFill>
                </w14:textFill>
              </w:rPr>
              <w:t>to evaluated Bid. No other evaluation criteria or methodologies shall be permitted.</w:t>
            </w:r>
          </w:p>
          <w:p w14:paraId="708C63F3">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33.2. Check and evaluate the eligibility of Bid:</w:t>
            </w:r>
          </w:p>
          <w:p w14:paraId="708C63F4">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a) The checking and evaluation of the eligibility of Bid will be done as specified in Clause 1 Section III - Bid Evaluation Criteria;</w:t>
            </w:r>
          </w:p>
          <w:p w14:paraId="708C63F5">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b) The Bidder with eligibility Bid will be evaluated further qualification and experience.</w:t>
            </w:r>
          </w:p>
          <w:p w14:paraId="708C63F6">
            <w:pPr>
              <w:pStyle w:val="60"/>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33.3. Evaluate qualification and experience:</w:t>
            </w:r>
          </w:p>
          <w:p w14:paraId="708C63F7">
            <w:pPr>
              <w:pStyle w:val="60"/>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 xml:space="preserve">a) </w:t>
            </w:r>
            <w:r>
              <w:rPr>
                <w:rFonts w:ascii="Times New Roman" w:hAnsi="Times New Roman" w:cs="Times New Roman"/>
                <w:color w:val="000000" w:themeColor="text1"/>
                <w:sz w:val="26"/>
                <w:szCs w:val="26"/>
                <w14:textFill>
                  <w14:solidFill>
                    <w14:schemeClr w14:val="tx1"/>
                  </w14:solidFill>
                </w14:textFill>
              </w:rPr>
              <w:t>The evaluation of qualification and experience will be done according to evaluation criteria as specified in Clause 2 Section III - Bid Evaluation Criteria;</w:t>
            </w:r>
          </w:p>
          <w:p w14:paraId="708C63F8">
            <w:pPr>
              <w:pStyle w:val="60"/>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color w:val="auto"/>
                <w:sz w:val="26"/>
                <w:szCs w:val="26"/>
              </w:rPr>
            </w:pPr>
            <w:r>
              <w:rPr>
                <w:rFonts w:ascii="Times New Roman" w:hAnsi="Times New Roman" w:cs="Times New Roman"/>
                <w:color w:val="000000" w:themeColor="text1"/>
                <w:sz w:val="26"/>
                <w:szCs w:val="26"/>
                <w14:textFill>
                  <w14:solidFill>
                    <w14:schemeClr w14:val="tx1"/>
                  </w14:solidFill>
                </w14:textFill>
              </w:rPr>
              <w:t xml:space="preserve">In case the proposed key personnel do not meet requirements or the Bidder cannot demonstrate the ability to mobilize key personnel (including personnel mobilized to another contract that has performing time coincidence with time for contract performance of this package), the Bidder is allowed to clarify and change. With each position of key personnel, the Bidder is allowed to supplement, change once time within a suitable period. In any </w:t>
            </w:r>
            <w:r>
              <w:rPr>
                <w:rFonts w:ascii="Times New Roman" w:hAnsi="Times New Roman" w:cs="Times New Roman"/>
                <w:color w:val="auto"/>
                <w:sz w:val="26"/>
                <w:szCs w:val="26"/>
              </w:rPr>
              <w:t xml:space="preserve">cases, if the Bidder declares key personnel dishonestly, the Bidder is not allowed to replace other key personnel, then such Bid shall be rejected and the Bidder will be considered fraudulent according to the provisions of item 4, Clause 4 of Article 16 of the Procurement Law and be treated according to provision in item 1 Clause 133 of </w:t>
            </w:r>
            <w:r>
              <w:rPr>
                <w:rFonts w:ascii="Times New Roman" w:hAnsi="Times New Roman" w:eastAsia="Calibri" w:cs="Times New Roman"/>
                <w:color w:val="auto"/>
                <w:sz w:val="26"/>
                <w:szCs w:val="26"/>
              </w:rPr>
              <w:t>Degree No. 214/2025/NĐ-CP</w:t>
            </w:r>
            <w:r>
              <w:rPr>
                <w:rFonts w:ascii="Times New Roman" w:hAnsi="Times New Roman" w:cs="Times New Roman"/>
                <w:color w:val="auto"/>
                <w:sz w:val="26"/>
                <w:szCs w:val="26"/>
              </w:rPr>
              <w:t xml:space="preserve">. </w:t>
            </w:r>
          </w:p>
          <w:p w14:paraId="708C63F9">
            <w:pPr>
              <w:pStyle w:val="60"/>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bCs/>
                <w:color w:val="auto"/>
                <w:sz w:val="26"/>
                <w:szCs w:val="26"/>
              </w:rPr>
            </w:pPr>
            <w:r>
              <w:rPr>
                <w:rFonts w:ascii="Times New Roman" w:hAnsi="Times New Roman" w:cs="Times New Roman"/>
                <w:bCs/>
                <w:color w:val="auto"/>
                <w:sz w:val="26"/>
                <w:szCs w:val="26"/>
              </w:rPr>
              <w:t>b) The Bidder with qualification and experience meeting requirements of the BDs will be evaluated further in detail for technical responsiveness.</w:t>
            </w:r>
          </w:p>
          <w:p w14:paraId="708C63FA">
            <w:pPr>
              <w:widowControl w:val="0"/>
              <w:shd w:val="clear" w:color="auto" w:fill="FFFFFF"/>
              <w:spacing w:before="40" w:after="40" w:line="240" w:lineRule="auto"/>
              <w:ind w:left="170"/>
              <w:jc w:val="both"/>
              <w:outlineLvl w:val="3"/>
              <w:rPr>
                <w:bCs/>
                <w:color w:val="000000" w:themeColor="text1"/>
                <w:sz w:val="26"/>
                <w:szCs w:val="26"/>
                <w14:textFill>
                  <w14:solidFill>
                    <w14:schemeClr w14:val="tx1"/>
                  </w14:solidFill>
                </w14:textFill>
              </w:rPr>
            </w:pPr>
            <w:r>
              <w:rPr>
                <w:bCs/>
                <w:color w:val="auto"/>
                <w:sz w:val="26"/>
                <w:szCs w:val="26"/>
              </w:rPr>
              <w:t xml:space="preserve">33.4. Evaluate </w:t>
            </w:r>
            <w:r>
              <w:rPr>
                <w:color w:val="auto"/>
                <w:sz w:val="26"/>
                <w:szCs w:val="26"/>
              </w:rPr>
              <w:t>technical and pri</w:t>
            </w:r>
            <w:r>
              <w:rPr>
                <w:color w:val="000000" w:themeColor="text1"/>
                <w:sz w:val="26"/>
                <w:szCs w:val="26"/>
                <w14:textFill>
                  <w14:solidFill>
                    <w14:schemeClr w14:val="tx1"/>
                  </w14:solidFill>
                </w14:textFill>
              </w:rPr>
              <w:t>ce responsiveness:</w:t>
            </w:r>
          </w:p>
          <w:p w14:paraId="708C63FB">
            <w:pPr>
              <w:widowControl w:val="0"/>
              <w:shd w:val="clear" w:color="auto" w:fill="FFFFFF"/>
              <w:spacing w:before="40" w:after="40" w:line="240" w:lineRule="auto"/>
              <w:ind w:left="170"/>
              <w:jc w:val="both"/>
              <w:outlineLvl w:val="3"/>
              <w:rPr>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 xml:space="preserve">a) </w:t>
            </w:r>
            <w:r>
              <w:rPr>
                <w:color w:val="000000" w:themeColor="text1"/>
                <w:sz w:val="26"/>
                <w:szCs w:val="26"/>
                <w14:textFill>
                  <w14:solidFill>
                    <w14:schemeClr w14:val="tx1"/>
                  </w14:solidFill>
                </w14:textFill>
              </w:rPr>
              <w:t xml:space="preserve">The evaluation of technical responsiveness will be done according to criteria and methodologies as specified in Clause 3 Section III - Bid Evaluation Criteria; </w:t>
            </w:r>
          </w:p>
          <w:p w14:paraId="708C63FC">
            <w:pPr>
              <w:widowControl w:val="0"/>
              <w:shd w:val="clear" w:color="auto" w:fill="FFFFFF"/>
              <w:spacing w:before="40" w:after="40" w:line="240" w:lineRule="auto"/>
              <w:ind w:left="170"/>
              <w:jc w:val="both"/>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 The Bidder that meets technical requirements of the BDs will be evaluated further Price Proposal as specified in Clause 4 Section III - Bid Evaluation Criteria;</w:t>
            </w:r>
          </w:p>
          <w:p w14:paraId="708C63FD">
            <w:pPr>
              <w:widowControl w:val="0"/>
              <w:shd w:val="clear" w:color="auto" w:fill="FFFFFF"/>
              <w:spacing w:before="40" w:after="40" w:line="240" w:lineRule="auto"/>
              <w:ind w:left="170"/>
              <w:jc w:val="both"/>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33.5. Bid Comparison:</w:t>
            </w:r>
          </w:p>
          <w:p w14:paraId="708C63FE">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To determine the first ranked Bid,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will compare the lowest prices as </w:t>
            </w:r>
            <w:r>
              <w:rPr>
                <w:color w:val="000000" w:themeColor="text1"/>
                <w:sz w:val="26"/>
                <w:szCs w:val="26"/>
                <w14:textFill>
                  <w14:solidFill>
                    <w14:schemeClr w14:val="tx1"/>
                  </w14:solidFill>
                </w14:textFill>
              </w:rPr>
              <w:t>specified</w:t>
            </w:r>
            <w:r>
              <w:rPr>
                <w:color w:val="000000" w:themeColor="text1"/>
                <w:spacing w:val="0"/>
                <w:sz w:val="26"/>
                <w:szCs w:val="26"/>
                <w14:textFill>
                  <w14:solidFill>
                    <w14:schemeClr w14:val="tx1"/>
                  </w14:solidFill>
                </w14:textFill>
              </w:rPr>
              <w:t xml:space="preserve"> in Clause 4, Section III - Bid Evaluation Criteria of all Bids that meet the basics requirements of BDs. The comparison is based on:</w:t>
            </w:r>
          </w:p>
          <w:p w14:paraId="708C63FF">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 CIP price for the goods to be imported plus the cost of transportation, insurance to the project site and related services charges; </w:t>
            </w:r>
          </w:p>
          <w:p w14:paraId="708C6400">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Price of goods (excluding taxes, fees and duties related to import, excise tax (if any), VAT for goods) plus inland transportation costs, insurance to the project site and related services costs for goods from aboard, already located within Vietnam;</w:t>
            </w:r>
          </w:p>
          <w:p w14:paraId="708C6401">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EXW price plus inland transportation costs, insurance to the project site for goods manufactured and processed in Vietnam and related services costs.</w:t>
            </w:r>
          </w:p>
          <w:p w14:paraId="708C6402">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When comparing Bids, the Purchaser does not consider:</w:t>
            </w:r>
          </w:p>
          <w:p w14:paraId="708C6403">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Taxes, fees and duties related to import, excise tax (if any), VAT on goods to be imported under CIP delivery condition;</w:t>
            </w:r>
          </w:p>
          <w:p w14:paraId="708C6404">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Excise tax (if any), VAT on goods manufactured or processed in Vietnam;</w:t>
            </w:r>
          </w:p>
          <w:p w14:paraId="708C6405">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Taxes, fees and duties related to import, excise tax (if any), VAT for goods from aboard, already imported.</w:t>
            </w:r>
          </w:p>
          <w:p w14:paraId="708C6406">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In case only one bidder meets the technical requirements, there is no need to determine the bidder ranking list. </w:t>
            </w:r>
          </w:p>
          <w:p w14:paraId="708C6407">
            <w:pPr>
              <w:widowControl w:val="0"/>
              <w:shd w:val="clear" w:color="auto" w:fill="FFFFFF"/>
              <w:spacing w:before="40" w:after="40" w:line="240" w:lineRule="auto"/>
              <w:ind w:left="170"/>
              <w:jc w:val="both"/>
              <w:outlineLvl w:val="3"/>
              <w:rPr>
                <w:sz w:val="26"/>
                <w:szCs w:val="26"/>
              </w:rPr>
            </w:pPr>
            <w:r>
              <w:rPr>
                <w:color w:val="000000" w:themeColor="text1"/>
                <w:sz w:val="26"/>
                <w:szCs w:val="26"/>
                <w14:textFill>
                  <w14:solidFill>
                    <w14:schemeClr w14:val="tx1"/>
                  </w14:solidFill>
                </w14:textFill>
              </w:rPr>
              <w:t xml:space="preserve">33.6. The </w:t>
            </w:r>
            <w:r>
              <w:rPr>
                <w:sz w:val="26"/>
                <w:szCs w:val="26"/>
              </w:rPr>
              <w:t xml:space="preserve">contract negotiation (if any) </w:t>
            </w:r>
          </w:p>
          <w:p w14:paraId="708C6408">
            <w:pPr>
              <w:widowControl w:val="0"/>
              <w:shd w:val="clear" w:color="auto" w:fill="FFFFFF"/>
              <w:spacing w:before="40" w:after="40" w:line="240" w:lineRule="auto"/>
              <w:ind w:left="170"/>
              <w:jc w:val="both"/>
              <w:outlineLvl w:val="3"/>
              <w:rPr>
                <w:color w:val="auto"/>
                <w:sz w:val="26"/>
                <w:szCs w:val="26"/>
              </w:rPr>
            </w:pPr>
            <w:r>
              <w:rPr>
                <w:sz w:val="26"/>
                <w:szCs w:val="26"/>
              </w:rPr>
              <w:t xml:space="preserve">33.7. </w:t>
            </w:r>
            <w:r>
              <w:rPr>
                <w:color w:val="000000" w:themeColor="text1"/>
                <w:sz w:val="26"/>
                <w:szCs w:val="26"/>
                <w14:textFill>
                  <w14:solidFill>
                    <w14:schemeClr w14:val="tx1"/>
                  </w14:solidFill>
                </w14:textFill>
              </w:rPr>
              <w:t>Based on the report on the result of bid evaluation and contract negotiation (if</w:t>
            </w:r>
            <w:r>
              <w:rPr>
                <w:color w:val="auto"/>
                <w:sz w:val="26"/>
                <w:szCs w:val="26"/>
              </w:rPr>
              <w:t xml:space="preserve"> any), the Purchaser’s representative shall prepare the Report for approval of the bidders selection result and submit to the Purchaser for approval according to the provisions of </w:t>
            </w:r>
            <w:r>
              <w:rPr>
                <w:color w:val="auto"/>
                <w:sz w:val="26"/>
                <w:szCs w:val="26"/>
                <w:highlight w:val="none"/>
              </w:rPr>
              <w:t xml:space="preserve">Article 33 of Degree No. 214/2025/NĐ-CP.  </w:t>
            </w:r>
          </w:p>
          <w:p w14:paraId="708C6409">
            <w:pPr>
              <w:widowControl w:val="0"/>
              <w:shd w:val="clear" w:color="auto" w:fill="FFFFFF"/>
              <w:spacing w:before="40" w:after="40" w:line="240" w:lineRule="auto"/>
              <w:ind w:left="170"/>
              <w:jc w:val="both"/>
              <w:outlineLvl w:val="3"/>
              <w:rPr>
                <w:color w:val="000000" w:themeColor="text1"/>
                <w:sz w:val="26"/>
                <w:szCs w:val="26"/>
                <w14:textFill>
                  <w14:solidFill>
                    <w14:schemeClr w14:val="tx1"/>
                  </w14:solidFill>
                </w14:textFill>
              </w:rPr>
            </w:pPr>
            <w:r>
              <w:rPr>
                <w:color w:val="auto"/>
                <w:sz w:val="26"/>
                <w:szCs w:val="26"/>
              </w:rPr>
              <w:t>33.8. If the package is divided into independent lots and allows Bidders to quote separate prices for different lots pursuant to ITB 13.4, then the evaluation o</w:t>
            </w:r>
            <w:r>
              <w:rPr>
                <w:color w:val="000000" w:themeColor="text1"/>
                <w:sz w:val="26"/>
                <w:szCs w:val="26"/>
                <w14:textFill>
                  <w14:solidFill>
                    <w14:schemeClr w14:val="tx1"/>
                  </w14:solidFill>
                </w14:textFill>
              </w:rPr>
              <w:t xml:space="preserve">f Bids will be done as specified in Clause 7 Section III - Bid Evaluation Criteria corresponding to participating scope of the Bidder. </w:t>
            </w:r>
          </w:p>
        </w:tc>
      </w:tr>
      <w:tr w14:paraId="708C6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40B">
            <w:pPr>
              <w:widowControl w:val="0"/>
              <w:shd w:val="clear" w:color="auto" w:fill="FFFFFF"/>
              <w:spacing w:before="40" w:after="40" w:line="240" w:lineRule="auto"/>
              <w:rPr>
                <w:b/>
                <w:sz w:val="26"/>
                <w:szCs w:val="26"/>
              </w:rPr>
            </w:pPr>
            <w:r>
              <w:rPr>
                <w:b/>
                <w:sz w:val="26"/>
                <w:szCs w:val="26"/>
              </w:rPr>
              <w:t xml:space="preserve">34. Contract negotiation </w:t>
            </w:r>
          </w:p>
        </w:tc>
        <w:tc>
          <w:tcPr>
            <w:tcW w:w="7230" w:type="dxa"/>
          </w:tcPr>
          <w:p w14:paraId="708C640C">
            <w:pPr>
              <w:pStyle w:val="86"/>
              <w:widowControl w:val="0"/>
              <w:shd w:val="clear" w:color="auto" w:fill="FFFFFF"/>
              <w:spacing w:before="40" w:after="40"/>
              <w:ind w:left="170"/>
              <w:outlineLvl w:val="3"/>
              <w:rPr>
                <w:spacing w:val="0"/>
                <w:sz w:val="26"/>
                <w:szCs w:val="26"/>
              </w:rPr>
            </w:pPr>
            <w:r>
              <w:rPr>
                <w:spacing w:val="0"/>
                <w:sz w:val="26"/>
                <w:szCs w:val="26"/>
              </w:rPr>
              <w:t>34.1. The contract negotiation must be based on the following:</w:t>
            </w:r>
          </w:p>
          <w:p w14:paraId="708C640D">
            <w:pPr>
              <w:pStyle w:val="86"/>
              <w:widowControl w:val="0"/>
              <w:shd w:val="clear" w:color="auto" w:fill="FFFFFF"/>
              <w:spacing w:before="40" w:after="40"/>
              <w:ind w:left="170"/>
              <w:outlineLvl w:val="3"/>
              <w:rPr>
                <w:spacing w:val="0"/>
                <w:sz w:val="26"/>
                <w:szCs w:val="26"/>
              </w:rPr>
            </w:pPr>
            <w:r>
              <w:rPr>
                <w:spacing w:val="0"/>
                <w:sz w:val="26"/>
                <w:szCs w:val="26"/>
              </w:rPr>
              <w:t>a) Bidding evaluation report;</w:t>
            </w:r>
          </w:p>
          <w:p w14:paraId="708C640E">
            <w:pPr>
              <w:pStyle w:val="86"/>
              <w:widowControl w:val="0"/>
              <w:shd w:val="clear" w:color="auto" w:fill="FFFFFF"/>
              <w:spacing w:before="40" w:after="40"/>
              <w:ind w:left="170"/>
              <w:outlineLvl w:val="3"/>
              <w:rPr>
                <w:spacing w:val="0"/>
                <w:sz w:val="26"/>
                <w:szCs w:val="26"/>
              </w:rPr>
            </w:pPr>
            <w:r>
              <w:rPr>
                <w:spacing w:val="0"/>
                <w:sz w:val="26"/>
                <w:szCs w:val="26"/>
              </w:rPr>
              <w:t>b) Bids and clarification documents of bids (if any);</w:t>
            </w:r>
          </w:p>
          <w:p w14:paraId="708C640F">
            <w:pPr>
              <w:pStyle w:val="86"/>
              <w:widowControl w:val="0"/>
              <w:shd w:val="clear" w:color="auto" w:fill="FFFFFF"/>
              <w:spacing w:before="40" w:after="40"/>
              <w:ind w:left="170"/>
              <w:outlineLvl w:val="3"/>
              <w:rPr>
                <w:spacing w:val="0"/>
                <w:sz w:val="26"/>
                <w:szCs w:val="26"/>
              </w:rPr>
            </w:pPr>
            <w:r>
              <w:rPr>
                <w:spacing w:val="0"/>
                <w:sz w:val="26"/>
                <w:szCs w:val="26"/>
              </w:rPr>
              <w:t>c) BDs and clarification, amendment documents of bids (if any);</w:t>
            </w:r>
          </w:p>
          <w:p w14:paraId="708C6410">
            <w:pPr>
              <w:pStyle w:val="86"/>
              <w:widowControl w:val="0"/>
              <w:shd w:val="clear" w:color="auto" w:fill="FFFFFF"/>
              <w:spacing w:before="40" w:after="40"/>
              <w:ind w:left="170"/>
              <w:outlineLvl w:val="3"/>
              <w:rPr>
                <w:spacing w:val="0"/>
                <w:sz w:val="26"/>
                <w:szCs w:val="26"/>
              </w:rPr>
            </w:pPr>
            <w:r>
              <w:rPr>
                <w:spacing w:val="0"/>
                <w:sz w:val="26"/>
                <w:szCs w:val="26"/>
              </w:rPr>
              <w:t xml:space="preserve">34.2. Principles of contract negotiation: </w:t>
            </w:r>
          </w:p>
          <w:p w14:paraId="708C6411">
            <w:pPr>
              <w:pStyle w:val="86"/>
              <w:widowControl w:val="0"/>
              <w:shd w:val="clear" w:color="auto" w:fill="FFFFFF"/>
              <w:spacing w:before="40" w:after="40"/>
              <w:ind w:left="170"/>
              <w:outlineLvl w:val="3"/>
              <w:rPr>
                <w:spacing w:val="0"/>
                <w:sz w:val="26"/>
                <w:szCs w:val="26"/>
              </w:rPr>
            </w:pPr>
            <w:r>
              <w:rPr>
                <w:spacing w:val="0"/>
                <w:sz w:val="26"/>
                <w:szCs w:val="26"/>
              </w:rPr>
              <w:t xml:space="preserve">a) Do not negotiate for contents satisfied with requirements of the BDs; </w:t>
            </w:r>
          </w:p>
          <w:p w14:paraId="708C6412">
            <w:pPr>
              <w:pStyle w:val="86"/>
              <w:widowControl w:val="0"/>
              <w:shd w:val="clear" w:color="auto" w:fill="FFFFFF"/>
              <w:spacing w:before="40" w:after="40"/>
              <w:ind w:left="170"/>
              <w:outlineLvl w:val="3"/>
              <w:rPr>
                <w:spacing w:val="0"/>
                <w:sz w:val="26"/>
                <w:szCs w:val="26"/>
              </w:rPr>
            </w:pPr>
            <w:r>
              <w:rPr>
                <w:spacing w:val="0"/>
                <w:sz w:val="26"/>
                <w:szCs w:val="26"/>
              </w:rPr>
              <w:t xml:space="preserve">b) Do not change the bid unit price of the bidder after correction of errors, adjustment for deviations and subtract the discount value (if any); </w:t>
            </w:r>
          </w:p>
          <w:p w14:paraId="708C6413">
            <w:pPr>
              <w:pStyle w:val="86"/>
              <w:widowControl w:val="0"/>
              <w:shd w:val="clear" w:color="auto" w:fill="FFFFFF"/>
              <w:spacing w:before="40" w:after="40"/>
              <w:ind w:left="170"/>
              <w:outlineLvl w:val="3"/>
              <w:rPr>
                <w:spacing w:val="0"/>
                <w:sz w:val="26"/>
                <w:szCs w:val="26"/>
              </w:rPr>
            </w:pPr>
            <w:r>
              <w:rPr>
                <w:spacing w:val="0"/>
                <w:sz w:val="26"/>
                <w:szCs w:val="26"/>
              </w:rPr>
              <w:t>c)</w:t>
            </w:r>
            <w:r>
              <w:rPr>
                <w:spacing w:val="0"/>
              </w:rPr>
              <w:t xml:space="preserve"> </w:t>
            </w:r>
            <w:r>
              <w:rPr>
                <w:spacing w:val="0"/>
                <w:sz w:val="26"/>
                <w:szCs w:val="26"/>
              </w:rPr>
              <w:t>The negotiation for the lacking deviation shall comply with the provisions of ITB 34.3.</w:t>
            </w:r>
          </w:p>
          <w:p w14:paraId="708C6414">
            <w:pPr>
              <w:pStyle w:val="86"/>
              <w:widowControl w:val="0"/>
              <w:shd w:val="clear" w:color="auto" w:fill="FFFFFF"/>
              <w:spacing w:before="40" w:after="40"/>
              <w:ind w:left="170"/>
              <w:outlineLvl w:val="3"/>
              <w:rPr>
                <w:spacing w:val="0"/>
                <w:sz w:val="26"/>
                <w:szCs w:val="26"/>
              </w:rPr>
            </w:pPr>
            <w:r>
              <w:rPr>
                <w:spacing w:val="0"/>
                <w:sz w:val="26"/>
                <w:szCs w:val="26"/>
              </w:rPr>
              <w:t>34.3. Contents of contract negotiation:</w:t>
            </w:r>
          </w:p>
          <w:p w14:paraId="708C6415">
            <w:pPr>
              <w:pStyle w:val="86"/>
              <w:widowControl w:val="0"/>
              <w:shd w:val="clear" w:color="auto" w:fill="FFFFFF"/>
              <w:spacing w:before="40" w:after="40"/>
              <w:ind w:left="170"/>
              <w:outlineLvl w:val="3"/>
              <w:rPr>
                <w:spacing w:val="0"/>
                <w:sz w:val="26"/>
                <w:szCs w:val="26"/>
              </w:rPr>
            </w:pPr>
            <w:r>
              <w:rPr>
                <w:spacing w:val="0"/>
                <w:sz w:val="26"/>
                <w:szCs w:val="26"/>
              </w:rPr>
              <w:t>a) Negotiation of contents which are including the unsatisfied problems, uncompleted problems; contents which do not unify between the BDs and Bid; contents in Bid that may lead to the dispute or affect the liability of parties in contract performance;</w:t>
            </w:r>
          </w:p>
          <w:p w14:paraId="708C6416">
            <w:pPr>
              <w:pStyle w:val="86"/>
              <w:widowControl w:val="0"/>
              <w:shd w:val="clear" w:color="auto" w:fill="FFFFFF"/>
              <w:spacing w:before="40" w:after="40"/>
              <w:ind w:left="170"/>
              <w:outlineLvl w:val="3"/>
              <w:rPr>
                <w:spacing w:val="0"/>
                <w:sz w:val="26"/>
                <w:szCs w:val="26"/>
              </w:rPr>
            </w:pPr>
            <w:r>
              <w:rPr>
                <w:spacing w:val="0"/>
                <w:sz w:val="26"/>
                <w:szCs w:val="26"/>
              </w:rPr>
              <w:t>b) Negotiation of discrepancies which are discovered and proposed in the Bid by the Bidder (if any), including the proposed changes or alternative technical solutions of the bidder, if the BDs allows the bidder to offer alternatives;</w:t>
            </w:r>
          </w:p>
          <w:p w14:paraId="708C6417">
            <w:pPr>
              <w:widowControl w:val="0"/>
              <w:tabs>
                <w:tab w:val="left" w:pos="851"/>
              </w:tabs>
              <w:spacing w:before="40" w:after="40" w:line="240" w:lineRule="auto"/>
              <w:ind w:left="183"/>
              <w:jc w:val="both"/>
              <w:rPr>
                <w:sz w:val="26"/>
                <w:szCs w:val="26"/>
              </w:rPr>
            </w:pPr>
            <w:r>
              <w:rPr>
                <w:sz w:val="26"/>
                <w:szCs w:val="26"/>
              </w:rPr>
              <w:t>c) Key personnel</w:t>
            </w:r>
          </w:p>
          <w:p w14:paraId="708C6418">
            <w:pPr>
              <w:widowControl w:val="0"/>
              <w:tabs>
                <w:tab w:val="left" w:pos="851"/>
              </w:tabs>
              <w:spacing w:before="40" w:after="40" w:line="240" w:lineRule="auto"/>
              <w:ind w:left="183"/>
              <w:jc w:val="both"/>
              <w:rPr>
                <w:sz w:val="26"/>
                <w:szCs w:val="26"/>
              </w:rPr>
            </w:pPr>
            <w:r>
              <w:rPr>
                <w:sz w:val="26"/>
                <w:szCs w:val="26"/>
              </w:rPr>
              <w:t>The bidder must not ch</w:t>
            </w:r>
            <w:r>
              <w:rPr>
                <w:color w:val="auto"/>
                <w:sz w:val="26"/>
                <w:szCs w:val="26"/>
              </w:rPr>
              <w:t xml:space="preserve">ange the key personnel (the personnel proposed in the Bid or the personnel who have been replaced once as prescribed in Clause 2, </w:t>
            </w:r>
            <w:r>
              <w:rPr>
                <w:color w:val="auto"/>
                <w:sz w:val="26"/>
                <w:szCs w:val="26"/>
                <w:highlight w:val="none"/>
              </w:rPr>
              <w:t>Article 29 of this Decree 214/2025/NĐ-CP)</w:t>
            </w:r>
            <w:r>
              <w:rPr>
                <w:color w:val="auto"/>
                <w:sz w:val="26"/>
                <w:szCs w:val="26"/>
              </w:rPr>
              <w:t>, except for the case that due to the time of Bid evaluation takes longer than prescribed or Force majeure, key personnel positions proposed by the bidder cannot participate in the contract performance. In such cases, the bidder can change their personnel provided that</w:t>
            </w:r>
            <w:r>
              <w:rPr>
                <w:sz w:val="26"/>
                <w:szCs w:val="26"/>
              </w:rPr>
              <w:t xml:space="preserve"> the substituted personnel are of similar or higher qualifications, experience and skill and the bidder does not change the bid price. </w:t>
            </w:r>
          </w:p>
          <w:p w14:paraId="708C6419">
            <w:pPr>
              <w:pStyle w:val="86"/>
              <w:widowControl w:val="0"/>
              <w:shd w:val="clear" w:color="auto" w:fill="FFFFFF"/>
              <w:spacing w:before="40" w:after="40"/>
              <w:ind w:left="170"/>
              <w:outlineLvl w:val="3"/>
              <w:rPr>
                <w:spacing w:val="0"/>
                <w:sz w:val="26"/>
                <w:szCs w:val="26"/>
              </w:rPr>
            </w:pPr>
            <w:r>
              <w:rPr>
                <w:spacing w:val="0"/>
                <w:sz w:val="26"/>
                <w:szCs w:val="26"/>
              </w:rPr>
              <w:t>d) Negotiation of problems arising in the selection of bidders (if any) to complete the detailed contents of the package;</w:t>
            </w:r>
          </w:p>
          <w:p w14:paraId="708C641A">
            <w:pPr>
              <w:pStyle w:val="86"/>
              <w:widowControl w:val="0"/>
              <w:shd w:val="clear" w:color="auto" w:fill="FFFFFF"/>
              <w:spacing w:before="40" w:after="40"/>
              <w:ind w:left="170"/>
              <w:outlineLvl w:val="3"/>
              <w:rPr>
                <w:spacing w:val="0"/>
                <w:sz w:val="26"/>
                <w:szCs w:val="26"/>
              </w:rPr>
            </w:pPr>
            <w:r>
              <w:rPr>
                <w:spacing w:val="0"/>
                <w:sz w:val="26"/>
                <w:szCs w:val="26"/>
              </w:rPr>
              <w:t xml:space="preserve">e) Negotiation of the other necessary contents. </w:t>
            </w:r>
          </w:p>
          <w:p w14:paraId="708C641B">
            <w:pPr>
              <w:pStyle w:val="86"/>
              <w:widowControl w:val="0"/>
              <w:shd w:val="clear" w:color="auto" w:fill="FFFFFF"/>
              <w:spacing w:before="40" w:after="40"/>
              <w:ind w:left="170"/>
              <w:outlineLvl w:val="3"/>
              <w:rPr>
                <w:color w:val="auto"/>
                <w:spacing w:val="0"/>
                <w:sz w:val="26"/>
                <w:szCs w:val="26"/>
              </w:rPr>
            </w:pPr>
            <w:r>
              <w:rPr>
                <w:spacing w:val="0"/>
                <w:sz w:val="26"/>
                <w:szCs w:val="26"/>
              </w:rPr>
              <w:t>34.4. During contract negotiation, the parties shall complete the draft contract agreement; special conditions of contract; contract annexes including</w:t>
            </w:r>
            <w:r>
              <w:rPr>
                <w:color w:val="auto"/>
                <w:spacing w:val="0"/>
                <w:sz w:val="26"/>
                <w:szCs w:val="26"/>
              </w:rPr>
              <w:t xml:space="preserve"> scope of supply, price schedules, and delivery schedules (if any).  </w:t>
            </w:r>
          </w:p>
          <w:p w14:paraId="708C641C">
            <w:pPr>
              <w:widowControl w:val="0"/>
              <w:shd w:val="clear" w:color="auto" w:fill="FFFFFF"/>
              <w:spacing w:before="40" w:after="40" w:line="240" w:lineRule="auto"/>
              <w:ind w:left="170"/>
              <w:jc w:val="both"/>
              <w:outlineLvl w:val="3"/>
              <w:rPr>
                <w:color w:val="auto"/>
                <w:sz w:val="26"/>
                <w:szCs w:val="26"/>
              </w:rPr>
            </w:pPr>
            <w:r>
              <w:rPr>
                <w:color w:val="auto"/>
                <w:sz w:val="26"/>
                <w:szCs w:val="26"/>
              </w:rPr>
              <w:t>34.5. Based on the report on the result of bid evaluation and contract negotiation (if any), the Purchaser’s representative shall prepare the Report for approval of the bidders selection result and submit to the Purchaser for approval according to the provisions of</w:t>
            </w:r>
            <w:r>
              <w:rPr>
                <w:color w:val="auto"/>
                <w:sz w:val="26"/>
                <w:szCs w:val="26"/>
                <w:highlight w:val="none"/>
              </w:rPr>
              <w:t xml:space="preserve"> Article 32 of Degree No. 214/2025/NĐ-CP</w:t>
            </w:r>
            <w:r>
              <w:rPr>
                <w:color w:val="auto"/>
                <w:sz w:val="26"/>
                <w:szCs w:val="26"/>
              </w:rPr>
              <w:t xml:space="preserve">.  </w:t>
            </w:r>
          </w:p>
          <w:p w14:paraId="708C641D">
            <w:pPr>
              <w:widowControl w:val="0"/>
              <w:shd w:val="clear" w:color="auto" w:fill="FFFFFF"/>
              <w:spacing w:before="40" w:after="40" w:line="240" w:lineRule="auto"/>
              <w:ind w:left="170"/>
              <w:jc w:val="both"/>
              <w:rPr>
                <w:rFonts w:eastAsia="Times New Roman"/>
                <w:sz w:val="26"/>
                <w:szCs w:val="26"/>
              </w:rPr>
            </w:pPr>
            <w:r>
              <w:rPr>
                <w:color w:val="auto"/>
                <w:sz w:val="26"/>
                <w:szCs w:val="26"/>
              </w:rPr>
              <w:t>34.6. In case the Bidder participates in negotiations but does not conduct negotiations in acco</w:t>
            </w:r>
            <w:r>
              <w:rPr>
                <w:sz w:val="26"/>
                <w:szCs w:val="26"/>
              </w:rPr>
              <w:t xml:space="preserve">rdance with the principles and contents specified in ITB 34.2 and ITB 34.3 or </w:t>
            </w:r>
            <w:r>
              <w:rPr>
                <w:rFonts w:eastAsia="Times New Roman"/>
                <w:sz w:val="26"/>
                <w:szCs w:val="26"/>
              </w:rPr>
              <w:t xml:space="preserve"> has negotiated but does not sign the contract negotiation minutes with the aim of withdrawing from the bid selection or causing disadvantage to the Purchaser, the bidder then will be disqualified and will not be refunded the bid security value.</w:t>
            </w:r>
          </w:p>
          <w:p w14:paraId="708C641E">
            <w:pPr>
              <w:widowControl w:val="0"/>
              <w:shd w:val="clear" w:color="auto" w:fill="FFFFFF"/>
              <w:spacing w:before="40" w:after="40" w:line="240" w:lineRule="auto"/>
              <w:ind w:left="170"/>
              <w:jc w:val="both"/>
              <w:rPr>
                <w:rFonts w:eastAsia="Times New Roman"/>
                <w:sz w:val="26"/>
                <w:szCs w:val="26"/>
              </w:rPr>
            </w:pPr>
            <w:r>
              <w:rPr>
                <w:sz w:val="26"/>
                <w:szCs w:val="26"/>
              </w:rPr>
              <w:t>34.7. The Bidder has the right to refuse to negotiate and be refunded the bid security value in case the Purchaser does not conduct negotiations according to the principles and contents specified in ITB 34.2 and ITB 34.3.</w:t>
            </w:r>
          </w:p>
          <w:p w14:paraId="708C641F">
            <w:pPr>
              <w:widowControl w:val="0"/>
              <w:shd w:val="clear" w:color="auto" w:fill="FFFFFF"/>
              <w:spacing w:before="40" w:after="40" w:line="240" w:lineRule="auto"/>
              <w:ind w:left="170"/>
              <w:jc w:val="both"/>
              <w:rPr>
                <w:sz w:val="26"/>
                <w:szCs w:val="26"/>
              </w:rPr>
            </w:pPr>
            <w:r>
              <w:rPr>
                <w:sz w:val="26"/>
                <w:szCs w:val="26"/>
              </w:rPr>
              <w:t>34.8. In case of unsuccessful negotiation, the Purchaser’s representative shall report to the Purchaser to consider inviting the next ranked bidder for negotiation.</w:t>
            </w:r>
          </w:p>
        </w:tc>
      </w:tr>
      <w:tr w14:paraId="708C6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268" w:type="dxa"/>
          </w:tcPr>
          <w:p w14:paraId="708C6421">
            <w:pPr>
              <w:spacing w:before="120" w:after="120"/>
              <w:ind w:left="147" w:right="191"/>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35. Award Criteria </w:t>
            </w:r>
          </w:p>
        </w:tc>
        <w:tc>
          <w:tcPr>
            <w:tcW w:w="7230" w:type="dxa"/>
          </w:tcPr>
          <w:p w14:paraId="708C6422">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A Bidder shall be considered for award of contract when satisfying the following conditions:</w:t>
            </w:r>
          </w:p>
          <w:p w14:paraId="708C6423">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35.1. Having an eligible Bid as prescribed in Clause 1, Section III - Criteria for Evaluation of Bid. At the time of approving the winning bid results, If the bidder's participation in VNEPS is suspended or terminated, the purchaser needs to request the bidder to restore its participation status to be considered for winning the bid;</w:t>
            </w:r>
          </w:p>
          <w:p w14:paraId="708C6424">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35.2. Being evaluated as responsive to requirements on experience and qualification as specified in Clause 2 of Section III - Bid Evaluation Criteria;</w:t>
            </w:r>
          </w:p>
          <w:p w14:paraId="708C6425">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35.3. Having the </w:t>
            </w:r>
            <w:r>
              <w:rPr>
                <w:color w:val="000000" w:themeColor="text1"/>
                <w:sz w:val="26"/>
                <w:szCs w:val="26"/>
                <w14:textFill>
                  <w14:solidFill>
                    <w14:schemeClr w14:val="tx1"/>
                  </w14:solidFill>
                </w14:textFill>
              </w:rPr>
              <w:t>technical</w:t>
            </w:r>
            <w:r>
              <w:rPr>
                <w:color w:val="000000" w:themeColor="text1"/>
                <w:spacing w:val="0"/>
                <w:sz w:val="26"/>
                <w:szCs w:val="26"/>
                <w14:textFill>
                  <w14:solidFill>
                    <w14:schemeClr w14:val="tx1"/>
                  </w14:solidFill>
                </w14:textFill>
              </w:rPr>
              <w:t xml:space="preserve"> proposals being evaluated as responsive to requirements stated in Clause 3 of Section III - Bid Evaluation Criteria;</w:t>
            </w:r>
          </w:p>
          <w:p w14:paraId="708C6426">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35.4. The amount of insufficient deviation does not excess 10% of Bid price;</w:t>
            </w:r>
          </w:p>
          <w:p w14:paraId="708C6427">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35.5. Meeting requirements as specified in the </w:t>
            </w:r>
            <w:r>
              <w:rPr>
                <w:b/>
                <w:color w:val="000000" w:themeColor="text1"/>
                <w:spacing w:val="0"/>
                <w:sz w:val="26"/>
                <w:szCs w:val="26"/>
                <w14:textFill>
                  <w14:solidFill>
                    <w14:schemeClr w14:val="tx1"/>
                  </w14:solidFill>
                </w14:textFill>
              </w:rPr>
              <w:t>BDS</w:t>
            </w:r>
            <w:r>
              <w:rPr>
                <w:color w:val="000000" w:themeColor="text1"/>
                <w:spacing w:val="0"/>
                <w:sz w:val="26"/>
                <w:szCs w:val="26"/>
                <w14:textFill>
                  <w14:solidFill>
                    <w14:schemeClr w14:val="tx1"/>
                  </w14:solidFill>
                </w14:textFill>
              </w:rPr>
              <w:t xml:space="preserve">; </w:t>
            </w:r>
          </w:p>
          <w:p w14:paraId="708C6428">
            <w:pPr>
              <w:spacing w:before="120" w:after="120"/>
              <w:ind w:left="132" w:right="134"/>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35.6. Having the proposed award price (including taxes, fees, duties, if any) not exceeding the approved procurement package price. In case the approved cost estimate of the procurement package is lower or higher than the approved procurement package price then this cost estimate shall substitute the procurement package price as a basic for contract award. For bidding packages divided into several parts (lots), the evaluation of bids and consideration for winning bids will be carried out on the basis of ensuring that the proposed winning bid price of the whole package does not exceed the approved package price without comparing the estimated cost of each lot.</w:t>
            </w:r>
          </w:p>
        </w:tc>
      </w:tr>
      <w:tr w14:paraId="708C6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268" w:type="dxa"/>
          </w:tcPr>
          <w:p w14:paraId="708C642A">
            <w:pPr>
              <w:spacing w:before="120" w:after="120"/>
              <w:ind w:left="147" w:right="191"/>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36. Cancellation of Bidding </w:t>
            </w:r>
          </w:p>
        </w:tc>
        <w:tc>
          <w:tcPr>
            <w:tcW w:w="7230" w:type="dxa"/>
          </w:tcPr>
          <w:p w14:paraId="708C642B">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36.1. Cancellation of Bid applies for the following cases: </w:t>
            </w:r>
          </w:p>
          <w:p w14:paraId="708C642C">
            <w:pPr>
              <w:widowControl w:val="0"/>
              <w:shd w:val="clear" w:color="auto" w:fill="FFFFFF"/>
              <w:tabs>
                <w:tab w:val="left" w:pos="485"/>
              </w:tabs>
              <w:spacing w:before="40" w:after="40" w:line="240" w:lineRule="auto"/>
              <w:ind w:left="170"/>
              <w:jc w:val="both"/>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 All Bids do not satisfy requirements of the BDs;</w:t>
            </w:r>
          </w:p>
          <w:p w14:paraId="708C642D">
            <w:pPr>
              <w:widowControl w:val="0"/>
              <w:shd w:val="clear" w:color="auto" w:fill="FFFFFF"/>
              <w:tabs>
                <w:tab w:val="left" w:pos="485"/>
              </w:tabs>
              <w:spacing w:before="40" w:after="40" w:line="240" w:lineRule="auto"/>
              <w:ind w:left="170"/>
              <w:jc w:val="both"/>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b) There are changes in the objectives and scope of investment specified in the investment decision resulting in changes in volume of tasks and evaluation criteria specified in the BDs;  </w:t>
            </w:r>
          </w:p>
          <w:p w14:paraId="708C642E">
            <w:pPr>
              <w:widowControl w:val="0"/>
              <w:shd w:val="clear" w:color="auto" w:fill="FFFFFF"/>
              <w:tabs>
                <w:tab w:val="left" w:pos="485"/>
              </w:tabs>
              <w:spacing w:before="40" w:after="40" w:line="240" w:lineRule="auto"/>
              <w:ind w:left="170"/>
              <w:jc w:val="both"/>
              <w:outlineLvl w:val="3"/>
              <w:rPr>
                <w:strike/>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 The BDs does not comply with provisions of the Procurement law or other related laws result in non-responsive to requirements to perform the package by the selected bidder.</w:t>
            </w:r>
          </w:p>
          <w:p w14:paraId="708C642F">
            <w:pPr>
              <w:widowControl w:val="0"/>
              <w:shd w:val="clear" w:color="auto" w:fill="FFFFFF"/>
              <w:tabs>
                <w:tab w:val="left" w:pos="485"/>
              </w:tabs>
              <w:spacing w:before="40" w:after="40" w:line="240" w:lineRule="auto"/>
              <w:ind w:left="170"/>
              <w:jc w:val="both"/>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d) The selected bidder commits prohibited practices as prescribed in Article 16 of Procurement Law.  </w:t>
            </w:r>
          </w:p>
          <w:p w14:paraId="708C6430">
            <w:pPr>
              <w:widowControl w:val="0"/>
              <w:shd w:val="clear" w:color="auto" w:fill="FFFFFF"/>
              <w:tabs>
                <w:tab w:val="left" w:pos="485"/>
              </w:tabs>
              <w:spacing w:before="40" w:after="40" w:line="240" w:lineRule="auto"/>
              <w:ind w:left="170"/>
              <w:jc w:val="both"/>
              <w:outlineLvl w:val="3"/>
              <w:rPr>
                <w:color w:val="auto"/>
                <w:sz w:val="26"/>
                <w:szCs w:val="26"/>
              </w:rPr>
            </w:pPr>
            <w:r>
              <w:rPr>
                <w:color w:val="000000" w:themeColor="text1"/>
                <w:sz w:val="26"/>
                <w:szCs w:val="26"/>
                <w14:textFill>
                  <w14:solidFill>
                    <w14:schemeClr w14:val="tx1"/>
                  </w14:solidFill>
                </w14:textFill>
              </w:rPr>
              <w:t xml:space="preserve">e) </w:t>
            </w:r>
            <w:r>
              <w:rPr>
                <w:sz w:val="26"/>
                <w:szCs w:val="26"/>
              </w:rPr>
              <w:t>Another organization o</w:t>
            </w:r>
            <w:r>
              <w:rPr>
                <w:color w:val="auto"/>
                <w:sz w:val="26"/>
                <w:szCs w:val="26"/>
              </w:rPr>
              <w:t xml:space="preserve">r individual that is not the successful bidder commits prohibited practices as prescribed in Article 16 of Procurement Law leading to discrepancy of bid selection result. </w:t>
            </w:r>
          </w:p>
          <w:p w14:paraId="708C6431">
            <w:pPr>
              <w:widowControl w:val="0"/>
              <w:shd w:val="clear" w:color="auto" w:fill="FFFFFF"/>
              <w:tabs>
                <w:tab w:val="left" w:pos="851"/>
                <w:tab w:val="left" w:pos="900"/>
              </w:tabs>
              <w:spacing w:before="40" w:after="40" w:line="240" w:lineRule="auto"/>
              <w:ind w:left="170"/>
              <w:jc w:val="both"/>
              <w:outlineLvl w:val="3"/>
              <w:rPr>
                <w:color w:val="auto"/>
                <w:sz w:val="26"/>
                <w:szCs w:val="26"/>
                <w:highlight w:val="none"/>
              </w:rPr>
            </w:pPr>
            <w:r>
              <w:rPr>
                <w:color w:val="auto"/>
                <w:sz w:val="26"/>
                <w:szCs w:val="26"/>
              </w:rPr>
              <w:t xml:space="preserve">f) Cancellation of bidding as prescribed in </w:t>
            </w:r>
            <w:r>
              <w:rPr>
                <w:color w:val="auto"/>
                <w:sz w:val="26"/>
                <w:szCs w:val="26"/>
                <w:highlight w:val="none"/>
              </w:rPr>
              <w:t xml:space="preserve">Clause 5, Article 42 of the Procurement Law. </w:t>
            </w:r>
          </w:p>
          <w:p w14:paraId="708C6432">
            <w:pPr>
              <w:widowControl w:val="0"/>
              <w:shd w:val="clear" w:color="auto" w:fill="FFFFFF"/>
              <w:tabs>
                <w:tab w:val="left" w:pos="851"/>
                <w:tab w:val="left" w:pos="900"/>
              </w:tabs>
              <w:spacing w:before="40" w:after="40" w:line="240" w:lineRule="auto"/>
              <w:ind w:left="170"/>
              <w:jc w:val="both"/>
              <w:outlineLvl w:val="3"/>
              <w:rPr>
                <w:color w:val="000000" w:themeColor="text1"/>
                <w:sz w:val="26"/>
                <w:szCs w:val="26"/>
                <w14:textFill>
                  <w14:solidFill>
                    <w14:schemeClr w14:val="tx1"/>
                  </w14:solidFill>
                </w14:textFill>
              </w:rPr>
            </w:pPr>
            <w:r>
              <w:rPr>
                <w:color w:val="auto"/>
                <w:sz w:val="26"/>
                <w:szCs w:val="26"/>
              </w:rPr>
              <w:t>36.2. Organizations, individuals violate provisions of procurement law lead to cancellation of Bid as specified in Point c, d and e of ITB 36.1, and to compensation for related parties and be handled in accordan</w:t>
            </w:r>
            <w:r>
              <w:rPr>
                <w:color w:val="000000" w:themeColor="text1"/>
                <w:sz w:val="26"/>
                <w:szCs w:val="26"/>
                <w14:textFill>
                  <w14:solidFill>
                    <w14:schemeClr w14:val="tx1"/>
                  </w14:solidFill>
                </w14:textFill>
              </w:rPr>
              <w:t>ce with law.</w:t>
            </w:r>
          </w:p>
          <w:p w14:paraId="708C6433">
            <w:pPr>
              <w:spacing w:before="120" w:after="120"/>
              <w:ind w:left="132" w:right="134"/>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36.3. In case of cancellation of bid as specified in ITB 36.1, the Purchaser must reimburse or release the bid security submitted by the Bidders within five (05) working days, except the Bidder violates provisions in Point d and e of ITB 36.1.  </w:t>
            </w:r>
          </w:p>
        </w:tc>
      </w:tr>
      <w:tr w14:paraId="708C6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268" w:type="dxa"/>
          </w:tcPr>
          <w:p w14:paraId="708C6435">
            <w:pPr>
              <w:spacing w:before="120" w:after="120"/>
              <w:ind w:left="147" w:right="191"/>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37. Notification of bid selection result  </w:t>
            </w:r>
          </w:p>
        </w:tc>
        <w:tc>
          <w:tcPr>
            <w:tcW w:w="7230" w:type="dxa"/>
          </w:tcPr>
          <w:p w14:paraId="708C6436">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37.1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shall post information of bid selection result on VNEPS along with a bid evaluation report within five (05) working days from the issuing date of approving the bidder selection result. Information shall include the followings:      </w:t>
            </w:r>
          </w:p>
          <w:p w14:paraId="708C6437">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a) Information of the bidding package</w:t>
            </w:r>
          </w:p>
          <w:p w14:paraId="708C6438">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The bidding notice number</w:t>
            </w:r>
          </w:p>
          <w:p w14:paraId="708C6439">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 Title, identification of the package; </w:t>
            </w:r>
          </w:p>
          <w:p w14:paraId="708C643A">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Bidding package price or approved estimate (if any);</w:t>
            </w:r>
          </w:p>
          <w:p w14:paraId="708C643B">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 Name of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w:t>
            </w:r>
          </w:p>
          <w:p w14:paraId="708C643C">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Form of bid selection;</w:t>
            </w:r>
          </w:p>
          <w:p w14:paraId="708C643D">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Type of contract;</w:t>
            </w:r>
          </w:p>
          <w:p w14:paraId="708C643E">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Time for t</w:t>
            </w:r>
            <w:r>
              <w:rPr>
                <w:color w:val="000000" w:themeColor="text1"/>
                <w:sz w:val="26"/>
                <w:szCs w:val="26"/>
                <w14:textFill>
                  <w14:solidFill>
                    <w14:schemeClr w14:val="tx1"/>
                  </w14:solidFill>
                </w14:textFill>
              </w:rPr>
              <w:t xml:space="preserve">he package </w:t>
            </w:r>
            <w:r>
              <w:rPr>
                <w:color w:val="000000" w:themeColor="text1"/>
                <w:spacing w:val="0"/>
                <w:sz w:val="26"/>
                <w:szCs w:val="26"/>
                <w14:textFill>
                  <w14:solidFill>
                    <w14:schemeClr w14:val="tx1"/>
                  </w14:solidFill>
                </w14:textFill>
              </w:rPr>
              <w:t>performance.</w:t>
            </w:r>
          </w:p>
          <w:p w14:paraId="708C643F">
            <w:pPr>
              <w:pStyle w:val="86"/>
              <w:widowControl w:val="0"/>
              <w:shd w:val="clear" w:color="auto" w:fill="FFFFFF"/>
              <w:tabs>
                <w:tab w:val="left" w:pos="1080"/>
                <w:tab w:val="left" w:pos="1728"/>
              </w:tabs>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b) Information of the selected bidder:</w:t>
            </w:r>
          </w:p>
          <w:p w14:paraId="708C6440">
            <w:pPr>
              <w:pStyle w:val="86"/>
              <w:widowControl w:val="0"/>
              <w:shd w:val="clear" w:color="auto" w:fill="FFFFFF"/>
              <w:tabs>
                <w:tab w:val="left" w:pos="1080"/>
                <w:tab w:val="left" w:pos="1728"/>
              </w:tabs>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Tax code;</w:t>
            </w:r>
          </w:p>
          <w:p w14:paraId="708C6441">
            <w:pPr>
              <w:pStyle w:val="86"/>
              <w:widowControl w:val="0"/>
              <w:shd w:val="clear" w:color="auto" w:fill="FFFFFF"/>
              <w:tabs>
                <w:tab w:val="left" w:pos="1080"/>
                <w:tab w:val="left" w:pos="1728"/>
              </w:tabs>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Name of the selected bidder;</w:t>
            </w:r>
          </w:p>
          <w:p w14:paraId="708C6442">
            <w:pPr>
              <w:pStyle w:val="86"/>
              <w:widowControl w:val="0"/>
              <w:shd w:val="clear" w:color="auto" w:fill="FFFFFF"/>
              <w:tabs>
                <w:tab w:val="left" w:pos="1080"/>
                <w:tab w:val="left" w:pos="1728"/>
              </w:tabs>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Bid price;</w:t>
            </w:r>
          </w:p>
          <w:p w14:paraId="708C6443">
            <w:pPr>
              <w:pStyle w:val="86"/>
              <w:widowControl w:val="0"/>
              <w:shd w:val="clear" w:color="auto" w:fill="FFFFFF"/>
              <w:tabs>
                <w:tab w:val="left" w:pos="1080"/>
                <w:tab w:val="left" w:pos="1728"/>
              </w:tabs>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Bid price after discount (if any);</w:t>
            </w:r>
          </w:p>
          <w:p w14:paraId="708C6444">
            <w:pPr>
              <w:pStyle w:val="86"/>
              <w:widowControl w:val="0"/>
              <w:shd w:val="clear" w:color="auto" w:fill="FFFFFF"/>
              <w:tabs>
                <w:tab w:val="left" w:pos="1080"/>
                <w:tab w:val="left" w:pos="1728"/>
              </w:tabs>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Technical score (if any);</w:t>
            </w:r>
          </w:p>
          <w:p w14:paraId="708C6445">
            <w:pPr>
              <w:pStyle w:val="86"/>
              <w:widowControl w:val="0"/>
              <w:shd w:val="clear" w:color="auto" w:fill="FFFFFF"/>
              <w:tabs>
                <w:tab w:val="left" w:pos="1080"/>
                <w:tab w:val="left" w:pos="1728"/>
              </w:tabs>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Evaluation price (if any);</w:t>
            </w:r>
          </w:p>
          <w:p w14:paraId="708C6446">
            <w:pPr>
              <w:pStyle w:val="86"/>
              <w:widowControl w:val="0"/>
              <w:shd w:val="clear" w:color="auto" w:fill="FFFFFF"/>
              <w:tabs>
                <w:tab w:val="left" w:pos="1080"/>
                <w:tab w:val="left" w:pos="1728"/>
              </w:tabs>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Winning bid price;</w:t>
            </w:r>
          </w:p>
          <w:p w14:paraId="708C6447">
            <w:pPr>
              <w:pStyle w:val="86"/>
              <w:widowControl w:val="0"/>
              <w:shd w:val="clear" w:color="auto" w:fill="FFFFFF"/>
              <w:tabs>
                <w:tab w:val="left" w:pos="1080"/>
                <w:tab w:val="left" w:pos="1728"/>
              </w:tabs>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Time for t</w:t>
            </w:r>
            <w:r>
              <w:rPr>
                <w:color w:val="000000" w:themeColor="text1"/>
                <w:sz w:val="26"/>
                <w:szCs w:val="26"/>
                <w14:textFill>
                  <w14:solidFill>
                    <w14:schemeClr w14:val="tx1"/>
                  </w14:solidFill>
                </w14:textFill>
              </w:rPr>
              <w:t xml:space="preserve">he package </w:t>
            </w:r>
            <w:r>
              <w:rPr>
                <w:color w:val="000000" w:themeColor="text1"/>
                <w:spacing w:val="0"/>
                <w:sz w:val="26"/>
                <w:szCs w:val="26"/>
                <w14:textFill>
                  <w14:solidFill>
                    <w14:schemeClr w14:val="tx1"/>
                  </w14:solidFill>
                </w14:textFill>
              </w:rPr>
              <w:t>performance;</w:t>
            </w:r>
          </w:p>
          <w:p w14:paraId="708C6448">
            <w:pPr>
              <w:pStyle w:val="86"/>
              <w:widowControl w:val="0"/>
              <w:shd w:val="clear" w:color="auto" w:fill="FFFFFF"/>
              <w:tabs>
                <w:tab w:val="left" w:pos="1080"/>
                <w:tab w:val="left" w:pos="1728"/>
              </w:tabs>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Time for the contract performance.</w:t>
            </w:r>
          </w:p>
          <w:p w14:paraId="708C6449">
            <w:pPr>
              <w:pStyle w:val="86"/>
              <w:widowControl w:val="0"/>
              <w:shd w:val="clear" w:color="auto" w:fill="FFFFFF"/>
              <w:tabs>
                <w:tab w:val="left" w:pos="1080"/>
                <w:tab w:val="left" w:pos="1728"/>
              </w:tabs>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c) For each type of goods and equipment in the bidding package,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shall post the following information:</w:t>
            </w:r>
          </w:p>
          <w:p w14:paraId="708C644A">
            <w:pPr>
              <w:pStyle w:val="86"/>
              <w:widowControl w:val="0"/>
              <w:shd w:val="clear" w:color="auto" w:fill="FFFFFF"/>
              <w:tabs>
                <w:tab w:val="left" w:pos="1080"/>
                <w:tab w:val="left" w:pos="1728"/>
              </w:tabs>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Name of Goods;</w:t>
            </w:r>
          </w:p>
          <w:p w14:paraId="708C644B">
            <w:pPr>
              <w:pStyle w:val="86"/>
              <w:widowControl w:val="0"/>
              <w:shd w:val="clear" w:color="auto" w:fill="FFFFFF"/>
              <w:tabs>
                <w:tab w:val="left" w:pos="1080"/>
                <w:tab w:val="left" w:pos="1728"/>
              </w:tabs>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Capacity (if any);</w:t>
            </w:r>
          </w:p>
          <w:p w14:paraId="708C644C">
            <w:pPr>
              <w:pStyle w:val="86"/>
              <w:widowControl w:val="0"/>
              <w:shd w:val="clear" w:color="auto" w:fill="FFFFFF"/>
              <w:tabs>
                <w:tab w:val="left" w:pos="1080"/>
                <w:tab w:val="left" w:pos="1728"/>
              </w:tabs>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Features and specifications; signatures, codes, labels;</w:t>
            </w:r>
          </w:p>
          <w:p w14:paraId="708C644D">
            <w:pPr>
              <w:pStyle w:val="86"/>
              <w:widowControl w:val="0"/>
              <w:shd w:val="clear" w:color="auto" w:fill="FFFFFF"/>
              <w:tabs>
                <w:tab w:val="left" w:pos="1080"/>
                <w:tab w:val="left" w:pos="1728"/>
              </w:tabs>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Origin;</w:t>
            </w:r>
          </w:p>
          <w:p w14:paraId="708C644E">
            <w:pPr>
              <w:pStyle w:val="86"/>
              <w:widowControl w:val="0"/>
              <w:shd w:val="clear" w:color="auto" w:fill="FFFFFF"/>
              <w:tabs>
                <w:tab w:val="left" w:pos="1080"/>
                <w:tab w:val="left" w:pos="1728"/>
              </w:tabs>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Winning price unit.</w:t>
            </w:r>
          </w:p>
          <w:p w14:paraId="708C644F">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d) List of non-selected bidders and a summary of each bidder's reasons for not being selected. </w:t>
            </w:r>
          </w:p>
          <w:p w14:paraId="708C6450">
            <w:pPr>
              <w:pStyle w:val="86"/>
              <w:widowControl w:val="0"/>
              <w:shd w:val="clear" w:color="auto" w:fill="FFFFFF"/>
              <w:spacing w:before="40" w:after="40"/>
              <w:ind w:left="170"/>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37.2. In case of request for explanation of specific non-selected reason, the Bidder shall post request on VNEPS or directly contact the Purchaser. The Purchaser shall answer inquiry of the Bidder within 02 working days from the date of receipting request of the Bidder.</w:t>
            </w:r>
          </w:p>
          <w:p w14:paraId="708C6451">
            <w:pPr>
              <w:pStyle w:val="86"/>
              <w:widowControl w:val="0"/>
              <w:shd w:val="clear" w:color="auto" w:fill="FFFFFF"/>
              <w:spacing w:before="40" w:after="40"/>
              <w:ind w:left="170"/>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In case the bidder makes </w:t>
            </w:r>
            <w:r>
              <w:rPr>
                <w:color w:val="000000" w:themeColor="text1"/>
                <w14:textFill>
                  <w14:solidFill>
                    <w14:schemeClr w14:val="tx1"/>
                  </w14:solidFill>
                </w14:textFill>
              </w:rPr>
              <w:t>petition</w:t>
            </w:r>
            <w:r>
              <w:rPr>
                <w:color w:val="000000" w:themeColor="text1"/>
                <w:sz w:val="26"/>
                <w:szCs w:val="26"/>
                <w14:textFill>
                  <w14:solidFill>
                    <w14:schemeClr w14:val="tx1"/>
                  </w14:solidFill>
                </w14:textFill>
              </w:rPr>
              <w:t>s to the Purchaser or competent person about issues before the announcement of the bidder selection results or about the bidder selection results, the Purchaser is responsible for posting the documents resolving petitions of the Purchaser and competent person on VNEPS within 05 working days from the date of issuance of the document resolving the petition.</w:t>
            </w:r>
          </w:p>
          <w:p w14:paraId="708C6452">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37.3. In case of cancellation of bidding as specified in Item a ITB 36.1, the </w:t>
            </w:r>
            <w:r>
              <w:rPr>
                <w:color w:val="000000" w:themeColor="text1"/>
                <w:sz w:val="26"/>
                <w:szCs w:val="26"/>
                <w14:textFill>
                  <w14:solidFill>
                    <w14:schemeClr w14:val="tx1"/>
                  </w14:solidFill>
                </w14:textFill>
              </w:rPr>
              <w:t>Purchaser</w:t>
            </w:r>
            <w:r>
              <w:rPr>
                <w:color w:val="000000" w:themeColor="text1"/>
                <w:spacing w:val="0"/>
                <w:sz w:val="26"/>
                <w:szCs w:val="26"/>
                <w14:textFill>
                  <w14:solidFill>
                    <w14:schemeClr w14:val="tx1"/>
                  </w14:solidFill>
                </w14:textFill>
              </w:rPr>
              <w:t xml:space="preserve"> shall explain the reasons to cancel the bidding in the notification of bidder selection result on VNEPS.</w:t>
            </w:r>
          </w:p>
        </w:tc>
      </w:tr>
      <w:tr w14:paraId="708C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268" w:type="dxa"/>
          </w:tcPr>
          <w:p w14:paraId="708C6454">
            <w:pPr>
              <w:spacing w:before="120" w:after="120"/>
              <w:ind w:left="32" w:right="33"/>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38. </w:t>
            </w:r>
            <w:r>
              <w:rPr>
                <w:b/>
                <w:sz w:val="26"/>
                <w:szCs w:val="26"/>
              </w:rPr>
              <w:t>Vary Quantities of Goods and Related Services; Additional purchasing option</w:t>
            </w:r>
          </w:p>
        </w:tc>
        <w:tc>
          <w:tcPr>
            <w:tcW w:w="7230" w:type="dxa"/>
          </w:tcPr>
          <w:p w14:paraId="708C6455">
            <w:pPr>
              <w:widowControl w:val="0"/>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38.1. At the time of Contract awarded, the Purchaser reserves the right to increase or decrease quantity of goods and related Services originally specified in Section V, Scope of Supply, provided that such changes do not exceed </w:t>
            </w:r>
            <w:r>
              <w:rPr>
                <w:bCs/>
                <w:color w:val="000000" w:themeColor="text1"/>
                <w:sz w:val="26"/>
                <w:szCs w:val="26"/>
                <w14:textFill>
                  <w14:solidFill>
                    <w14:schemeClr w14:val="tx1"/>
                  </w14:solidFill>
                </w14:textFill>
              </w:rPr>
              <w:t>the rate specified in the</w:t>
            </w:r>
            <w:r>
              <w:rPr>
                <w:b/>
                <w:bCs/>
                <w:color w:val="000000" w:themeColor="text1"/>
                <w:sz w:val="26"/>
                <w:szCs w:val="26"/>
                <w14:textFill>
                  <w14:solidFill>
                    <w14:schemeClr w14:val="tx1"/>
                  </w14:solidFill>
                </w14:textFill>
              </w:rPr>
              <w:t xml:space="preserve"> BDS,</w:t>
            </w:r>
            <w:r>
              <w:rPr>
                <w:color w:val="000000" w:themeColor="text1"/>
                <w:sz w:val="26"/>
                <w:szCs w:val="26"/>
                <w14:textFill>
                  <w14:solidFill>
                    <w14:schemeClr w14:val="tx1"/>
                  </w14:solidFill>
                </w14:textFill>
              </w:rPr>
              <w:t xml:space="preserve"> and without any changes of unit prices or other terms and conditions of the Bid and the BDs. </w:t>
            </w:r>
          </w:p>
          <w:p w14:paraId="708C6456">
            <w:pPr>
              <w:spacing w:before="120" w:after="120"/>
              <w:ind w:left="132" w:right="134"/>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38.2. </w:t>
            </w:r>
            <w:r>
              <w:rPr>
                <w:b/>
                <w:sz w:val="26"/>
                <w:szCs w:val="26"/>
              </w:rPr>
              <w:t>Additional purchasing option</w:t>
            </w:r>
            <w:r>
              <w:rPr>
                <w:color w:val="000000" w:themeColor="text1"/>
                <w:sz w:val="26"/>
                <w:szCs w:val="26"/>
                <w14:textFill>
                  <w14:solidFill>
                    <w14:schemeClr w14:val="tx1"/>
                  </w14:solidFill>
                </w14:textFill>
              </w:rPr>
              <w:t>:</w:t>
            </w:r>
          </w:p>
          <w:p w14:paraId="708C6457">
            <w:pPr>
              <w:spacing w:before="120" w:after="120"/>
              <w:ind w:left="132" w:right="134"/>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Before contract expires, the Purchaser and the Bidder may make an agreement to purchase an additional volume of goods and services in addition to the volume stated in Section V, Scope of Supply provided that it does not exceed </w:t>
            </w:r>
            <w:r>
              <w:rPr>
                <w:bCs/>
                <w:color w:val="000000" w:themeColor="text1"/>
                <w:sz w:val="26"/>
                <w:szCs w:val="26"/>
                <w14:textFill>
                  <w14:solidFill>
                    <w14:schemeClr w14:val="tx1"/>
                  </w14:solidFill>
                </w14:textFill>
              </w:rPr>
              <w:t>the rate specified in the</w:t>
            </w:r>
            <w:r>
              <w:rPr>
                <w:b/>
                <w:bCs/>
                <w:color w:val="000000" w:themeColor="text1"/>
                <w:sz w:val="26"/>
                <w:szCs w:val="26"/>
                <w14:textFill>
                  <w14:solidFill>
                    <w14:schemeClr w14:val="tx1"/>
                  </w14:solidFill>
                </w14:textFill>
              </w:rPr>
              <w:t xml:space="preserve"> BDS </w:t>
            </w:r>
            <w:r>
              <w:rPr>
                <w:color w:val="000000" w:themeColor="text1"/>
                <w:sz w:val="26"/>
                <w:szCs w:val="26"/>
                <w14:textFill>
                  <w14:solidFill>
                    <w14:schemeClr w14:val="tx1"/>
                  </w14:solidFill>
                </w14:textFill>
              </w:rPr>
              <w:t>and satisfy provisions of Clause 8, Article 39 of the Procurement Law. The goods/services that are additionally purchased shall be similar to ones in signed contract, with specific unit price. The quantity of additional goods/ services shall not be used for evaluation of qualification and experience of the Bidder. In case of consortium, assignment for performing the additional goods/ services shall be based on assignment in signed contract, unless otherwise another agreement of parties.</w:t>
            </w:r>
          </w:p>
        </w:tc>
      </w:tr>
      <w:tr w14:paraId="708C6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268" w:type="dxa"/>
          </w:tcPr>
          <w:p w14:paraId="708C6459">
            <w:pPr>
              <w:spacing w:before="120" w:after="120"/>
              <w:ind w:left="147" w:right="191"/>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39. Notification of Acceptance and Award </w:t>
            </w:r>
          </w:p>
        </w:tc>
        <w:tc>
          <w:tcPr>
            <w:tcW w:w="7230" w:type="dxa"/>
          </w:tcPr>
          <w:p w14:paraId="708C645A">
            <w:pPr>
              <w:spacing w:before="120" w:after="120"/>
              <w:ind w:left="132" w:right="134"/>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After Purchaser posts the notice of bidder selection results, the Purchaser sends the n</w:t>
            </w:r>
            <w:r>
              <w:rPr>
                <w:rFonts w:eastAsia="Arial"/>
                <w:color w:val="000000" w:themeColor="text1"/>
                <w:sz w:val="26"/>
                <w:szCs w:val="26"/>
                <w14:textFill>
                  <w14:solidFill>
                    <w14:schemeClr w14:val="tx1"/>
                  </w14:solidFill>
                </w14:textFill>
              </w:rPr>
              <w:t>otification of acceptance and award contract</w:t>
            </w:r>
            <w:r>
              <w:rPr>
                <w:color w:val="000000" w:themeColor="text1"/>
                <w:sz w:val="26"/>
                <w:szCs w:val="26"/>
                <w14:textFill>
                  <w14:solidFill>
                    <w14:schemeClr w14:val="tx1"/>
                  </w14:solidFill>
                </w14:textFill>
              </w:rPr>
              <w:t>, including the requirements as performance security, time for completion and signing of contract pursuant to Form 15 Section VIII - Contract Forms to the successful Bidder. The n</w:t>
            </w:r>
            <w:r>
              <w:rPr>
                <w:rFonts w:eastAsia="Arial"/>
                <w:color w:val="000000" w:themeColor="text1"/>
                <w:sz w:val="26"/>
                <w:szCs w:val="26"/>
                <w14:textFill>
                  <w14:solidFill>
                    <w14:schemeClr w14:val="tx1"/>
                  </w14:solidFill>
                </w14:textFill>
              </w:rPr>
              <w:t>otification of acceptance and award contract</w:t>
            </w:r>
            <w:r>
              <w:rPr>
                <w:color w:val="000000" w:themeColor="text1"/>
                <w:sz w:val="26"/>
                <w:szCs w:val="26"/>
                <w14:textFill>
                  <w14:solidFill>
                    <w14:schemeClr w14:val="tx1"/>
                  </w14:solidFill>
                </w14:textFill>
              </w:rPr>
              <w:t xml:space="preserve"> is a part of contract documents. In case the successful bidder fails to complete, sign the contract or fails to furnish the performance security by the deadline stated in </w:t>
            </w:r>
            <w:r>
              <w:rPr>
                <w:rFonts w:eastAsia="Arial"/>
                <w:color w:val="000000" w:themeColor="text1"/>
                <w:sz w:val="26"/>
                <w:szCs w:val="26"/>
                <w14:textFill>
                  <w14:solidFill>
                    <w14:schemeClr w14:val="tx1"/>
                  </w14:solidFill>
                </w14:textFill>
              </w:rPr>
              <w:t>Notification of acceptance and award contract</w:t>
            </w:r>
            <w:r>
              <w:rPr>
                <w:color w:val="000000" w:themeColor="text1"/>
                <w:sz w:val="26"/>
                <w:szCs w:val="26"/>
                <w14:textFill>
                  <w14:solidFill>
                    <w14:schemeClr w14:val="tx1"/>
                  </w14:solidFill>
                </w14:textFill>
              </w:rPr>
              <w:t>, then the bidder shall be rejected and not be reimbursed the bid security as specified in ITB 18.5. The deadline stated in the n</w:t>
            </w:r>
            <w:r>
              <w:rPr>
                <w:rFonts w:eastAsia="Arial"/>
                <w:color w:val="000000" w:themeColor="text1"/>
                <w:sz w:val="26"/>
                <w:szCs w:val="26"/>
                <w14:textFill>
                  <w14:solidFill>
                    <w14:schemeClr w14:val="tx1"/>
                  </w14:solidFill>
                </w14:textFill>
              </w:rPr>
              <w:t>otification of acceptance and award contract</w:t>
            </w:r>
            <w:r>
              <w:rPr>
                <w:color w:val="000000" w:themeColor="text1"/>
                <w:sz w:val="26"/>
                <w:szCs w:val="26"/>
                <w14:textFill>
                  <w14:solidFill>
                    <w14:schemeClr w14:val="tx1"/>
                  </w14:solidFill>
                </w14:textFill>
              </w:rPr>
              <w:t xml:space="preserve"> shall be counted from the date on which the Purchaser sends the n</w:t>
            </w:r>
            <w:r>
              <w:rPr>
                <w:rFonts w:eastAsia="Arial"/>
                <w:color w:val="000000" w:themeColor="text1"/>
                <w:sz w:val="26"/>
                <w:szCs w:val="26"/>
                <w14:textFill>
                  <w14:solidFill>
                    <w14:schemeClr w14:val="tx1"/>
                  </w14:solidFill>
                </w14:textFill>
              </w:rPr>
              <w:t xml:space="preserve">otification of acceptance and award contract </w:t>
            </w:r>
            <w:r>
              <w:rPr>
                <w:color w:val="000000" w:themeColor="text1"/>
                <w:sz w:val="26"/>
                <w:szCs w:val="26"/>
                <w14:textFill>
                  <w14:solidFill>
                    <w14:schemeClr w14:val="tx1"/>
                  </w14:solidFill>
                </w14:textFill>
              </w:rPr>
              <w:t xml:space="preserve">to the successful bidder on VNEPS. </w:t>
            </w:r>
          </w:p>
        </w:tc>
      </w:tr>
      <w:tr w14:paraId="708C6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268" w:type="dxa"/>
          </w:tcPr>
          <w:p w14:paraId="708C645C">
            <w:pPr>
              <w:spacing w:before="120"/>
              <w:ind w:right="43"/>
              <w:jc w:val="both"/>
              <w:rPr>
                <w:b/>
                <w:bCs/>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40. C</w:t>
            </w:r>
            <w:r>
              <w:rPr>
                <w:b/>
                <w:bCs/>
                <w:color w:val="000000" w:themeColor="text1"/>
                <w:sz w:val="26"/>
                <w:szCs w:val="26"/>
                <w14:textFill>
                  <w14:solidFill>
                    <w14:schemeClr w14:val="tx1"/>
                  </w14:solidFill>
                </w14:textFill>
              </w:rPr>
              <w:t xml:space="preserve">ompletion and signing of contract </w:t>
            </w:r>
          </w:p>
        </w:tc>
        <w:tc>
          <w:tcPr>
            <w:tcW w:w="7230" w:type="dxa"/>
          </w:tcPr>
          <w:p w14:paraId="708C645D">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40.1. The Purchaser invite the successful bidder to complete the contract. During the process of the contract completion, the parties complete the draft contract agreement; Specific conditions of the contract, contract appendix including a detailed list of scope of work, price schedule, implementation schedule (if any). Completion of the contract is carried out on the basis of: </w:t>
            </w:r>
          </w:p>
          <w:p w14:paraId="708C645E">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 The contract form has been filled out with specific information of the bidding package;</w:t>
            </w:r>
          </w:p>
          <w:p w14:paraId="708C645F">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 The results of bidder selection are approved;</w:t>
            </w:r>
          </w:p>
          <w:p w14:paraId="708C6460">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 Requirements stated in the BDs;</w:t>
            </w:r>
          </w:p>
          <w:p w14:paraId="708C6461">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d) Contents stated in the Bid and Bid’s clarification of the winning bidder (if any);</w:t>
            </w:r>
          </w:p>
          <w:p w14:paraId="708C6462">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d) Contents that need to be completed in the contract.</w:t>
            </w:r>
          </w:p>
          <w:p w14:paraId="708C6463">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40.2. The results of contract completion are the basis for the Purchaser and Bidder to sign the contract. In case the bidder voluntarily reduces the price, the contract price is the value after the discount.</w:t>
            </w:r>
          </w:p>
          <w:p w14:paraId="708C6464">
            <w:pPr>
              <w:pStyle w:val="86"/>
              <w:widowControl w:val="0"/>
              <w:shd w:val="clear" w:color="auto" w:fill="FFFFFF"/>
              <w:spacing w:before="40" w:after="40"/>
              <w:ind w:left="170"/>
              <w:outlineLvl w:val="3"/>
              <w:rPr>
                <w:color w:val="000000" w:themeColor="text1"/>
                <w:spacing w:val="0"/>
                <w:sz w:val="26"/>
                <w:szCs w:val="26"/>
                <w14:textFill>
                  <w14:solidFill>
                    <w14:schemeClr w14:val="tx1"/>
                  </w14:solidFill>
                </w14:textFill>
              </w:rPr>
            </w:pPr>
            <w:r>
              <w:rPr>
                <w:color w:val="000000" w:themeColor="text1"/>
                <w:sz w:val="26"/>
                <w:szCs w:val="26"/>
                <w14:textFill>
                  <w14:solidFill>
                    <w14:schemeClr w14:val="tx1"/>
                  </w14:solidFill>
                </w14:textFill>
              </w:rPr>
              <w:t>40.3. In case the successful bidder fails to complete or refuses to complete the contract or does not sign the contract, the bid security will not be refunded</w:t>
            </w:r>
            <w:r>
              <w:rPr>
                <w:color w:val="FF0000"/>
                <w:sz w:val="26"/>
                <w:szCs w:val="26"/>
              </w:rPr>
              <w:t>.</w:t>
            </w:r>
          </w:p>
        </w:tc>
      </w:tr>
      <w:tr w14:paraId="708C6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268" w:type="dxa"/>
          </w:tcPr>
          <w:p w14:paraId="708C6466">
            <w:pPr>
              <w:spacing w:before="120"/>
              <w:ind w:right="43"/>
              <w:jc w:val="both"/>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41.</w:t>
            </w:r>
            <w:r>
              <w:rPr>
                <w:b/>
                <w:bCs/>
                <w:color w:val="000000" w:themeColor="text1"/>
                <w:sz w:val="26"/>
                <w:szCs w:val="26"/>
                <w14:textFill>
                  <w14:solidFill>
                    <w14:schemeClr w14:val="tx1"/>
                  </w14:solidFill>
                </w14:textFill>
              </w:rPr>
              <w:tab/>
            </w:r>
            <w:r>
              <w:rPr>
                <w:b/>
                <w:bCs/>
                <w:color w:val="000000" w:themeColor="text1"/>
                <w:sz w:val="26"/>
                <w:szCs w:val="26"/>
                <w14:textFill>
                  <w14:solidFill>
                    <w14:schemeClr w14:val="tx1"/>
                  </w14:solidFill>
                </w14:textFill>
              </w:rPr>
              <w:t xml:space="preserve">Contract Signing Conditions </w:t>
            </w:r>
          </w:p>
        </w:tc>
        <w:tc>
          <w:tcPr>
            <w:tcW w:w="7230" w:type="dxa"/>
          </w:tcPr>
          <w:p w14:paraId="708C6467">
            <w:pPr>
              <w:pStyle w:val="86"/>
              <w:widowControl w:val="0"/>
              <w:shd w:val="clear" w:color="auto" w:fill="FFFFFF"/>
              <w:spacing w:before="40" w:after="40"/>
              <w:ind w:left="170"/>
              <w:outlineLvl w:val="3"/>
              <w:rPr>
                <w:color w:val="auto"/>
                <w:spacing w:val="0"/>
                <w:sz w:val="26"/>
                <w:szCs w:val="26"/>
              </w:rPr>
            </w:pPr>
            <w:r>
              <w:rPr>
                <w:color w:val="auto"/>
                <w:spacing w:val="0"/>
                <w:sz w:val="26"/>
                <w:szCs w:val="26"/>
              </w:rPr>
              <w:t>41.1. At the time of contract signing, the Bid of successful Bidder shall remain valid.</w:t>
            </w:r>
          </w:p>
          <w:p w14:paraId="708C6468">
            <w:pPr>
              <w:pStyle w:val="60"/>
              <w:widowControl w:val="0"/>
              <w:shd w:val="clear" w:color="auto" w:fill="FFFFFF"/>
              <w:tabs>
                <w:tab w:val="left" w:pos="851"/>
              </w:tabs>
              <w:spacing w:before="40" w:beforeAutospacing="0" w:after="40" w:afterAutospacing="0"/>
              <w:ind w:left="170"/>
              <w:jc w:val="both"/>
              <w:outlineLvl w:val="3"/>
              <w:rPr>
                <w:rFonts w:ascii="Times New Roman" w:hAnsi="Times New Roman" w:eastAsia="Times New Roman" w:cs="Times New Roman"/>
                <w:color w:val="auto"/>
                <w:sz w:val="26"/>
                <w:szCs w:val="26"/>
              </w:rPr>
            </w:pPr>
            <w:r>
              <w:rPr>
                <w:rFonts w:ascii="Times New Roman" w:hAnsi="Times New Roman" w:cs="Times New Roman"/>
                <w:color w:val="auto"/>
                <w:sz w:val="26"/>
                <w:szCs w:val="26"/>
              </w:rPr>
              <w:t xml:space="preserve">41.2. </w:t>
            </w:r>
            <w:r>
              <w:rPr>
                <w:rFonts w:ascii="Times New Roman" w:hAnsi="Times New Roman" w:eastAsia="Times New Roman" w:cs="Times New Roman"/>
                <w:color w:val="auto"/>
                <w:sz w:val="26"/>
                <w:szCs w:val="26"/>
              </w:rPr>
              <w:t xml:space="preserve">At the time of contract signing, the successful Bidder must meet requirements of technical, financial qualification to perform the package as specified in the BDs. In case the Bidder currently does not meet the basic requirements of technical, financial qualification as specified in the BDs, then the Purchaser shall refuse to sign contract with the Bidder and will handle according to provision in Point 19, </w:t>
            </w:r>
            <w:r>
              <w:rPr>
                <w:rFonts w:ascii="Times New Roman" w:hAnsi="Times New Roman" w:eastAsia="Times New Roman" w:cs="Times New Roman"/>
                <w:color w:val="auto"/>
                <w:sz w:val="26"/>
                <w:szCs w:val="26"/>
                <w:highlight w:val="none"/>
              </w:rPr>
              <w:t xml:space="preserve">Clause 140 of Degree No. 214/2025/NĐ-CP.  </w:t>
            </w:r>
          </w:p>
        </w:tc>
      </w:tr>
      <w:tr w14:paraId="708C6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268" w:type="dxa"/>
          </w:tcPr>
          <w:p w14:paraId="708C646A">
            <w:pPr>
              <w:spacing w:before="120"/>
              <w:ind w:right="43"/>
              <w:jc w:val="both"/>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xml:space="preserve">42. Performance Security </w:t>
            </w:r>
          </w:p>
        </w:tc>
        <w:tc>
          <w:tcPr>
            <w:tcW w:w="7230" w:type="dxa"/>
          </w:tcPr>
          <w:p w14:paraId="708C646B">
            <w:pPr>
              <w:widowControl w:val="0"/>
              <w:shd w:val="clear" w:color="auto" w:fill="FFFFFF"/>
              <w:spacing w:before="40" w:after="40" w:line="240" w:lineRule="auto"/>
              <w:ind w:left="170"/>
              <w:jc w:val="both"/>
              <w:outlineLvl w:val="3"/>
              <w:rPr>
                <w:color w:val="auto"/>
                <w:sz w:val="26"/>
                <w:szCs w:val="26"/>
              </w:rPr>
            </w:pPr>
            <w:r>
              <w:rPr>
                <w:color w:val="auto"/>
                <w:sz w:val="26"/>
                <w:szCs w:val="26"/>
              </w:rPr>
              <w:t>42.1. Before or at the same time the contract comes into effect, the successful bidder must submit a Performance Security from a domestic credit institution or a foreign bank branch established under Vietnamese law as prescribed in SCC 5 Section VI. Performance Security must apply Form No. 19 Section VIII – Contract Form or another Form approved by the Purchaser</w:t>
            </w:r>
          </w:p>
          <w:p w14:paraId="708C646C">
            <w:pPr>
              <w:widowControl w:val="0"/>
              <w:shd w:val="clear" w:color="auto" w:fill="FFFFFF"/>
              <w:spacing w:before="120" w:after="120" w:line="288" w:lineRule="auto"/>
              <w:ind w:left="170"/>
              <w:jc w:val="both"/>
              <w:outlineLvl w:val="3"/>
              <w:rPr>
                <w:color w:val="auto"/>
                <w:sz w:val="26"/>
                <w:szCs w:val="26"/>
              </w:rPr>
            </w:pPr>
            <w:r>
              <w:rPr>
                <w:color w:val="auto"/>
                <w:sz w:val="26"/>
                <w:szCs w:val="26"/>
              </w:rPr>
              <w:t>42.2. The bidder shall not be reimbursed its performance security in the following cases:</w:t>
            </w:r>
          </w:p>
          <w:p w14:paraId="708C646D">
            <w:pPr>
              <w:spacing w:before="120" w:after="120" w:line="288" w:lineRule="auto"/>
              <w:ind w:left="175"/>
              <w:jc w:val="both"/>
              <w:rPr>
                <w:color w:val="auto"/>
                <w:sz w:val="26"/>
                <w:szCs w:val="26"/>
              </w:rPr>
            </w:pPr>
            <w:r>
              <w:rPr>
                <w:color w:val="auto"/>
                <w:sz w:val="26"/>
                <w:szCs w:val="26"/>
              </w:rPr>
              <w:t>a) The bidder refuses to implement the contract, when the contract is already effective;</w:t>
            </w:r>
          </w:p>
          <w:p w14:paraId="708C646E">
            <w:pPr>
              <w:spacing w:before="120" w:after="120" w:line="288" w:lineRule="auto"/>
              <w:ind w:left="175"/>
              <w:jc w:val="both"/>
              <w:rPr>
                <w:color w:val="auto"/>
                <w:sz w:val="26"/>
                <w:szCs w:val="26"/>
              </w:rPr>
            </w:pPr>
            <w:r>
              <w:rPr>
                <w:color w:val="auto"/>
                <w:sz w:val="26"/>
                <w:szCs w:val="26"/>
              </w:rPr>
              <w:t>b) The bidder breaks its obligation(s) under the contract;</w:t>
            </w:r>
          </w:p>
          <w:p w14:paraId="708C646F">
            <w:pPr>
              <w:spacing w:before="120" w:after="120" w:line="288" w:lineRule="auto"/>
              <w:ind w:left="175"/>
              <w:jc w:val="both"/>
              <w:rPr>
                <w:color w:val="auto"/>
                <w:sz w:val="26"/>
                <w:szCs w:val="26"/>
              </w:rPr>
            </w:pPr>
            <w:r>
              <w:rPr>
                <w:color w:val="auto"/>
                <w:sz w:val="26"/>
                <w:szCs w:val="26"/>
              </w:rPr>
              <w:t>c) The bidder delays implementation due to his own faults but</w:t>
            </w:r>
            <w:r>
              <w:rPr>
                <w:color w:val="auto"/>
                <w:sz w:val="26"/>
                <w:szCs w:val="26"/>
              </w:rPr>
              <w:br w:type="textWrapping"/>
            </w:r>
            <w:r>
              <w:rPr>
                <w:color w:val="auto"/>
                <w:sz w:val="26"/>
                <w:szCs w:val="26"/>
              </w:rPr>
              <w:t xml:space="preserve">refuses to extend the validity of performance security. </w:t>
            </w:r>
          </w:p>
          <w:p w14:paraId="708C6470">
            <w:pPr>
              <w:spacing w:before="120" w:after="120" w:line="288" w:lineRule="auto"/>
              <w:ind w:left="175"/>
              <w:jc w:val="both"/>
              <w:rPr>
                <w:color w:val="auto"/>
                <w:sz w:val="26"/>
                <w:szCs w:val="26"/>
              </w:rPr>
            </w:pPr>
            <w:r>
              <w:rPr>
                <w:color w:val="auto"/>
                <w:sz w:val="26"/>
                <w:szCs w:val="26"/>
              </w:rPr>
              <w:t xml:space="preserve">43.3. In case the winning bidder fails to submit Performance Security or sign the contract, the Purchaser may cancel the bidder selection result and invite the next ranked bidder to negotiate. </w:t>
            </w:r>
          </w:p>
        </w:tc>
      </w:tr>
      <w:tr w14:paraId="708C6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268" w:type="dxa"/>
          </w:tcPr>
          <w:p w14:paraId="708C6472">
            <w:pPr>
              <w:spacing w:before="120"/>
              <w:ind w:right="43"/>
              <w:jc w:val="both"/>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xml:space="preserve">43. Handling of Bidding Complaints </w:t>
            </w:r>
          </w:p>
        </w:tc>
        <w:tc>
          <w:tcPr>
            <w:tcW w:w="7230" w:type="dxa"/>
          </w:tcPr>
          <w:p w14:paraId="708C6473">
            <w:pPr>
              <w:spacing w:before="120"/>
              <w:ind w:right="43"/>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43.1. When legal rights and interests are affected, bidders, agencies and organizations may request the competent person, Purchaser to review issues during the bidder selection process and bidder selection results according to the provisions of Articles 89, 90 and 91 of the Procurement Law. </w:t>
            </w:r>
          </w:p>
          <w:p w14:paraId="708C6474">
            <w:pPr>
              <w:spacing w:before="120"/>
              <w:ind w:right="43"/>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43.2. In case of petition to the Purchaser, bidder, agencies or organizations send the petition directly on VNEPS. In case of petition to the Competent Person, the bidder shall send the petition to the address specified in </w:t>
            </w:r>
            <w:r>
              <w:rPr>
                <w:b/>
                <w:bCs/>
                <w:color w:val="000000" w:themeColor="text1"/>
                <w:sz w:val="26"/>
                <w:szCs w:val="26"/>
                <w14:textFill>
                  <w14:solidFill>
                    <w14:schemeClr w14:val="tx1"/>
                  </w14:solidFill>
                </w14:textFill>
              </w:rPr>
              <w:t>BDS</w:t>
            </w:r>
            <w:r>
              <w:rPr>
                <w:color w:val="000000" w:themeColor="text1"/>
                <w:sz w:val="26"/>
                <w:szCs w:val="26"/>
                <w14:textFill>
                  <w14:solidFill>
                    <w14:schemeClr w14:val="tx1"/>
                  </w14:solidFill>
                </w14:textFill>
              </w:rPr>
              <w:t xml:space="preserve">. </w:t>
            </w:r>
          </w:p>
        </w:tc>
      </w:tr>
      <w:tr w14:paraId="708C6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268" w:type="dxa"/>
          </w:tcPr>
          <w:p w14:paraId="708C6476">
            <w:pPr>
              <w:spacing w:before="120"/>
              <w:ind w:right="43"/>
              <w:jc w:val="both"/>
              <w:rPr>
                <w:b/>
                <w:bCs/>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44. Monitoring of Selection Bidder Process </w:t>
            </w:r>
          </w:p>
        </w:tc>
        <w:tc>
          <w:tcPr>
            <w:tcW w:w="7230" w:type="dxa"/>
          </w:tcPr>
          <w:p w14:paraId="708C6477">
            <w:pPr>
              <w:spacing w:before="120"/>
              <w:ind w:right="43"/>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When detecting any practice or content that is inconsistent with the provisions of the law on procurement, the Bidder is responsible for notification to </w:t>
            </w:r>
            <w:r>
              <w:rPr>
                <w:rStyle w:val="94"/>
                <w:color w:val="000000" w:themeColor="text1"/>
                <w:sz w:val="26"/>
                <w:szCs w:val="26"/>
                <w14:textFill>
                  <w14:solidFill>
                    <w14:schemeClr w14:val="tx1"/>
                  </w14:solidFill>
                </w14:textFill>
              </w:rPr>
              <w:t>organization</w:t>
            </w:r>
            <w:r>
              <w:rPr>
                <w:color w:val="000000" w:themeColor="text1"/>
                <w:sz w:val="26"/>
                <w:szCs w:val="26"/>
                <w14:textFill>
                  <w14:solidFill>
                    <w14:schemeClr w14:val="tx1"/>
                  </w14:solidFill>
                </w14:textFill>
              </w:rPr>
              <w:t xml:space="preserve">, </w:t>
            </w:r>
            <w:r>
              <w:rPr>
                <w:rStyle w:val="94"/>
                <w:color w:val="000000" w:themeColor="text1"/>
                <w:sz w:val="26"/>
                <w:szCs w:val="26"/>
                <w14:textFill>
                  <w14:solidFill>
                    <w14:schemeClr w14:val="tx1"/>
                  </w14:solidFill>
                </w14:textFill>
              </w:rPr>
              <w:t xml:space="preserve">individual performs the task of monitoring as specified in the </w:t>
            </w:r>
            <w:r>
              <w:rPr>
                <w:rStyle w:val="94"/>
                <w:b/>
                <w:color w:val="000000" w:themeColor="text1"/>
                <w:sz w:val="26"/>
                <w:szCs w:val="26"/>
                <w14:textFill>
                  <w14:solidFill>
                    <w14:schemeClr w14:val="tx1"/>
                  </w14:solidFill>
                </w14:textFill>
              </w:rPr>
              <w:t>BDS</w:t>
            </w:r>
            <w:r>
              <w:rPr>
                <w:rStyle w:val="94"/>
                <w:color w:val="000000" w:themeColor="text1"/>
                <w:sz w:val="26"/>
                <w:szCs w:val="26"/>
                <w14:textFill>
                  <w14:solidFill>
                    <w14:schemeClr w14:val="tx1"/>
                  </w14:solidFill>
                </w14:textFill>
              </w:rPr>
              <w:t>.</w:t>
            </w:r>
          </w:p>
        </w:tc>
      </w:tr>
    </w:tbl>
    <w:p w14:paraId="708C6479">
      <w:pPr>
        <w:rPr>
          <w:color w:val="000000" w:themeColor="text1"/>
          <w:sz w:val="26"/>
          <w:szCs w:val="26"/>
          <w14:textFill>
            <w14:solidFill>
              <w14:schemeClr w14:val="tx1"/>
            </w14:solidFill>
          </w14:textFill>
        </w:rPr>
      </w:pPr>
    </w:p>
    <w:p w14:paraId="708C647A">
      <w:pPr>
        <w:rPr>
          <w:color w:val="000000" w:themeColor="text1"/>
          <w:sz w:val="26"/>
          <w:szCs w:val="26"/>
          <w14:textFill>
            <w14:solidFill>
              <w14:schemeClr w14:val="tx1"/>
            </w14:solidFill>
          </w14:textFill>
        </w:rPr>
      </w:pPr>
    </w:p>
    <w:p w14:paraId="708C647B">
      <w:pPr>
        <w:rPr>
          <w:color w:val="000000" w:themeColor="text1"/>
          <w:sz w:val="26"/>
          <w:szCs w:val="26"/>
          <w14:textFill>
            <w14:solidFill>
              <w14:schemeClr w14:val="tx1"/>
            </w14:solidFill>
          </w14:textFill>
        </w:rPr>
      </w:pPr>
    </w:p>
    <w:p w14:paraId="708C647C">
      <w:pPr>
        <w:rPr>
          <w:color w:val="000000" w:themeColor="text1"/>
          <w:sz w:val="26"/>
          <w:szCs w:val="26"/>
          <w14:textFill>
            <w14:solidFill>
              <w14:schemeClr w14:val="tx1"/>
            </w14:solidFill>
          </w14:textFill>
        </w:rPr>
      </w:pPr>
    </w:p>
    <w:p w14:paraId="708C647D">
      <w:pPr>
        <w:rPr>
          <w:color w:val="000000" w:themeColor="text1"/>
          <w:sz w:val="26"/>
          <w:szCs w:val="26"/>
          <w14:textFill>
            <w14:solidFill>
              <w14:schemeClr w14:val="tx1"/>
            </w14:solidFill>
          </w14:textFill>
        </w:rPr>
      </w:pPr>
    </w:p>
    <w:p w14:paraId="708C647E">
      <w:pPr>
        <w:rPr>
          <w:color w:val="000000" w:themeColor="text1"/>
          <w:sz w:val="26"/>
          <w:szCs w:val="26"/>
          <w14:textFill>
            <w14:solidFill>
              <w14:schemeClr w14:val="tx1"/>
            </w14:solidFill>
          </w14:textFill>
        </w:rPr>
      </w:pPr>
    </w:p>
    <w:p w14:paraId="708C647F">
      <w:pPr>
        <w:rPr>
          <w:color w:val="000000" w:themeColor="text1"/>
          <w:sz w:val="26"/>
          <w:szCs w:val="26"/>
          <w14:textFill>
            <w14:solidFill>
              <w14:schemeClr w14:val="tx1"/>
            </w14:solidFill>
          </w14:textFill>
        </w:rPr>
      </w:pPr>
    </w:p>
    <w:p w14:paraId="708C6480">
      <w:pPr>
        <w:rPr>
          <w:color w:val="000000" w:themeColor="text1"/>
          <w:sz w:val="26"/>
          <w:szCs w:val="26"/>
          <w14:textFill>
            <w14:solidFill>
              <w14:schemeClr w14:val="tx1"/>
            </w14:solidFill>
          </w14:textFill>
        </w:rPr>
      </w:pPr>
    </w:p>
    <w:p w14:paraId="708C6481">
      <w:pPr>
        <w:rPr>
          <w:color w:val="000000" w:themeColor="text1"/>
          <w:sz w:val="26"/>
          <w:szCs w:val="26"/>
          <w14:textFill>
            <w14:solidFill>
              <w14:schemeClr w14:val="tx1"/>
            </w14:solidFill>
          </w14:textFill>
        </w:rPr>
      </w:pPr>
    </w:p>
    <w:p w14:paraId="708C6482">
      <w:pPr>
        <w:rPr>
          <w:color w:val="000000" w:themeColor="text1"/>
          <w:sz w:val="26"/>
          <w:szCs w:val="26"/>
          <w14:textFill>
            <w14:solidFill>
              <w14:schemeClr w14:val="tx1"/>
            </w14:solidFill>
          </w14:textFill>
        </w:rPr>
      </w:pPr>
    </w:p>
    <w:p w14:paraId="708C6483">
      <w:pPr>
        <w:rPr>
          <w:color w:val="000000" w:themeColor="text1"/>
          <w:sz w:val="26"/>
          <w:szCs w:val="26"/>
          <w14:textFill>
            <w14:solidFill>
              <w14:schemeClr w14:val="tx1"/>
            </w14:solidFill>
          </w14:textFill>
        </w:rPr>
      </w:pPr>
    </w:p>
    <w:p w14:paraId="708C6484">
      <w:pPr>
        <w:rPr>
          <w:color w:val="000000" w:themeColor="text1"/>
          <w:sz w:val="26"/>
          <w:szCs w:val="26"/>
          <w14:textFill>
            <w14:solidFill>
              <w14:schemeClr w14:val="tx1"/>
            </w14:solidFill>
          </w14:textFill>
        </w:rPr>
      </w:pPr>
    </w:p>
    <w:p w14:paraId="708C6485">
      <w:pPr>
        <w:rPr>
          <w:color w:val="000000" w:themeColor="text1"/>
          <w:sz w:val="26"/>
          <w:szCs w:val="26"/>
          <w14:textFill>
            <w14:solidFill>
              <w14:schemeClr w14:val="tx1"/>
            </w14:solidFill>
          </w14:textFill>
        </w:rPr>
      </w:pPr>
    </w:p>
    <w:p w14:paraId="708C6486">
      <w:pPr>
        <w:rPr>
          <w:color w:val="000000" w:themeColor="text1"/>
          <w:sz w:val="26"/>
          <w:szCs w:val="26"/>
          <w14:textFill>
            <w14:solidFill>
              <w14:schemeClr w14:val="tx1"/>
            </w14:solidFill>
          </w14:textFill>
        </w:rPr>
      </w:pPr>
    </w:p>
    <w:p w14:paraId="708C6487">
      <w:pPr>
        <w:rPr>
          <w:color w:val="000000" w:themeColor="text1"/>
          <w:sz w:val="26"/>
          <w:szCs w:val="26"/>
          <w14:textFill>
            <w14:solidFill>
              <w14:schemeClr w14:val="tx1"/>
            </w14:solidFill>
          </w14:textFill>
        </w:rPr>
      </w:pPr>
    </w:p>
    <w:p w14:paraId="69594061">
      <w:pPr>
        <w:spacing w:after="0" w:line="240" w:lineRule="auto"/>
        <w:rPr>
          <w:rFonts w:eastAsia="Times New Roman"/>
          <w:b/>
          <w:color w:val="000000" w:themeColor="text1"/>
          <w:sz w:val="26"/>
          <w:szCs w:val="26"/>
          <w:lang w:val="zh-CN" w:eastAsia="zh-CN"/>
          <w14:textFill>
            <w14:solidFill>
              <w14:schemeClr w14:val="tx1"/>
            </w14:solidFill>
          </w14:textFill>
        </w:rPr>
      </w:pPr>
      <w:r>
        <w:rPr>
          <w:color w:val="000000" w:themeColor="text1"/>
          <w:sz w:val="26"/>
          <w:szCs w:val="26"/>
          <w14:textFill>
            <w14:solidFill>
              <w14:schemeClr w14:val="tx1"/>
            </w14:solidFill>
          </w14:textFill>
        </w:rPr>
        <w:br w:type="page"/>
      </w:r>
    </w:p>
    <w:p w14:paraId="708C6488">
      <w:pPr>
        <w:pStyle w:val="65"/>
        <w:spacing w:before="120" w:after="12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Section II. BID DATA SHEET</w:t>
      </w:r>
    </w:p>
    <w:tbl>
      <w:tblPr>
        <w:tblStyle w:val="12"/>
        <w:tblW w:w="910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30"/>
        <w:gridCol w:w="7625"/>
        <w:gridCol w:w="30"/>
      </w:tblGrid>
      <w:tr w14:paraId="708C6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cantSplit/>
          <w:trHeight w:val="863" w:hRule="atLeast"/>
        </w:trPr>
        <w:tc>
          <w:tcPr>
            <w:tcW w:w="1417" w:type="dxa"/>
          </w:tcPr>
          <w:p w14:paraId="708C6489">
            <w:pPr>
              <w:widowControl w:val="0"/>
              <w:spacing w:before="60" w:after="60" w:line="240" w:lineRule="auto"/>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ITB 1.1</w:t>
            </w:r>
          </w:p>
        </w:tc>
        <w:tc>
          <w:tcPr>
            <w:tcW w:w="7655" w:type="dxa"/>
            <w:gridSpan w:val="2"/>
          </w:tcPr>
          <w:p w14:paraId="708C648A">
            <w:pPr>
              <w:widowControl w:val="0"/>
              <w:shd w:val="clear" w:color="auto" w:fill="FFFFFF"/>
              <w:tabs>
                <w:tab w:val="right" w:pos="7272"/>
              </w:tabs>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Name of Purchaser: National Power Transmission Corporation (EVNNPT)</w:t>
            </w:r>
          </w:p>
          <w:p w14:paraId="708C648C">
            <w:pPr>
              <w:widowControl w:val="0"/>
              <w:tabs>
                <w:tab w:val="right" w:pos="7272"/>
              </w:tabs>
              <w:spacing w:before="60" w:after="60" w:line="240" w:lineRule="auto"/>
              <w:jc w:val="both"/>
              <w:rPr>
                <w:color w:val="000000" w:themeColor="text1"/>
                <w:sz w:val="26"/>
                <w:szCs w:val="26"/>
                <w14:textFill>
                  <w14:solidFill>
                    <w14:schemeClr w14:val="tx1"/>
                  </w14:solidFill>
                </w14:textFill>
              </w:rPr>
            </w:pPr>
            <w:r>
              <w:rPr>
                <w:strike w:val="0"/>
                <w:color w:val="000000" w:themeColor="text1"/>
                <w:sz w:val="26"/>
                <w:szCs w:val="26"/>
                <w:highlight w:val="none"/>
                <w14:textFill>
                  <w14:solidFill>
                    <w14:schemeClr w14:val="tx1"/>
                  </w14:solidFill>
                </w14:textFill>
              </w:rPr>
              <w:t>Representative of the Purchaser: Northern Power Projects Management Board – Branch of National Power Transmission Corporation.</w:t>
            </w:r>
          </w:p>
        </w:tc>
      </w:tr>
      <w:tr w14:paraId="708C6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cantSplit/>
        </w:trPr>
        <w:tc>
          <w:tcPr>
            <w:tcW w:w="1417" w:type="dxa"/>
          </w:tcPr>
          <w:p w14:paraId="708C648E">
            <w:pPr>
              <w:widowControl w:val="0"/>
              <w:spacing w:before="60" w:after="60" w:line="240" w:lineRule="auto"/>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ITB 1.2</w:t>
            </w:r>
          </w:p>
        </w:tc>
        <w:tc>
          <w:tcPr>
            <w:tcW w:w="7655" w:type="dxa"/>
            <w:gridSpan w:val="2"/>
          </w:tcPr>
          <w:p w14:paraId="708C648F">
            <w:pPr>
              <w:widowControl w:val="0"/>
              <w:tabs>
                <w:tab w:val="right" w:pos="7272"/>
              </w:tabs>
              <w:spacing w:before="60" w:after="60"/>
              <w:ind w:hanging="10"/>
              <w:jc w:val="both"/>
              <w:rPr>
                <w:color w:val="000000" w:themeColor="text1"/>
                <w:sz w:val="26"/>
                <w:szCs w:val="26"/>
                <w:lang w:val="en-GB"/>
                <w14:textFill>
                  <w14:solidFill>
                    <w14:schemeClr w14:val="tx1"/>
                  </w14:solidFill>
                </w14:textFill>
              </w:rPr>
            </w:pPr>
            <w:r>
              <w:rPr>
                <w:color w:val="000000" w:themeColor="text1"/>
                <w:sz w:val="26"/>
                <w:szCs w:val="26"/>
                <w14:textFill>
                  <w14:solidFill>
                    <w14:schemeClr w14:val="tx1"/>
                  </w14:solidFill>
                </w14:textFill>
              </w:rPr>
              <w:t xml:space="preserve">Name of package: </w:t>
            </w:r>
            <w:r>
              <w:rPr>
                <w:color w:val="000000" w:themeColor="text1"/>
                <w:sz w:val="26"/>
                <w:szCs w:val="26"/>
                <w:lang w:val="en-GB"/>
                <w14:textFill>
                  <w14:solidFill>
                    <w14:schemeClr w14:val="tx1"/>
                  </w14:solidFill>
                </w14:textFill>
              </w:rPr>
              <w:t xml:space="preserve">Package </w:t>
            </w:r>
            <w:r>
              <w:rPr>
                <w:color w:val="000000" w:themeColor="text1"/>
                <w:sz w:val="26"/>
                <w:szCs w:val="26"/>
                <w14:textFill>
                  <w14:solidFill>
                    <w14:schemeClr w14:val="tx1"/>
                  </w14:solidFill>
                </w14:textFill>
              </w:rPr>
              <w:t>08</w:t>
            </w:r>
            <w:r>
              <w:rPr>
                <w:color w:val="000000" w:themeColor="text1"/>
                <w:sz w:val="26"/>
                <w:szCs w:val="26"/>
                <w:lang w:val="en-GB"/>
                <w14:textFill>
                  <w14:solidFill>
                    <w14:schemeClr w14:val="tx1"/>
                  </w14:solidFill>
                </w14:textFill>
              </w:rPr>
              <w:t xml:space="preserve">: </w:t>
            </w:r>
            <w:r>
              <w:rPr>
                <w:sz w:val="26"/>
                <w:szCs w:val="26"/>
                <w:shd w:val="clear" w:color="auto" w:fill="FFFFFF"/>
              </w:rPr>
              <w:t>Supply and Delivery of Primary equipment and materials (Stage 1)</w:t>
            </w:r>
            <w:r>
              <w:rPr>
                <w:color w:val="000000" w:themeColor="text1"/>
                <w:sz w:val="26"/>
                <w:szCs w:val="26"/>
                <w:lang w:val="en-GB"/>
                <w14:textFill>
                  <w14:solidFill>
                    <w14:schemeClr w14:val="tx1"/>
                  </w14:solidFill>
                </w14:textFill>
              </w:rPr>
              <w:t>.</w:t>
            </w:r>
          </w:p>
          <w:p w14:paraId="708C6490">
            <w:pPr>
              <w:widowControl w:val="0"/>
              <w:tabs>
                <w:tab w:val="right" w:pos="7272"/>
              </w:tabs>
              <w:spacing w:before="60" w:after="60"/>
              <w:ind w:hanging="10"/>
              <w:jc w:val="both"/>
              <w:rPr>
                <w:color w:val="000000" w:themeColor="text1"/>
                <w:sz w:val="26"/>
                <w:szCs w:val="26"/>
                <w:lang w:val="en-GB"/>
                <w14:textFill>
                  <w14:solidFill>
                    <w14:schemeClr w14:val="tx1"/>
                  </w14:solidFill>
                </w14:textFill>
              </w:rPr>
            </w:pPr>
            <w:r>
              <w:rPr>
                <w:color w:val="000000" w:themeColor="text1"/>
                <w:sz w:val="26"/>
                <w:szCs w:val="26"/>
                <w14:textFill>
                  <w14:solidFill>
                    <w14:schemeClr w14:val="tx1"/>
                  </w14:solidFill>
                </w14:textFill>
              </w:rPr>
              <w:t>Name of Project: 500kV Hai Phong Substation</w:t>
            </w:r>
          </w:p>
          <w:p w14:paraId="708C6491">
            <w:pPr>
              <w:widowControl w:val="0"/>
              <w:tabs>
                <w:tab w:val="right" w:pos="7272"/>
              </w:tabs>
              <w:spacing w:before="60" w:after="60"/>
              <w:ind w:hanging="10"/>
              <w:jc w:val="both"/>
              <w:rPr>
                <w:color w:val="000000" w:themeColor="text1"/>
                <w:sz w:val="26"/>
                <w:szCs w:val="26"/>
                <w:lang w:val="en-GB"/>
                <w14:textFill>
                  <w14:solidFill>
                    <w14:schemeClr w14:val="tx1"/>
                  </w14:solidFill>
                </w14:textFill>
              </w:rPr>
            </w:pPr>
            <w:r>
              <w:rPr>
                <w:sz w:val="26"/>
                <w:szCs w:val="26"/>
              </w:rPr>
              <w:t>The number, identification and names of the lots: Not applicable.</w:t>
            </w:r>
          </w:p>
        </w:tc>
      </w:tr>
      <w:tr w14:paraId="708C6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cantSplit/>
        </w:trPr>
        <w:tc>
          <w:tcPr>
            <w:tcW w:w="1417" w:type="dxa"/>
          </w:tcPr>
          <w:p w14:paraId="708C6493">
            <w:pPr>
              <w:widowControl w:val="0"/>
              <w:spacing w:before="60" w:after="60" w:line="240" w:lineRule="auto"/>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ITB 3</w:t>
            </w:r>
          </w:p>
        </w:tc>
        <w:tc>
          <w:tcPr>
            <w:tcW w:w="7655" w:type="dxa"/>
            <w:gridSpan w:val="2"/>
          </w:tcPr>
          <w:p w14:paraId="708C6494">
            <w:pPr>
              <w:widowControl w:val="0"/>
              <w:tabs>
                <w:tab w:val="right" w:pos="7254"/>
              </w:tabs>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Source of funds: National Power Transmission Corporation (EVNNPT).</w:t>
            </w:r>
          </w:p>
        </w:tc>
      </w:tr>
      <w:tr w14:paraId="708C6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496">
            <w:pPr>
              <w:widowControl w:val="0"/>
              <w:tabs>
                <w:tab w:val="right" w:pos="7254"/>
              </w:tabs>
              <w:spacing w:before="60" w:after="60" w:line="240" w:lineRule="auto"/>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ITB 5.1(d)</w:t>
            </w:r>
          </w:p>
        </w:tc>
        <w:tc>
          <w:tcPr>
            <w:tcW w:w="7655" w:type="dxa"/>
            <w:gridSpan w:val="2"/>
          </w:tcPr>
          <w:p w14:paraId="708C6497">
            <w:pPr>
              <w:widowControl w:val="0"/>
              <w:tabs>
                <w:tab w:val="right" w:pos="7254"/>
              </w:tabs>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Ensuring competitiveness in bidding as the following regulations:</w:t>
            </w:r>
          </w:p>
          <w:p w14:paraId="708C6498">
            <w:pPr>
              <w:pStyle w:val="97"/>
              <w:widowControl w:val="0"/>
              <w:numPr>
                <w:ilvl w:val="0"/>
                <w:numId w:val="35"/>
              </w:numPr>
              <w:tabs>
                <w:tab w:val="right" w:pos="7254"/>
                <w:tab w:val="clear" w:pos="1480"/>
              </w:tabs>
              <w:spacing w:before="60" w:after="60"/>
              <w:ind w:left="208" w:hanging="208"/>
              <w:rPr>
                <w:color w:val="000000" w:themeColor="text1"/>
                <w:sz w:val="26"/>
                <w:szCs w:val="26"/>
                <w14:textFill>
                  <w14:solidFill>
                    <w14:schemeClr w14:val="tx1"/>
                  </w14:solidFill>
                </w14:textFill>
              </w:rPr>
            </w:pPr>
            <w:r>
              <w:rPr>
                <w:sz w:val="26"/>
                <w:szCs w:val="26"/>
              </w:rPr>
              <w:t>It does not belong to the same direct regulatory agency or organization as related to non-business organizations;</w:t>
            </w:r>
          </w:p>
          <w:p w14:paraId="708C6499">
            <w:pPr>
              <w:pStyle w:val="97"/>
              <w:widowControl w:val="0"/>
              <w:numPr>
                <w:ilvl w:val="0"/>
                <w:numId w:val="35"/>
              </w:numPr>
              <w:tabs>
                <w:tab w:val="right" w:pos="7254"/>
                <w:tab w:val="clear" w:pos="1480"/>
              </w:tabs>
              <w:spacing w:before="60" w:after="60"/>
              <w:ind w:left="208" w:hanging="208"/>
              <w:rPr>
                <w:sz w:val="26"/>
                <w:szCs w:val="26"/>
              </w:rPr>
            </w:pPr>
            <w:r>
              <w:rPr>
                <w:sz w:val="26"/>
                <w:szCs w:val="26"/>
              </w:rPr>
              <w:t>Neither the bidder, nor the purchaser (</w:t>
            </w:r>
            <w:r>
              <w:rPr>
                <w:color w:val="000000" w:themeColor="text1"/>
                <w:sz w:val="26"/>
                <w:szCs w:val="26"/>
                <w14:textFill>
                  <w14:solidFill>
                    <w14:schemeClr w14:val="tx1"/>
                  </w14:solidFill>
                </w14:textFill>
              </w:rPr>
              <w:t xml:space="preserve">National Power </w:t>
            </w:r>
            <w:r>
              <w:rPr>
                <w:sz w:val="26"/>
                <w:szCs w:val="26"/>
              </w:rPr>
              <w:t xml:space="preserve">Transmission Corporation, add: </w:t>
            </w:r>
            <w:r>
              <w:rPr>
                <w:i/>
                <w:iCs/>
                <w:sz w:val="26"/>
                <w:szCs w:val="26"/>
              </w:rPr>
              <w:t>No.18 Tran Nguyen Han street, Hoan Kiem Ward, Ha Noi, S.R Vietnam)</w:t>
            </w:r>
            <w:r>
              <w:rPr>
                <w:sz w:val="26"/>
                <w:szCs w:val="26"/>
              </w:rPr>
              <w:t xml:space="preserve"> </w:t>
            </w:r>
            <w:r>
              <w:rPr>
                <w:strike w:val="0"/>
                <w:color w:val="auto"/>
                <w:sz w:val="26"/>
                <w:szCs w:val="26"/>
              </w:rPr>
              <w:t xml:space="preserve">or the purchaser’s representative Northern Power Projects Management Board –Branch of National Power Transmission Corporation (EVNNPT- NPMB), add: </w:t>
            </w:r>
            <w:r>
              <w:rPr>
                <w:i/>
                <w:iCs/>
                <w:strike w:val="0"/>
                <w:color w:val="auto"/>
                <w:sz w:val="26"/>
                <w:szCs w:val="26"/>
              </w:rPr>
              <w:t>No. 4, Nguyen Khac Nhu Street, Ba Dinh Ward, Hanoi, S.R Vietnam</w:t>
            </w:r>
            <w:r>
              <w:rPr>
                <w:strike w:val="0"/>
                <w:color w:val="auto"/>
                <w:sz w:val="26"/>
                <w:szCs w:val="26"/>
              </w:rPr>
              <w:t>) h</w:t>
            </w:r>
            <w:r>
              <w:rPr>
                <w:sz w:val="26"/>
                <w:szCs w:val="26"/>
              </w:rPr>
              <w:t>as shareholding or equity contribution representing more than 30% of equity of the other parties;</w:t>
            </w:r>
          </w:p>
          <w:p w14:paraId="708C649A">
            <w:pPr>
              <w:pStyle w:val="97"/>
              <w:widowControl w:val="0"/>
              <w:numPr>
                <w:ilvl w:val="0"/>
                <w:numId w:val="35"/>
              </w:numPr>
              <w:tabs>
                <w:tab w:val="right" w:pos="7254"/>
                <w:tab w:val="clear" w:pos="1480"/>
              </w:tabs>
              <w:spacing w:before="60" w:after="60"/>
              <w:ind w:left="208" w:hanging="208"/>
              <w:rPr>
                <w:color w:val="000000" w:themeColor="text1"/>
                <w:sz w:val="26"/>
                <w:szCs w:val="26"/>
                <w14:textFill>
                  <w14:solidFill>
                    <w14:schemeClr w14:val="tx1"/>
                  </w14:solidFill>
                </w14:textFill>
              </w:rPr>
            </w:pPr>
            <w:r>
              <w:rPr>
                <w:sz w:val="26"/>
                <w:szCs w:val="26"/>
              </w:rPr>
              <w:t xml:space="preserve">The bidder participating in the procurement and the consultant of such procurement package do not have shareholding or equity contribution relationship and do not have shareholding or equity contribution representing more than 20% of equity a third party being an organization or a natural person, </w:t>
            </w:r>
            <w:r>
              <w:rPr>
                <w:color w:val="000000" w:themeColor="text1"/>
                <w:spacing w:val="3"/>
                <w:sz w:val="26"/>
                <w:szCs w:val="26"/>
                <w:shd w:val="clear" w:color="auto" w:fill="FFFFFF"/>
                <w14:textFill>
                  <w14:solidFill>
                    <w14:schemeClr w14:val="tx1"/>
                  </w14:solidFill>
                </w14:textFill>
              </w:rPr>
              <w:t>except in the case specified in Clause 4a of this Article 6 of procurement law. Details are as follows:</w:t>
            </w:r>
          </w:p>
          <w:p w14:paraId="708C649B">
            <w:pPr>
              <w:pStyle w:val="97"/>
              <w:widowControl w:val="0"/>
              <w:numPr>
                <w:ilvl w:val="0"/>
                <w:numId w:val="36"/>
              </w:numPr>
              <w:tabs>
                <w:tab w:val="left" w:pos="300"/>
                <w:tab w:val="right" w:pos="7254"/>
              </w:tabs>
              <w:spacing w:before="60" w:after="60"/>
              <w:ind w:left="628"/>
              <w:rPr>
                <w:rFonts w:eastAsia="Calibri"/>
                <w:sz w:val="26"/>
                <w:szCs w:val="26"/>
              </w:rPr>
            </w:pPr>
            <w:r>
              <w:rPr>
                <w:rFonts w:eastAsia="Calibri"/>
                <w:color w:val="000000" w:themeColor="text1"/>
                <w:sz w:val="26"/>
                <w:szCs w:val="26"/>
                <w14:textFill>
                  <w14:solidFill>
                    <w14:schemeClr w14:val="tx1"/>
                  </w14:solidFill>
                </w14:textFill>
              </w:rPr>
              <w:t>Consulting company for technical design,</w:t>
            </w:r>
            <w:r>
              <w:rPr>
                <w:rFonts w:eastAsia="Calibri"/>
                <w:sz w:val="26"/>
                <w:szCs w:val="26"/>
              </w:rPr>
              <w:t xml:space="preserve"> cost estimates, BDs were made by Power Engineering Consulting Joint Stock Company 3, add: No. 32 Ngo Thoi Nhiem, Xuan Hoa Ward, Ho Chi Minh City, S.R Vietnam;</w:t>
            </w:r>
          </w:p>
          <w:p w14:paraId="708C649C">
            <w:pPr>
              <w:pStyle w:val="97"/>
              <w:widowControl w:val="0"/>
              <w:numPr>
                <w:ilvl w:val="0"/>
                <w:numId w:val="36"/>
              </w:numPr>
              <w:tabs>
                <w:tab w:val="left" w:pos="300"/>
                <w:tab w:val="right" w:pos="7254"/>
              </w:tabs>
              <w:spacing w:before="60" w:after="60"/>
              <w:ind w:left="628"/>
              <w:rPr>
                <w:rFonts w:eastAsia="Calibri"/>
                <w:sz w:val="26"/>
                <w:szCs w:val="26"/>
              </w:rPr>
            </w:pPr>
            <w:r>
              <w:rPr>
                <w:rFonts w:eastAsia="Calibri"/>
                <w:sz w:val="26"/>
                <w:szCs w:val="26"/>
              </w:rPr>
              <w:t>Consulting company for appraisal of Technical design, cost estimates were made by Power Engineering Consulting Joint Stock Company 2, add: No.45, Road 2, Citizen zone 8, Thu Duc Ward, Ho Chi Minh City, Vietnam;</w:t>
            </w:r>
          </w:p>
          <w:p w14:paraId="708C649D">
            <w:pPr>
              <w:pStyle w:val="97"/>
              <w:widowControl w:val="0"/>
              <w:numPr>
                <w:ilvl w:val="0"/>
                <w:numId w:val="36"/>
              </w:numPr>
              <w:tabs>
                <w:tab w:val="left" w:pos="300"/>
                <w:tab w:val="right" w:pos="7254"/>
              </w:tabs>
              <w:spacing w:before="60" w:after="60"/>
              <w:ind w:left="628"/>
              <w:rPr>
                <w:rFonts w:eastAsia="Calibri"/>
                <w:color w:val="000000" w:themeColor="text1"/>
                <w:sz w:val="26"/>
                <w:szCs w:val="26"/>
                <w14:textFill>
                  <w14:solidFill>
                    <w14:schemeClr w14:val="tx1"/>
                  </w14:solidFill>
                </w14:textFill>
              </w:rPr>
            </w:pPr>
            <w:r>
              <w:rPr>
                <w:rFonts w:eastAsia="Calibri"/>
                <w:sz w:val="26"/>
                <w:szCs w:val="26"/>
              </w:rPr>
              <w:t>Consulting company for evaluation of Bids, se</w:t>
            </w:r>
            <w:r>
              <w:rPr>
                <w:rFonts w:eastAsia="Calibri"/>
                <w:color w:val="000000" w:themeColor="text1"/>
                <w:sz w:val="26"/>
                <w:szCs w:val="26"/>
                <w14:textFill>
                  <w14:solidFill>
                    <w14:schemeClr w14:val="tx1"/>
                  </w14:solidFill>
                </w14:textFill>
              </w:rPr>
              <w:t>lection bidder result: Not applicable;</w:t>
            </w:r>
          </w:p>
          <w:p w14:paraId="708C649E">
            <w:pPr>
              <w:pStyle w:val="97"/>
              <w:widowControl w:val="0"/>
              <w:numPr>
                <w:ilvl w:val="0"/>
                <w:numId w:val="36"/>
              </w:numPr>
              <w:tabs>
                <w:tab w:val="left" w:pos="300"/>
                <w:tab w:val="right" w:pos="7254"/>
              </w:tabs>
              <w:spacing w:before="60" w:after="60"/>
              <w:ind w:left="628"/>
              <w:rPr>
                <w:rFonts w:eastAsia="Calibri"/>
                <w:color w:val="000000" w:themeColor="text1"/>
                <w:sz w:val="26"/>
                <w:szCs w:val="26"/>
                <w14:textFill>
                  <w14:solidFill>
                    <w14:schemeClr w14:val="tx1"/>
                  </w14:solidFill>
                </w14:textFill>
              </w:rPr>
            </w:pPr>
            <w:r>
              <w:rPr>
                <w:rFonts w:eastAsia="Calibri"/>
                <w:color w:val="000000" w:themeColor="text1"/>
                <w:sz w:val="26"/>
                <w:szCs w:val="26"/>
                <w14:textFill>
                  <w14:solidFill>
                    <w14:schemeClr w14:val="tx1"/>
                  </w14:solidFill>
                </w14:textFill>
              </w:rPr>
              <w:t>Consulting company for appraisal of selection bidder result: N/A.</w:t>
            </w:r>
          </w:p>
          <w:p w14:paraId="708C649F">
            <w:pPr>
              <w:widowControl w:val="0"/>
              <w:tabs>
                <w:tab w:val="right" w:pos="7254"/>
              </w:tabs>
              <w:spacing w:before="60" w:after="6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bidder who participates in the bidding does not belong to the same agency or organization directly managing the consulting bidder (mentioned above)</w:t>
            </w:r>
            <w:r>
              <w:rPr>
                <w:rStyle w:val="32"/>
                <w:color w:val="000000" w:themeColor="text1"/>
                <w:sz w:val="26"/>
                <w:szCs w:val="26"/>
                <w14:textFill>
                  <w14:solidFill>
                    <w14:schemeClr w14:val="tx1"/>
                  </w14:solidFill>
                </w14:textFill>
              </w:rPr>
              <w:footnoteReference w:id="1"/>
            </w:r>
            <w:r>
              <w:rPr>
                <w:color w:val="000000" w:themeColor="text1"/>
                <w:sz w:val="26"/>
                <w:szCs w:val="26"/>
                <w14:textFill>
                  <w14:solidFill>
                    <w14:schemeClr w14:val="tx1"/>
                  </w14:solidFill>
                </w14:textFill>
              </w:rPr>
              <w:t>.</w:t>
            </w:r>
          </w:p>
          <w:p w14:paraId="708C64A0">
            <w:pPr>
              <w:pStyle w:val="97"/>
              <w:widowControl w:val="0"/>
              <w:numPr>
                <w:ilvl w:val="0"/>
                <w:numId w:val="35"/>
              </w:numPr>
              <w:tabs>
                <w:tab w:val="clear" w:pos="1480"/>
              </w:tabs>
              <w:spacing w:before="60" w:after="60"/>
              <w:ind w:left="0" w:firstLine="0"/>
              <w:rPr>
                <w:color w:val="000000" w:themeColor="text1"/>
                <w:spacing w:val="3"/>
                <w:sz w:val="26"/>
                <w:szCs w:val="26"/>
                <w:shd w:val="clear" w:color="auto" w:fill="FFFFFF"/>
                <w14:textFill>
                  <w14:solidFill>
                    <w14:schemeClr w14:val="tx1"/>
                  </w14:solidFill>
                </w14:textFill>
              </w:rPr>
            </w:pPr>
            <w:r>
              <w:rPr>
                <w:color w:val="000000" w:themeColor="text1"/>
                <w:spacing w:val="3"/>
                <w:sz w:val="26"/>
                <w:szCs w:val="26"/>
                <w:shd w:val="clear" w:color="auto" w:fill="FFFFFF"/>
                <w14:textFill>
                  <w14:solidFill>
                    <w14:schemeClr w14:val="tx1"/>
                  </w14:solidFill>
                </w14:textFill>
              </w:rPr>
              <w:t xml:space="preserve">In case the bidder is a public non-business unit, the bidder does not belong to the same directly managing agency or organization with the Purchaser and its representative mentioned above, except the Bidder is a public non-business unit belongs to state management agency that has functions and assigned duties suitable with nature of bid of such state management agency. </w:t>
            </w:r>
          </w:p>
          <w:p w14:paraId="708C64A1">
            <w:pPr>
              <w:pStyle w:val="97"/>
              <w:widowControl w:val="0"/>
              <w:numPr>
                <w:ilvl w:val="0"/>
                <w:numId w:val="35"/>
              </w:numPr>
              <w:tabs>
                <w:tab w:val="clear" w:pos="1480"/>
              </w:tabs>
              <w:spacing w:before="60" w:after="60"/>
              <w:ind w:left="-77" w:firstLine="77"/>
              <w:rPr>
                <w:color w:val="000000" w:themeColor="text1"/>
                <w:spacing w:val="3"/>
                <w:sz w:val="26"/>
                <w:szCs w:val="26"/>
                <w:shd w:val="clear" w:color="auto" w:fill="FFFFFF"/>
                <w14:textFill>
                  <w14:solidFill>
                    <w14:schemeClr w14:val="tx1"/>
                  </w14:solidFill>
                </w14:textFill>
              </w:rPr>
            </w:pPr>
            <w:r>
              <w:rPr>
                <w:color w:val="000000" w:themeColor="text1"/>
                <w:spacing w:val="3"/>
                <w:sz w:val="26"/>
                <w:szCs w:val="26"/>
                <w:shd w:val="clear" w:color="auto" w:fill="FFFFFF"/>
                <w14:textFill>
                  <w14:solidFill>
                    <w14:schemeClr w14:val="tx1"/>
                  </w14:solidFill>
                </w14:textFill>
              </w:rPr>
              <w:t>Parent companies, subsidiaries, member companies in state-owned economic groups and state-owned corporations are allowed to participate in each other's bidding packages If the products and services in that bidding package belong to the main production and business sectors of the state economic group or state corporation. For mixed bidding packages in which the state economic group or parent company, subsidiary, member company in the state economic group is the investor, the Purchaser, the participating bidder and the consulting bidder who prepares and examines the overall technical design, feasibility study report (in case of not preparing the overall technical design), the technical economic report (in case of not preparing the feasibility study report, not preparing the overall technical design according to the provisions of the law on construction) must not have shares or capital contributions from each other, and must not have shares or capital contributions of more than 30% from another organization or individual with each party.</w:t>
            </w:r>
          </w:p>
          <w:p w14:paraId="708C64A2">
            <w:pPr>
              <w:widowControl w:val="0"/>
              <w:tabs>
                <w:tab w:val="right" w:pos="7254"/>
              </w:tabs>
              <w:spacing w:before="60" w:after="60"/>
              <w:jc w:val="both"/>
              <w:rPr>
                <w:color w:val="000000" w:themeColor="text1"/>
                <w:spacing w:val="3"/>
                <w:sz w:val="26"/>
                <w:szCs w:val="26"/>
                <w:shd w:val="clear" w:color="auto" w:fill="FFFFFF"/>
                <w14:textFill>
                  <w14:solidFill>
                    <w14:schemeClr w14:val="tx1"/>
                  </w14:solidFill>
                </w14:textFill>
              </w:rPr>
            </w:pPr>
            <w:r>
              <w:rPr>
                <w:color w:val="000000" w:themeColor="text1"/>
                <w:spacing w:val="3"/>
                <w:sz w:val="26"/>
                <w:szCs w:val="26"/>
                <w:shd w:val="clear" w:color="auto" w:fill="FFFFFF"/>
                <w14:textFill>
                  <w14:solidFill>
                    <w14:schemeClr w14:val="tx1"/>
                  </w14:solidFill>
                </w14:textFill>
              </w:rPr>
              <w:sym w:font="Symbol" w:char="F02D"/>
            </w:r>
            <w:r>
              <w:rPr>
                <w:color w:val="000000" w:themeColor="text1"/>
                <w:spacing w:val="3"/>
                <w:sz w:val="26"/>
                <w:szCs w:val="26"/>
                <w:shd w:val="clear" w:color="auto" w:fill="FFFFFF"/>
                <w14:textFill>
                  <w14:solidFill>
                    <w14:schemeClr w14:val="tx1"/>
                  </w14:solidFill>
                </w14:textFill>
              </w:rPr>
              <w:t xml:space="preserve"> Public non-business unit and enterprise belong to the same directly managing, capital sharing agency: when participating in bids of each other, it is not need to satisfy provisions of legal and financial independence with the Purchaser and its representative. </w:t>
            </w:r>
          </w:p>
          <w:p w14:paraId="708C64A3">
            <w:pPr>
              <w:widowControl w:val="0"/>
              <w:tabs>
                <w:tab w:val="right" w:pos="7254"/>
              </w:tabs>
              <w:spacing w:before="60" w:after="60"/>
              <w:jc w:val="both"/>
              <w:rPr>
                <w:color w:val="000000" w:themeColor="text1"/>
                <w:sz w:val="26"/>
                <w:szCs w:val="26"/>
                <w14:textFill>
                  <w14:solidFill>
                    <w14:schemeClr w14:val="tx1"/>
                  </w14:solidFill>
                </w14:textFill>
              </w:rPr>
            </w:pPr>
            <w:r>
              <w:rPr>
                <w:color w:val="000000" w:themeColor="text1"/>
                <w:spacing w:val="3"/>
                <w:sz w:val="26"/>
                <w:szCs w:val="26"/>
                <w:shd w:val="clear" w:color="auto" w:fill="FFFFFF"/>
                <w14:textFill>
                  <w14:solidFill>
                    <w14:schemeClr w14:val="tx1"/>
                  </w14:solidFill>
                </w14:textFill>
              </w:rPr>
              <w:t>Ratio of shares and capital contribution of parties is determined at the bid closing date and following ratio stated in business registration certificate, establishment decision or equivalent documents.</w:t>
            </w:r>
          </w:p>
          <w:p w14:paraId="708C64A4">
            <w:pPr>
              <w:widowControl w:val="0"/>
              <w:shd w:val="clear" w:color="auto" w:fill="FFFFFF"/>
              <w:tabs>
                <w:tab w:val="right" w:pos="7254"/>
              </w:tabs>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In case a bidder participating in the bid as a Consortium or a consulting Bidder is selected as a Consortium, the capital ownership ratio of other organizations and individuals in the Consortium is determined by the following formula:</w:t>
            </w:r>
          </w:p>
          <w:p w14:paraId="708C64A5">
            <w:pPr>
              <w:tabs>
                <w:tab w:val="right" w:pos="7254"/>
              </w:tabs>
              <w:jc w:val="center"/>
              <w:rPr>
                <w:color w:val="000000" w:themeColor="text1"/>
                <w:sz w:val="26"/>
                <w:szCs w:val="26"/>
                <w14:textFill>
                  <w14:solidFill>
                    <w14:schemeClr w14:val="tx1"/>
                  </w14:solidFill>
                </w14:textFill>
              </w:rPr>
            </w:pPr>
            <m:oMathPara>
              <m:oMath>
                <m:r>
                  <m:rPr>
                    <m:sty m:val="p"/>
                  </m:rPr>
                  <w:rPr>
                    <w:rFonts w:ascii="Cambria Math" w:hAnsi="Cambria Math"/>
                    <w:color w:val="000000" w:themeColor="text1"/>
                    <w:sz w:val="26"/>
                    <w:szCs w:val="26"/>
                    <w14:textFill>
                      <w14:solidFill>
                        <w14:schemeClr w14:val="tx1"/>
                      </w14:solidFill>
                    </w14:textFill>
                  </w:rPr>
                  <m:t xml:space="preserve">The capital ownership ratio = </m:t>
                </m:r>
                <m:nary>
                  <m:naryPr>
                    <m:chr m:val="∑"/>
                    <m:grow m:val="1"/>
                    <m:ctrlPr>
                      <w:rPr>
                        <w:rFonts w:ascii="Cambria Math" w:hAnsi="Cambria Math"/>
                        <w:color w:val="000000" w:themeColor="text1"/>
                        <w:sz w:val="26"/>
                        <w:szCs w:val="26"/>
                        <w14:textFill>
                          <w14:solidFill>
                            <w14:schemeClr w14:val="tx1"/>
                          </w14:solidFill>
                        </w14:textFill>
                      </w:rPr>
                    </m:ctrlPr>
                  </m:naryPr>
                  <m:sub>
                    <m:r>
                      <m:rPr/>
                      <w:rPr>
                        <w:rFonts w:ascii="Cambria Math" w:hAnsi="Cambria Math" w:eastAsia="Cambria Math"/>
                        <w:color w:val="000000" w:themeColor="text1"/>
                        <w:sz w:val="26"/>
                        <w:szCs w:val="26"/>
                        <w14:textFill>
                          <w14:solidFill>
                            <w14:schemeClr w14:val="tx1"/>
                          </w14:solidFill>
                        </w14:textFill>
                      </w:rPr>
                      <m:t>i</m:t>
                    </m:r>
                    <m:r>
                      <m:rPr>
                        <m:sty m:val="p"/>
                      </m:rPr>
                      <w:rPr>
                        <w:rFonts w:ascii="Cambria Math" w:hAnsi="Cambria Math" w:eastAsia="Cambria Math"/>
                        <w:color w:val="000000" w:themeColor="text1"/>
                        <w:sz w:val="26"/>
                        <w:szCs w:val="26"/>
                        <w14:textFill>
                          <w14:solidFill>
                            <w14:schemeClr w14:val="tx1"/>
                          </w14:solidFill>
                        </w14:textFill>
                      </w:rPr>
                      <m:t>=1</m:t>
                    </m:r>
                    <m:ctrlPr>
                      <w:rPr>
                        <w:rFonts w:ascii="Cambria Math" w:hAnsi="Cambria Math"/>
                        <w:color w:val="000000" w:themeColor="text1"/>
                        <w:sz w:val="26"/>
                        <w:szCs w:val="26"/>
                        <w14:textFill>
                          <w14:solidFill>
                            <w14:schemeClr w14:val="tx1"/>
                          </w14:solidFill>
                        </w14:textFill>
                      </w:rPr>
                    </m:ctrlPr>
                  </m:sub>
                  <m:sup>
                    <m:r>
                      <m:rPr/>
                      <w:rPr>
                        <w:rFonts w:ascii="Cambria Math" w:hAnsi="Cambria Math" w:eastAsia="Cambria Math"/>
                        <w:color w:val="000000" w:themeColor="text1"/>
                        <w:sz w:val="26"/>
                        <w:szCs w:val="26"/>
                        <w14:textFill>
                          <w14:solidFill>
                            <w14:schemeClr w14:val="tx1"/>
                          </w14:solidFill>
                        </w14:textFill>
                      </w:rPr>
                      <m:t>n</m:t>
                    </m:r>
                    <m:ctrlPr>
                      <w:rPr>
                        <w:rFonts w:ascii="Cambria Math" w:hAnsi="Cambria Math"/>
                        <w:color w:val="000000" w:themeColor="text1"/>
                        <w:sz w:val="26"/>
                        <w:szCs w:val="26"/>
                        <w14:textFill>
                          <w14:solidFill>
                            <w14:schemeClr w14:val="tx1"/>
                          </w14:solidFill>
                        </w14:textFill>
                      </w:rPr>
                    </m:ctrlPr>
                  </m:sup>
                  <m:e>
                    <m:r>
                      <m:rPr>
                        <m:sty m:val="p"/>
                      </m:rPr>
                      <w:rPr>
                        <w:rFonts w:ascii="Cambria Math" w:hAnsi="Cambria Math"/>
                        <w:color w:val="000000" w:themeColor="text1"/>
                        <w:sz w:val="26"/>
                        <w:szCs w:val="26"/>
                        <w14:textFill>
                          <w14:solidFill>
                            <w14:schemeClr w14:val="tx1"/>
                          </w14:solidFill>
                        </w14:textFill>
                      </w:rPr>
                      <m:t>Xi x Yi</m:t>
                    </m:r>
                    <m:ctrlPr>
                      <w:rPr>
                        <w:rFonts w:ascii="Cambria Math" w:hAnsi="Cambria Math"/>
                        <w:color w:val="000000" w:themeColor="text1"/>
                        <w:sz w:val="26"/>
                        <w:szCs w:val="26"/>
                        <w14:textFill>
                          <w14:solidFill>
                            <w14:schemeClr w14:val="tx1"/>
                          </w14:solidFill>
                        </w14:textFill>
                      </w:rPr>
                    </m:ctrlPr>
                  </m:e>
                </m:nary>
              </m:oMath>
            </m:oMathPara>
          </w:p>
          <w:p w14:paraId="708C64A6">
            <w:pPr>
              <w:widowControl w:val="0"/>
              <w:tabs>
                <w:tab w:val="right" w:pos="7254"/>
              </w:tabs>
              <w:spacing w:before="120" w:after="120" w:line="252"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In which:</w:t>
            </w:r>
          </w:p>
          <w:p w14:paraId="708C64A7">
            <w:pPr>
              <w:widowControl w:val="0"/>
              <w:tabs>
                <w:tab w:val="right" w:pos="7254"/>
              </w:tabs>
              <w:spacing w:before="120" w:after="120" w:line="252"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Xi: Capital ownership ratio of other organizations and individuals in the i</w:t>
            </w:r>
            <w:r>
              <w:rPr>
                <w:color w:val="000000" w:themeColor="text1"/>
                <w:sz w:val="26"/>
                <w:szCs w:val="26"/>
                <w:vertAlign w:val="superscript"/>
                <w14:textFill>
                  <w14:solidFill>
                    <w14:schemeClr w14:val="tx1"/>
                  </w14:solidFill>
                </w14:textFill>
              </w:rPr>
              <w:t>th</w:t>
            </w:r>
            <w:r>
              <w:rPr>
                <w:color w:val="000000" w:themeColor="text1"/>
                <w:sz w:val="26"/>
                <w:szCs w:val="26"/>
                <w14:textFill>
                  <w14:solidFill>
                    <w14:schemeClr w14:val="tx1"/>
                  </w14:solidFill>
                </w14:textFill>
              </w:rPr>
              <w:t xml:space="preserve"> consortium member;</w:t>
            </w:r>
          </w:p>
          <w:p w14:paraId="708C64A8">
            <w:pPr>
              <w:widowControl w:val="0"/>
              <w:tabs>
                <w:tab w:val="right" w:pos="7254"/>
              </w:tabs>
              <w:spacing w:before="120" w:after="120" w:line="252"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Yi: Percentage (%) of the i</w:t>
            </w:r>
            <w:r>
              <w:rPr>
                <w:color w:val="000000" w:themeColor="text1"/>
                <w:sz w:val="26"/>
                <w:szCs w:val="26"/>
                <w:vertAlign w:val="superscript"/>
                <w14:textFill>
                  <w14:solidFill>
                    <w14:schemeClr w14:val="tx1"/>
                  </w14:solidFill>
                </w14:textFill>
              </w:rPr>
              <w:t>th</w:t>
            </w:r>
            <w:r>
              <w:rPr>
                <w:color w:val="000000" w:themeColor="text1"/>
                <w:sz w:val="26"/>
                <w:szCs w:val="26"/>
                <w14:textFill>
                  <w14:solidFill>
                    <w14:schemeClr w14:val="tx1"/>
                  </w14:solidFill>
                </w14:textFill>
              </w:rPr>
              <w:t xml:space="preserve"> consortium member's workload in the consortium agreement;</w:t>
            </w:r>
          </w:p>
          <w:p w14:paraId="708C64A9">
            <w:pPr>
              <w:widowControl w:val="0"/>
              <w:tabs>
                <w:tab w:val="right" w:pos="7254"/>
              </w:tabs>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 Number of members participating in the consortium</w:t>
            </w:r>
          </w:p>
        </w:tc>
      </w:tr>
      <w:tr w14:paraId="708C6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4AB">
            <w:pPr>
              <w:widowControl w:val="0"/>
              <w:tabs>
                <w:tab w:val="right" w:pos="7434"/>
              </w:tabs>
              <w:spacing w:before="60" w:after="60" w:line="240" w:lineRule="auto"/>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ITB 7.4</w:t>
            </w:r>
          </w:p>
        </w:tc>
        <w:tc>
          <w:tcPr>
            <w:tcW w:w="7655" w:type="dxa"/>
            <w:gridSpan w:val="2"/>
          </w:tcPr>
          <w:p w14:paraId="708C64AC">
            <w:pPr>
              <w:widowControl w:val="0"/>
              <w:tabs>
                <w:tab w:val="right" w:pos="7254"/>
              </w:tabs>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Pre-bid meeting: N/A</w:t>
            </w:r>
          </w:p>
        </w:tc>
      </w:tr>
      <w:tr w14:paraId="708C6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4AE">
            <w:pPr>
              <w:widowControl w:val="0"/>
              <w:tabs>
                <w:tab w:val="right" w:pos="7434"/>
              </w:tabs>
              <w:spacing w:before="60" w:after="60" w:line="240" w:lineRule="auto"/>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ITB 8</w:t>
            </w:r>
          </w:p>
        </w:tc>
        <w:tc>
          <w:tcPr>
            <w:tcW w:w="7655" w:type="dxa"/>
            <w:gridSpan w:val="2"/>
          </w:tcPr>
          <w:p w14:paraId="708C64AF">
            <w:pPr>
              <w:widowControl w:val="0"/>
              <w:shd w:val="clear" w:color="auto" w:fill="FFFFFF"/>
              <w:spacing w:before="40" w:after="40" w:line="240" w:lineRule="auto"/>
              <w:jc w:val="both"/>
              <w:rPr>
                <w:sz w:val="26"/>
                <w:szCs w:val="26"/>
              </w:rPr>
            </w:pPr>
            <w:r>
              <w:rPr>
                <w:sz w:val="26"/>
                <w:szCs w:val="26"/>
              </w:rPr>
              <w:t>Cost for obtaining the BDs is 200 USD (equivalent to 5.000.000 VND) and be directly transferred to NPMB’s account as follow:</w:t>
            </w:r>
          </w:p>
          <w:p w14:paraId="708C64B0">
            <w:pPr>
              <w:jc w:val="both"/>
              <w:rPr>
                <w:sz w:val="26"/>
                <w:szCs w:val="26"/>
              </w:rPr>
            </w:pPr>
            <w:r>
              <w:rPr>
                <w:b/>
                <w:bCs/>
                <w:sz w:val="26"/>
                <w:szCs w:val="26"/>
              </w:rPr>
              <w:t>-</w:t>
            </w:r>
            <w:r>
              <w:rPr>
                <w:b/>
                <w:sz w:val="26"/>
                <w:szCs w:val="26"/>
              </w:rPr>
              <w:t>Beneficiary</w:t>
            </w:r>
            <w:r>
              <w:rPr>
                <w:sz w:val="26"/>
                <w:szCs w:val="26"/>
              </w:rPr>
              <w:t xml:space="preserve">: </w:t>
            </w:r>
            <w:r>
              <w:rPr>
                <w:color w:val="000000" w:themeColor="text1"/>
                <w:sz w:val="26"/>
                <w:szCs w:val="26"/>
                <w14:textFill>
                  <w14:solidFill>
                    <w14:schemeClr w14:val="tx1"/>
                  </w14:solidFill>
                </w14:textFill>
              </w:rPr>
              <w:t>Northern Power Projects Management Board – Branch of National Power Transmission Corporation</w:t>
            </w:r>
            <w:r>
              <w:rPr>
                <w:sz w:val="26"/>
                <w:szCs w:val="26"/>
              </w:rPr>
              <w:t>.</w:t>
            </w:r>
          </w:p>
          <w:p w14:paraId="708C64B1">
            <w:pPr>
              <w:jc w:val="both"/>
              <w:rPr>
                <w:b/>
                <w:bCs/>
                <w:sz w:val="26"/>
                <w:szCs w:val="26"/>
              </w:rPr>
            </w:pPr>
            <w:r>
              <w:rPr>
                <w:b/>
                <w:bCs/>
                <w:sz w:val="26"/>
                <w:szCs w:val="26"/>
              </w:rPr>
              <w:t>-Account Number: 114 00000 9146</w:t>
            </w:r>
          </w:p>
          <w:p w14:paraId="708C64B2">
            <w:pPr>
              <w:jc w:val="both"/>
              <w:rPr>
                <w:sz w:val="26"/>
                <w:szCs w:val="26"/>
              </w:rPr>
            </w:pPr>
            <w:r>
              <w:rPr>
                <w:b/>
                <w:bCs/>
                <w:sz w:val="26"/>
                <w:szCs w:val="26"/>
              </w:rPr>
              <w:t>-Bank</w:t>
            </w:r>
            <w:r>
              <w:rPr>
                <w:sz w:val="26"/>
                <w:szCs w:val="26"/>
              </w:rPr>
              <w:t xml:space="preserve">: Vietnam Joint Stock Commercial Bank for Industry and Trade - Hanoi Branch. </w:t>
            </w:r>
          </w:p>
          <w:p w14:paraId="708C64B3">
            <w:pPr>
              <w:jc w:val="both"/>
              <w:rPr>
                <w:sz w:val="26"/>
                <w:szCs w:val="26"/>
              </w:rPr>
            </w:pPr>
            <w:r>
              <w:rPr>
                <w:b/>
                <w:bCs/>
                <w:sz w:val="26"/>
                <w:szCs w:val="26"/>
              </w:rPr>
              <w:t>-Content</w:t>
            </w:r>
            <w:r>
              <w:rPr>
                <w:sz w:val="26"/>
                <w:szCs w:val="26"/>
              </w:rPr>
              <w:t>: Bidder’s name + Package’s number + Project’s name (</w:t>
            </w:r>
            <w:r>
              <w:rPr>
                <w:i/>
                <w:iCs/>
                <w:sz w:val="26"/>
                <w:szCs w:val="26"/>
              </w:rPr>
              <w:t>e.g: ABC Co.,… + Pck 8 + 500kV Hai Phong Substation</w:t>
            </w:r>
            <w:r>
              <w:rPr>
                <w:sz w:val="26"/>
                <w:szCs w:val="26"/>
              </w:rPr>
              <w:t>).</w:t>
            </w:r>
          </w:p>
          <w:p w14:paraId="708C64B4">
            <w:pPr>
              <w:widowControl w:val="0"/>
              <w:shd w:val="clear" w:color="auto" w:fill="FFFFFF"/>
              <w:spacing w:before="40" w:after="40" w:line="240" w:lineRule="auto"/>
              <w:jc w:val="both"/>
              <w:rPr>
                <w:sz w:val="26"/>
                <w:szCs w:val="26"/>
              </w:rPr>
            </w:pPr>
            <w:r>
              <w:rPr>
                <w:sz w:val="26"/>
                <w:szCs w:val="26"/>
              </w:rPr>
              <w:drawing>
                <wp:inline distT="0" distB="0" distL="0" distR="0">
                  <wp:extent cx="2753995" cy="3140710"/>
                  <wp:effectExtent l="0" t="0" r="825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918018" cy="3327501"/>
                          </a:xfrm>
                          <a:prstGeom prst="rect">
                            <a:avLst/>
                          </a:prstGeom>
                          <a:noFill/>
                          <a:ln>
                            <a:noFill/>
                          </a:ln>
                        </pic:spPr>
                      </pic:pic>
                    </a:graphicData>
                  </a:graphic>
                </wp:inline>
              </w:drawing>
            </w:r>
          </w:p>
          <w:p w14:paraId="708C64B5">
            <w:pPr>
              <w:widowControl w:val="0"/>
              <w:shd w:val="clear" w:color="auto" w:fill="FFFFFF"/>
              <w:spacing w:before="40" w:after="40" w:line="240" w:lineRule="auto"/>
              <w:jc w:val="both"/>
              <w:rPr>
                <w:sz w:val="26"/>
                <w:szCs w:val="26"/>
              </w:rPr>
            </w:pPr>
          </w:p>
          <w:p w14:paraId="708C64B6">
            <w:pPr>
              <w:widowControl w:val="0"/>
              <w:shd w:val="clear" w:color="auto" w:fill="FFFFFF"/>
              <w:spacing w:before="40" w:after="40" w:line="240" w:lineRule="auto"/>
              <w:jc w:val="both"/>
              <w:rPr>
                <w:sz w:val="26"/>
                <w:szCs w:val="26"/>
              </w:rPr>
            </w:pPr>
            <w:r>
              <w:rPr>
                <w:b/>
                <w:bCs/>
                <w:sz w:val="26"/>
                <w:szCs w:val="26"/>
                <w:u w:val="single"/>
              </w:rPr>
              <w:t>Note: Only transference from Bidder’s account is acceptable (</w:t>
            </w:r>
            <w:r>
              <w:rPr>
                <w:b/>
                <w:bCs/>
                <w:i/>
                <w:iCs/>
                <w:sz w:val="26"/>
                <w:szCs w:val="26"/>
                <w:u w:val="single"/>
              </w:rPr>
              <w:t>companies, enterprises</w:t>
            </w:r>
            <w:r>
              <w:rPr>
                <w:b/>
                <w:bCs/>
                <w:sz w:val="26"/>
                <w:szCs w:val="26"/>
                <w:u w:val="single"/>
              </w:rPr>
              <w:t>). DO NOT transfer from personal account</w:t>
            </w:r>
            <w:r>
              <w:rPr>
                <w:sz w:val="26"/>
                <w:szCs w:val="26"/>
              </w:rPr>
              <w:t>.</w:t>
            </w:r>
          </w:p>
          <w:p w14:paraId="708C64B7">
            <w:pPr>
              <w:widowControl w:val="0"/>
              <w:shd w:val="clear" w:color="auto" w:fill="FFFFFF"/>
              <w:spacing w:before="40" w:after="40" w:line="240" w:lineRule="auto"/>
              <w:jc w:val="both"/>
              <w:rPr>
                <w:color w:val="000000" w:themeColor="text1"/>
                <w:sz w:val="26"/>
                <w:szCs w:val="26"/>
                <w14:textFill>
                  <w14:solidFill>
                    <w14:schemeClr w14:val="tx1"/>
                  </w14:solidFill>
                </w14:textFill>
              </w:rPr>
            </w:pPr>
          </w:p>
          <w:p w14:paraId="708C64B8">
            <w:pPr>
              <w:widowControl w:val="0"/>
              <w:shd w:val="clear" w:color="auto" w:fill="FFFFFF"/>
              <w:spacing w:before="40" w:after="40" w:line="240" w:lineRule="auto"/>
              <w:jc w:val="both"/>
              <w:rPr>
                <w:color w:val="000000"/>
                <w:sz w:val="26"/>
                <w:szCs w:val="26"/>
              </w:rPr>
            </w:pPr>
            <w:r>
              <w:fldChar w:fldCharType="begin"/>
            </w:r>
            <w:r>
              <w:instrText xml:space="preserve"> HYPERLINK "https://forms.gle/UVtw8vzVZpBkhcWu9" </w:instrText>
            </w:r>
            <w:r>
              <w:fldChar w:fldCharType="separate"/>
            </w:r>
            <w:r>
              <w:rPr>
                <w:rStyle w:val="36"/>
                <w:sz w:val="26"/>
                <w:szCs w:val="26"/>
              </w:rPr>
              <w:t>https://forms.gle/UVtw8vzVZpBkhcWu9</w:t>
            </w:r>
            <w:r>
              <w:rPr>
                <w:rStyle w:val="36"/>
                <w:sz w:val="26"/>
                <w:szCs w:val="26"/>
              </w:rPr>
              <w:fldChar w:fldCharType="end"/>
            </w:r>
          </w:p>
          <w:p w14:paraId="708C64B9">
            <w:pPr>
              <w:widowControl w:val="0"/>
              <w:shd w:val="clear" w:color="auto" w:fill="FFFFFF"/>
              <w:spacing w:before="40" w:after="40" w:line="240" w:lineRule="auto"/>
              <w:jc w:val="both"/>
              <w:rPr>
                <w:color w:val="000000" w:themeColor="text1"/>
                <w:sz w:val="26"/>
                <w:szCs w:val="26"/>
                <w14:textFill>
                  <w14:solidFill>
                    <w14:schemeClr w14:val="tx1"/>
                  </w14:solidFill>
                </w14:textFill>
              </w:rPr>
            </w:pPr>
            <w:r>
              <w:rPr>
                <w:b/>
                <w:bCs/>
                <w:color w:val="000000"/>
                <w:sz w:val="26"/>
                <w:szCs w:val="26"/>
              </w:rPr>
              <w:t>(**)</w:t>
            </w:r>
            <w:r>
              <w:rPr>
                <w:color w:val="000000"/>
                <w:sz w:val="26"/>
                <w:szCs w:val="26"/>
              </w:rPr>
              <w:t xml:space="preserve"> To Interested Bidders in participating in the Bid, please fill in the information according to the above link so that NPMB can extract VAT invoices.</w:t>
            </w:r>
          </w:p>
        </w:tc>
      </w:tr>
      <w:tr w14:paraId="708C6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4BB">
            <w:pPr>
              <w:widowControl w:val="0"/>
              <w:tabs>
                <w:tab w:val="right" w:pos="7434"/>
              </w:tabs>
              <w:spacing w:before="60" w:after="60" w:line="240" w:lineRule="auto"/>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ITB 9</w:t>
            </w:r>
          </w:p>
        </w:tc>
        <w:tc>
          <w:tcPr>
            <w:tcW w:w="7655" w:type="dxa"/>
            <w:gridSpan w:val="2"/>
          </w:tcPr>
          <w:p w14:paraId="708C64BC">
            <w:pPr>
              <w:widowControl w:val="0"/>
              <w:shd w:val="clear" w:color="auto" w:fill="FFFFFF"/>
              <w:spacing w:before="40" w:after="40" w:line="240" w:lineRule="auto"/>
              <w:jc w:val="both"/>
              <w:rPr>
                <w:iCs/>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The Bid, as well as all correspondence and documents relating to the bid exchanged by the Bidder and the </w:t>
            </w:r>
            <w:r>
              <w:rPr>
                <w:iCs/>
                <w:color w:val="000000" w:themeColor="text1"/>
                <w:sz w:val="26"/>
                <w:szCs w:val="26"/>
                <w14:textFill>
                  <w14:solidFill>
                    <w14:schemeClr w14:val="tx1"/>
                  </w14:solidFill>
                </w14:textFill>
              </w:rPr>
              <w:t>Purchaser</w:t>
            </w:r>
            <w:r>
              <w:rPr>
                <w:color w:val="000000" w:themeColor="text1"/>
                <w:sz w:val="26"/>
                <w:szCs w:val="26"/>
                <w14:textFill>
                  <w14:solidFill>
                    <w14:schemeClr w14:val="tx1"/>
                  </w14:solidFill>
                </w14:textFill>
              </w:rPr>
              <w:t>, shall be written in English. Supporting documents and printed literature that are part of the Bid may be in another language provided they are accompanied by an accurate translation of the relevant passages into the English. In case of the translation missing, if necessary, the Purchaser may request the Bidder to submit additional. T</w:t>
            </w:r>
            <w:r>
              <w:rPr>
                <w:iCs/>
                <w:color w:val="000000" w:themeColor="text1"/>
                <w:sz w:val="26"/>
                <w:szCs w:val="26"/>
                <w14:textFill>
                  <w14:solidFill>
                    <w14:schemeClr w14:val="tx1"/>
                  </w14:solidFill>
                </w14:textFill>
              </w:rPr>
              <w:t>he following documentations:</w:t>
            </w:r>
          </w:p>
          <w:p w14:paraId="708C64BD">
            <w:pPr>
              <w:pStyle w:val="17"/>
              <w:numPr>
                <w:ilvl w:val="0"/>
                <w:numId w:val="37"/>
              </w:numPr>
              <w:shd w:val="clear" w:color="auto" w:fill="FFFFFF"/>
              <w:tabs>
                <w:tab w:val="left" w:pos="889"/>
              </w:tabs>
              <w:spacing w:before="40" w:after="40" w:line="240" w:lineRule="auto"/>
              <w:jc w:val="both"/>
              <w:rPr>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Test reports</w:t>
            </w:r>
          </w:p>
          <w:p w14:paraId="708C64BE">
            <w:pPr>
              <w:pStyle w:val="17"/>
              <w:numPr>
                <w:ilvl w:val="0"/>
                <w:numId w:val="37"/>
              </w:numPr>
              <w:shd w:val="clear" w:color="auto" w:fill="FFFFFF"/>
              <w:tabs>
                <w:tab w:val="left" w:pos="889"/>
              </w:tabs>
              <w:spacing w:before="40" w:after="40" w:line="240" w:lineRule="auto"/>
              <w:ind w:left="314" w:firstLine="0"/>
              <w:jc w:val="both"/>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Similar contracts (including: contract agreement; price schedule; acceptance certificate; consortium agreement (if any); others.</w:t>
            </w:r>
          </w:p>
          <w:p w14:paraId="708C64BF">
            <w:pPr>
              <w:pStyle w:val="17"/>
              <w:numPr>
                <w:ilvl w:val="0"/>
                <w:numId w:val="37"/>
              </w:numPr>
              <w:shd w:val="clear" w:color="auto" w:fill="FFFFFF"/>
              <w:tabs>
                <w:tab w:val="left" w:pos="889"/>
              </w:tabs>
              <w:spacing w:before="40" w:after="40" w:line="240" w:lineRule="auto"/>
              <w:ind w:left="314" w:firstLine="0"/>
              <w:jc w:val="both"/>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Financial Reports</w:t>
            </w:r>
            <w:r>
              <w:rPr>
                <w:i/>
                <w:strike/>
                <w:color w:val="000000" w:themeColor="text1"/>
                <w:sz w:val="26"/>
                <w:szCs w:val="26"/>
                <w14:textFill>
                  <w14:solidFill>
                    <w14:schemeClr w14:val="tx1"/>
                  </w14:solidFill>
                </w14:textFill>
              </w:rPr>
              <w:t>.</w:t>
            </w:r>
          </w:p>
          <w:p w14:paraId="708C64C0">
            <w:pPr>
              <w:pStyle w:val="17"/>
              <w:numPr>
                <w:ilvl w:val="0"/>
                <w:numId w:val="37"/>
              </w:numPr>
              <w:shd w:val="clear" w:color="auto" w:fill="FFFFFF"/>
              <w:tabs>
                <w:tab w:val="left" w:pos="889"/>
              </w:tabs>
              <w:spacing w:before="40" w:after="40" w:line="240" w:lineRule="auto"/>
              <w:ind w:left="314" w:firstLine="0"/>
              <w:jc w:val="both"/>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Other documents (if required in the bid evaluation process).</w:t>
            </w:r>
          </w:p>
          <w:p w14:paraId="708C64C1">
            <w:pPr>
              <w:shd w:val="clear" w:color="auto" w:fill="FFFFFF"/>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English translated version without public notarization of the above documents shall not be considered for further evaluation.</w:t>
            </w:r>
          </w:p>
          <w:p w14:paraId="708C64C2">
            <w:pPr>
              <w:widowControl w:val="0"/>
              <w:tabs>
                <w:tab w:val="right" w:pos="7254"/>
              </w:tabs>
              <w:spacing w:before="60" w:after="60" w:line="240" w:lineRule="auto"/>
              <w:jc w:val="both"/>
              <w:rPr>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 xml:space="preserve">In case the Vietnamese bidder is awarded the contract, the contract will be written by language as stipulated in Article 11 of Decree 37/2015/ND-CP dated 22/04/2015 of the Government </w:t>
            </w:r>
            <w:r>
              <w:rPr>
                <w:i/>
                <w:iCs/>
                <w:color w:val="000000" w:themeColor="text1"/>
                <w:sz w:val="26"/>
                <w:szCs w:val="26"/>
                <w14:textFill>
                  <w14:solidFill>
                    <w14:schemeClr w14:val="tx1"/>
                  </w14:solidFill>
                </w14:textFill>
              </w:rPr>
              <w:t>and</w:t>
            </w:r>
            <w:r>
              <w:rPr>
                <w:i/>
                <w:color w:val="000000" w:themeColor="text1"/>
                <w:sz w:val="26"/>
                <w:szCs w:val="26"/>
                <w14:textFill>
                  <w14:solidFill>
                    <w14:schemeClr w14:val="tx1"/>
                  </w14:solidFill>
                </w14:textFill>
              </w:rPr>
              <w:t xml:space="preserve"> </w:t>
            </w:r>
            <w:r>
              <w:rPr>
                <w:i/>
                <w:iCs/>
                <w:color w:val="000000" w:themeColor="text1"/>
                <w:sz w:val="26"/>
                <w:szCs w:val="26"/>
                <w14:textFill>
                  <w14:solidFill>
                    <w14:schemeClr w14:val="tx1"/>
                  </w14:solidFill>
                </w14:textFill>
              </w:rPr>
              <w:t>Decree No.50/202021/ND-CP dated April 01, 2021,</w:t>
            </w:r>
            <w:r>
              <w:rPr>
                <w:i/>
                <w:color w:val="000000" w:themeColor="text1"/>
                <w:sz w:val="26"/>
                <w:szCs w:val="26"/>
                <w14:textFill>
                  <w14:solidFill>
                    <w14:schemeClr w14:val="tx1"/>
                  </w14:solidFill>
                </w14:textFill>
              </w:rPr>
              <w:t xml:space="preserve"> </w:t>
            </w:r>
            <w:r>
              <w:rPr>
                <w:i/>
                <w:iCs/>
                <w:color w:val="000000" w:themeColor="text1"/>
                <w:sz w:val="26"/>
                <w:szCs w:val="26"/>
                <w14:textFill>
                  <w14:solidFill>
                    <w14:schemeClr w14:val="tx1"/>
                  </w14:solidFill>
                </w14:textFill>
              </w:rPr>
              <w:t>detailed regulations on construction contract and</w:t>
            </w:r>
            <w:r>
              <w:rPr>
                <w:i/>
                <w:color w:val="000000" w:themeColor="text1"/>
                <w:sz w:val="26"/>
                <w:szCs w:val="26"/>
                <w14:textFill>
                  <w14:solidFill>
                    <w14:schemeClr w14:val="tx1"/>
                  </w14:solidFill>
                </w14:textFill>
              </w:rPr>
              <w:t xml:space="preserve"> </w:t>
            </w:r>
            <w:r>
              <w:rPr>
                <w:i/>
                <w:iCs/>
                <w:color w:val="000000" w:themeColor="text1"/>
                <w:sz w:val="26"/>
                <w:szCs w:val="26"/>
                <w14:textFill>
                  <w14:solidFill>
                    <w14:schemeClr w14:val="tx1"/>
                  </w14:solidFill>
                </w14:textFill>
              </w:rPr>
              <w:t>other relevant laws.</w:t>
            </w:r>
            <w:r>
              <w:rPr>
                <w:i/>
                <w:color w:val="000000" w:themeColor="text1"/>
                <w:sz w:val="26"/>
                <w:szCs w:val="26"/>
                <w14:textFill>
                  <w14:solidFill>
                    <w14:schemeClr w14:val="tx1"/>
                  </w14:solidFill>
                </w14:textFill>
              </w:rPr>
              <w:t>.</w:t>
            </w:r>
          </w:p>
        </w:tc>
      </w:tr>
      <w:tr w14:paraId="708C6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4C4">
            <w:pPr>
              <w:widowControl w:val="0"/>
              <w:tabs>
                <w:tab w:val="right" w:pos="7434"/>
              </w:tabs>
              <w:spacing w:before="60" w:after="60" w:line="240" w:lineRule="auto"/>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ITB 10.10</w:t>
            </w:r>
          </w:p>
        </w:tc>
        <w:tc>
          <w:tcPr>
            <w:tcW w:w="7655" w:type="dxa"/>
            <w:gridSpan w:val="2"/>
          </w:tcPr>
          <w:p w14:paraId="708C64C5">
            <w:pPr>
              <w:pStyle w:val="86"/>
              <w:widowControl w:val="0"/>
              <w:numPr>
                <w:ilvl w:val="0"/>
                <w:numId w:val="38"/>
              </w:numPr>
              <w:shd w:val="clear" w:color="auto" w:fill="FFFFFF"/>
              <w:spacing w:before="40" w:after="40"/>
              <w:ind w:left="287" w:hanging="287"/>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A commitment to operating life for each type of equipment. </w:t>
            </w:r>
          </w:p>
          <w:p w14:paraId="708C64C6">
            <w:pPr>
              <w:pStyle w:val="86"/>
              <w:widowControl w:val="0"/>
              <w:numPr>
                <w:ilvl w:val="0"/>
                <w:numId w:val="38"/>
              </w:numPr>
              <w:shd w:val="clear" w:color="auto" w:fill="FFFFFF"/>
              <w:spacing w:before="40" w:after="40"/>
              <w:ind w:left="287" w:hanging="287"/>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A commitment to the rate (probability) of defects and failures of each type of equipment and a commitment to be present at site to investigate and determine the cause of the defect, failure, or breakdown and to remedy if due to manufacturer's fault when requested by the Purchaser  </w:t>
            </w:r>
          </w:p>
        </w:tc>
      </w:tr>
      <w:tr w14:paraId="708C6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4C8">
            <w:pPr>
              <w:widowControl w:val="0"/>
              <w:tabs>
                <w:tab w:val="right" w:pos="7434"/>
              </w:tabs>
              <w:spacing w:before="60" w:after="60" w:line="240" w:lineRule="auto"/>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ITB 12.1</w:t>
            </w:r>
          </w:p>
        </w:tc>
        <w:tc>
          <w:tcPr>
            <w:tcW w:w="7655" w:type="dxa"/>
            <w:gridSpan w:val="2"/>
          </w:tcPr>
          <w:p w14:paraId="708C64C9">
            <w:pPr>
              <w:widowControl w:val="0"/>
              <w:tabs>
                <w:tab w:val="right" w:pos="7254"/>
              </w:tabs>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Alternative Technical Proposal shall not be considered.</w:t>
            </w:r>
          </w:p>
        </w:tc>
      </w:tr>
      <w:tr w14:paraId="708C6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4CB">
            <w:pPr>
              <w:widowControl w:val="0"/>
              <w:tabs>
                <w:tab w:val="right" w:pos="7434"/>
              </w:tabs>
              <w:spacing w:before="60" w:after="60" w:line="240" w:lineRule="auto"/>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ITB</w:t>
            </w:r>
            <w:r>
              <w:rPr>
                <w:b/>
                <w:bCs/>
                <w:color w:val="000000" w:themeColor="text1"/>
                <w:sz w:val="26"/>
                <w:szCs w:val="26"/>
                <w14:textFill>
                  <w14:solidFill>
                    <w14:schemeClr w14:val="tx1"/>
                  </w14:solidFill>
                </w14:textFill>
              </w:rPr>
              <w:t xml:space="preserve"> 13.4</w:t>
            </w:r>
          </w:p>
        </w:tc>
        <w:tc>
          <w:tcPr>
            <w:tcW w:w="7655" w:type="dxa"/>
            <w:gridSpan w:val="2"/>
          </w:tcPr>
          <w:p w14:paraId="708C64CC">
            <w:pPr>
              <w:widowControl w:val="0"/>
              <w:tabs>
                <w:tab w:val="right" w:pos="7254"/>
              </w:tabs>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N/A</w:t>
            </w:r>
          </w:p>
        </w:tc>
      </w:tr>
      <w:tr w14:paraId="708C6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4CE">
            <w:pPr>
              <w:widowControl w:val="0"/>
              <w:tabs>
                <w:tab w:val="right" w:pos="7434"/>
              </w:tabs>
              <w:spacing w:before="60" w:after="60" w:line="240" w:lineRule="auto"/>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ITB</w:t>
            </w:r>
            <w:r>
              <w:rPr>
                <w:b/>
                <w:bCs/>
                <w:color w:val="000000" w:themeColor="text1"/>
                <w:sz w:val="26"/>
                <w:szCs w:val="26"/>
                <w14:textFill>
                  <w14:solidFill>
                    <w14:schemeClr w14:val="tx1"/>
                  </w14:solidFill>
                </w14:textFill>
              </w:rPr>
              <w:t xml:space="preserve"> 13.5</w:t>
            </w:r>
          </w:p>
        </w:tc>
        <w:tc>
          <w:tcPr>
            <w:tcW w:w="7655" w:type="dxa"/>
            <w:gridSpan w:val="2"/>
          </w:tcPr>
          <w:p w14:paraId="708C64CF">
            <w:pPr>
              <w:widowControl w:val="0"/>
              <w:tabs>
                <w:tab w:val="right" w:pos="7254"/>
              </w:tabs>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Incoterms Edition: Incoterms 2020 published by the International Chamber of Commerce, Paris</w:t>
            </w:r>
          </w:p>
        </w:tc>
      </w:tr>
      <w:tr w14:paraId="708C6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4D1">
            <w:pPr>
              <w:widowControl w:val="0"/>
              <w:tabs>
                <w:tab w:val="right" w:pos="7434"/>
              </w:tabs>
              <w:spacing w:before="60" w:after="60" w:line="240" w:lineRule="auto"/>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ITB</w:t>
            </w:r>
            <w:r>
              <w:rPr>
                <w:b/>
                <w:bCs/>
                <w:color w:val="000000" w:themeColor="text1"/>
                <w:sz w:val="26"/>
                <w:szCs w:val="26"/>
                <w14:textFill>
                  <w14:solidFill>
                    <w14:schemeClr w14:val="tx1"/>
                  </w14:solidFill>
                </w14:textFill>
              </w:rPr>
              <w:t xml:space="preserve"> 13.6(a)(iii)</w:t>
            </w:r>
          </w:p>
        </w:tc>
        <w:tc>
          <w:tcPr>
            <w:tcW w:w="7655" w:type="dxa"/>
            <w:gridSpan w:val="2"/>
          </w:tcPr>
          <w:p w14:paraId="708C64D2">
            <w:pPr>
              <w:widowControl w:val="0"/>
              <w:tabs>
                <w:tab w:val="right" w:pos="7254"/>
              </w:tabs>
              <w:spacing w:before="60" w:after="60" w:line="240" w:lineRule="auto"/>
              <w:jc w:val="both"/>
              <w:rPr>
                <w:iCs/>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Final destination: </w:t>
            </w:r>
            <w:r>
              <w:rPr>
                <w:iCs/>
                <w:color w:val="000000" w:themeColor="text1"/>
                <w:sz w:val="26"/>
                <w:szCs w:val="26"/>
                <w14:textFill>
                  <w14:solidFill>
                    <w14:schemeClr w14:val="tx1"/>
                  </w14:solidFill>
                </w14:textFill>
              </w:rPr>
              <w:t xml:space="preserve">500kV Hai Phong substation is located in An Quang Commune, Hai Phong City, Vietnam </w:t>
            </w:r>
            <w:r>
              <w:rPr>
                <w:sz w:val="26"/>
                <w:szCs w:val="26"/>
              </w:rPr>
              <w:t>(</w:t>
            </w:r>
            <w:r>
              <w:rPr>
                <w:i/>
                <w:iCs/>
                <w:sz w:val="26"/>
                <w:szCs w:val="26"/>
              </w:rPr>
              <w:t>shall be clarified in the period of contract negotiatio</w:t>
            </w:r>
            <w:r>
              <w:rPr>
                <w:i/>
                <w:sz w:val="26"/>
                <w:szCs w:val="26"/>
              </w:rPr>
              <w:t>n</w:t>
            </w:r>
            <w:r>
              <w:rPr>
                <w:sz w:val="26"/>
                <w:szCs w:val="26"/>
              </w:rPr>
              <w:t>).</w:t>
            </w:r>
          </w:p>
        </w:tc>
      </w:tr>
      <w:tr w14:paraId="708C6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4D4">
            <w:pPr>
              <w:widowControl w:val="0"/>
              <w:tabs>
                <w:tab w:val="right" w:pos="7434"/>
              </w:tabs>
              <w:spacing w:before="60" w:after="60" w:line="240" w:lineRule="auto"/>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ITB</w:t>
            </w:r>
            <w:r>
              <w:rPr>
                <w:b/>
                <w:bCs/>
                <w:color w:val="000000" w:themeColor="text1"/>
                <w:sz w:val="26"/>
                <w:szCs w:val="26"/>
                <w14:textFill>
                  <w14:solidFill>
                    <w14:schemeClr w14:val="tx1"/>
                  </w14:solidFill>
                </w14:textFill>
              </w:rPr>
              <w:t xml:space="preserve"> 13.6(b)(i)</w:t>
            </w:r>
          </w:p>
        </w:tc>
        <w:tc>
          <w:tcPr>
            <w:tcW w:w="7655" w:type="dxa"/>
            <w:gridSpan w:val="2"/>
          </w:tcPr>
          <w:p w14:paraId="708C64D5">
            <w:pPr>
              <w:widowControl w:val="0"/>
              <w:tabs>
                <w:tab w:val="right" w:pos="7254"/>
              </w:tabs>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Destination: CIP Vietnam seaport/airport </w:t>
            </w:r>
          </w:p>
        </w:tc>
      </w:tr>
      <w:tr w14:paraId="708C6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4D7">
            <w:pPr>
              <w:widowControl w:val="0"/>
              <w:tabs>
                <w:tab w:val="right" w:pos="7434"/>
              </w:tabs>
              <w:spacing w:before="60" w:after="60" w:line="240" w:lineRule="auto"/>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ITB</w:t>
            </w:r>
            <w:r>
              <w:rPr>
                <w:b/>
                <w:bCs/>
                <w:color w:val="000000" w:themeColor="text1"/>
                <w:sz w:val="26"/>
                <w:szCs w:val="26"/>
                <w14:textFill>
                  <w14:solidFill>
                    <w14:schemeClr w14:val="tx1"/>
                  </w14:solidFill>
                </w14:textFill>
              </w:rPr>
              <w:t xml:space="preserve"> 13.6(b)(ii)</w:t>
            </w:r>
          </w:p>
        </w:tc>
        <w:tc>
          <w:tcPr>
            <w:tcW w:w="7655" w:type="dxa"/>
            <w:gridSpan w:val="2"/>
          </w:tcPr>
          <w:p w14:paraId="708C64D8">
            <w:pPr>
              <w:widowControl w:val="0"/>
              <w:tabs>
                <w:tab w:val="right" w:pos="7254"/>
              </w:tabs>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Final destination: </w:t>
            </w:r>
            <w:r>
              <w:rPr>
                <w:iCs/>
                <w:color w:val="000000" w:themeColor="text1"/>
                <w:sz w:val="26"/>
                <w:szCs w:val="26"/>
                <w14:textFill>
                  <w14:solidFill>
                    <w14:schemeClr w14:val="tx1"/>
                  </w14:solidFill>
                </w14:textFill>
              </w:rPr>
              <w:t xml:space="preserve">500kV Hai Phong substation is located in An Quang Commune, Hai Phong City, Vietnam </w:t>
            </w:r>
            <w:r>
              <w:rPr>
                <w:sz w:val="26"/>
                <w:szCs w:val="26"/>
              </w:rPr>
              <w:t>(</w:t>
            </w:r>
            <w:r>
              <w:rPr>
                <w:i/>
                <w:iCs/>
                <w:sz w:val="26"/>
                <w:szCs w:val="26"/>
              </w:rPr>
              <w:t>shall be clarified in the period of contract negotiatio</w:t>
            </w:r>
            <w:r>
              <w:rPr>
                <w:i/>
                <w:sz w:val="26"/>
                <w:szCs w:val="26"/>
              </w:rPr>
              <w:t>n</w:t>
            </w:r>
            <w:r>
              <w:rPr>
                <w:sz w:val="26"/>
                <w:szCs w:val="26"/>
              </w:rPr>
              <w:t>).</w:t>
            </w:r>
          </w:p>
        </w:tc>
      </w:tr>
      <w:tr w14:paraId="708C6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4DA">
            <w:pPr>
              <w:widowControl w:val="0"/>
              <w:tabs>
                <w:tab w:val="right" w:pos="7434"/>
              </w:tabs>
              <w:spacing w:before="60" w:after="60" w:line="240" w:lineRule="auto"/>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ITB</w:t>
            </w:r>
            <w:r>
              <w:rPr>
                <w:b/>
                <w:bCs/>
                <w:color w:val="000000" w:themeColor="text1"/>
                <w:sz w:val="26"/>
                <w:szCs w:val="26"/>
                <w14:textFill>
                  <w14:solidFill>
                    <w14:schemeClr w14:val="tx1"/>
                  </w14:solidFill>
                </w14:textFill>
              </w:rPr>
              <w:t xml:space="preserve"> 13.6(c)(v)</w:t>
            </w:r>
          </w:p>
        </w:tc>
        <w:tc>
          <w:tcPr>
            <w:tcW w:w="7655" w:type="dxa"/>
            <w:gridSpan w:val="2"/>
          </w:tcPr>
          <w:p w14:paraId="708C64DB">
            <w:pPr>
              <w:widowControl w:val="0"/>
              <w:tabs>
                <w:tab w:val="right" w:pos="7254"/>
              </w:tabs>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Final destination: </w:t>
            </w:r>
            <w:r>
              <w:rPr>
                <w:iCs/>
                <w:color w:val="000000" w:themeColor="text1"/>
                <w:sz w:val="26"/>
                <w:szCs w:val="26"/>
                <w14:textFill>
                  <w14:solidFill>
                    <w14:schemeClr w14:val="tx1"/>
                  </w14:solidFill>
                </w14:textFill>
              </w:rPr>
              <w:t xml:space="preserve">500kV Hai Phong substation is located in An Quang Commune, Hai Phong City, Vietnam </w:t>
            </w:r>
            <w:r>
              <w:rPr>
                <w:sz w:val="26"/>
                <w:szCs w:val="26"/>
              </w:rPr>
              <w:t>(</w:t>
            </w:r>
            <w:r>
              <w:rPr>
                <w:i/>
                <w:iCs/>
                <w:sz w:val="26"/>
                <w:szCs w:val="26"/>
              </w:rPr>
              <w:t>shall be clarified in the period of contract negotiatio</w:t>
            </w:r>
            <w:r>
              <w:rPr>
                <w:i/>
                <w:sz w:val="26"/>
                <w:szCs w:val="26"/>
              </w:rPr>
              <w:t>n</w:t>
            </w:r>
            <w:r>
              <w:rPr>
                <w:sz w:val="26"/>
                <w:szCs w:val="26"/>
              </w:rPr>
              <w:t>).</w:t>
            </w:r>
          </w:p>
        </w:tc>
      </w:tr>
      <w:tr w14:paraId="708C6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4DD">
            <w:pPr>
              <w:widowControl w:val="0"/>
              <w:tabs>
                <w:tab w:val="right" w:pos="7434"/>
              </w:tabs>
              <w:spacing w:before="60" w:after="60" w:line="240" w:lineRule="auto"/>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ITB 14.1</w:t>
            </w:r>
          </w:p>
        </w:tc>
        <w:tc>
          <w:tcPr>
            <w:tcW w:w="7655" w:type="dxa"/>
            <w:gridSpan w:val="2"/>
          </w:tcPr>
          <w:p w14:paraId="708C64DE">
            <w:pPr>
              <w:widowControl w:val="0"/>
              <w:shd w:val="clear" w:color="auto" w:fill="FFFFFF"/>
              <w:tabs>
                <w:tab w:val="right" w:pos="7254"/>
              </w:tabs>
              <w:spacing w:before="40" w:after="40" w:line="240" w:lineRule="auto"/>
              <w:jc w:val="both"/>
              <w:rPr>
                <w:sz w:val="26"/>
                <w:szCs w:val="26"/>
              </w:rPr>
            </w:pPr>
            <w:r>
              <w:rPr>
                <w:color w:val="000000" w:themeColor="text1"/>
                <w:sz w:val="26"/>
                <w:szCs w:val="26"/>
                <w14:textFill>
                  <w14:solidFill>
                    <w14:schemeClr w14:val="tx1"/>
                  </w14:solidFill>
                </w14:textFill>
              </w:rPr>
              <w:t>Currencies of Bid: The Bidder may express the bid price in any currency. If the Bidder wishes to be paid in a combination of amounts in different curren</w:t>
            </w:r>
            <w:r>
              <w:rPr>
                <w:sz w:val="26"/>
                <w:szCs w:val="26"/>
              </w:rPr>
              <w:t>cies, it may quote its price accordingly but shall use no more than two foreign currencies (recommend to use USD and/or Euro currencies) in addition to the currency of the Purchaser’s Country.</w:t>
            </w:r>
          </w:p>
          <w:p w14:paraId="708C64DF">
            <w:pPr>
              <w:pStyle w:val="97"/>
              <w:shd w:val="clear" w:color="auto" w:fill="FFFFFF"/>
              <w:spacing w:before="40" w:after="40"/>
              <w:ind w:left="0"/>
              <w:contextualSpacing w:val="0"/>
              <w:rPr>
                <w:b/>
                <w:sz w:val="26"/>
                <w:szCs w:val="26"/>
              </w:rPr>
            </w:pPr>
            <w:r>
              <w:rPr>
                <w:sz w:val="26"/>
                <w:szCs w:val="26"/>
              </w:rPr>
              <w:t>For Goods and Related Services manufactured or processed within the Vietnam, those prices must be quoted in Purchaser’s country currency (Vietnam Dong).</w:t>
            </w:r>
          </w:p>
          <w:p w14:paraId="708C64E0">
            <w:pPr>
              <w:widowControl w:val="0"/>
              <w:shd w:val="clear" w:color="auto" w:fill="FFFFFF"/>
              <w:tabs>
                <w:tab w:val="right" w:pos="7254"/>
              </w:tabs>
              <w:spacing w:before="40" w:after="40" w:line="240" w:lineRule="auto"/>
              <w:jc w:val="both"/>
              <w:rPr>
                <w:sz w:val="26"/>
                <w:szCs w:val="26"/>
              </w:rPr>
            </w:pPr>
            <w:r>
              <w:rPr>
                <w:sz w:val="26"/>
                <w:szCs w:val="26"/>
              </w:rPr>
              <w:t>In cases bidders are allowed to offer in foreign currencies, they must be requested to prove the contents of their work using foreign currency (ies) enclosed with a detailed list of corresponding contents of work and the foreign currency value. It must be ensured that for one particular item, only one currency shall be quoted; The domestic costs must be offered in VND and foreign costs related to the package are offered in foreign currency or Vietnam Dong.</w:t>
            </w:r>
          </w:p>
          <w:p w14:paraId="708C64E1">
            <w:pPr>
              <w:widowControl w:val="0"/>
              <w:tabs>
                <w:tab w:val="right" w:pos="7254"/>
              </w:tabs>
              <w:spacing w:before="60" w:after="60" w:line="240" w:lineRule="auto"/>
              <w:jc w:val="both"/>
              <w:rPr>
                <w:color w:val="000000" w:themeColor="text1"/>
                <w:sz w:val="26"/>
                <w:szCs w:val="26"/>
                <w14:textFill>
                  <w14:solidFill>
                    <w14:schemeClr w14:val="tx1"/>
                  </w14:solidFill>
                </w14:textFill>
              </w:rPr>
            </w:pPr>
            <w:r>
              <w:rPr>
                <w:sz w:val="26"/>
                <w:szCs w:val="26"/>
                <w:shd w:val="clear" w:color="auto" w:fill="FFFFFF"/>
              </w:rPr>
              <w:t>The currency that shall be used f</w:t>
            </w:r>
            <w:r>
              <w:rPr>
                <w:color w:val="000000" w:themeColor="text1"/>
                <w:sz w:val="26"/>
                <w:szCs w:val="26"/>
                <w:shd w:val="clear" w:color="auto" w:fill="FFFFFF"/>
                <w14:textFill>
                  <w14:solidFill>
                    <w14:schemeClr w14:val="tx1"/>
                  </w14:solidFill>
                </w14:textFill>
              </w:rPr>
              <w:t>or purposes of bid evaluation and comparison to approved procurement package price shall be Vietnam Dong (VND). The source of exchange rate shall be made at the selling rate published by Bank for Foreign Trade of Vietnam (Vietcombank) on the date 28 days prior to the deadline for bid submission</w:t>
            </w:r>
          </w:p>
        </w:tc>
      </w:tr>
      <w:tr w14:paraId="708C6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4E3">
            <w:pPr>
              <w:widowControl w:val="0"/>
              <w:tabs>
                <w:tab w:val="right" w:pos="7434"/>
              </w:tabs>
              <w:spacing w:before="60" w:after="6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ITB 15.7</w:t>
            </w:r>
          </w:p>
        </w:tc>
        <w:tc>
          <w:tcPr>
            <w:tcW w:w="7655" w:type="dxa"/>
            <w:gridSpan w:val="2"/>
          </w:tcPr>
          <w:p w14:paraId="708C64E4">
            <w:pPr>
              <w:widowControl w:val="0"/>
              <w:tabs>
                <w:tab w:val="right" w:pos="7254"/>
              </w:tabs>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Period of time the Goods are expected to be functioning (for the purpose of spare parts): are described specifically in Section V - Scope of Supply of the BDs.</w:t>
            </w:r>
          </w:p>
        </w:tc>
      </w:tr>
      <w:tr w14:paraId="708C6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4E6">
            <w:pPr>
              <w:widowControl w:val="0"/>
              <w:tabs>
                <w:tab w:val="right" w:pos="7434"/>
              </w:tabs>
              <w:spacing w:before="60" w:after="60" w:line="240" w:lineRule="auto"/>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ITB 15.9</w:t>
            </w:r>
          </w:p>
          <w:p w14:paraId="708C64E7">
            <w:pPr>
              <w:widowControl w:val="0"/>
              <w:tabs>
                <w:tab w:val="right" w:pos="7434"/>
              </w:tabs>
              <w:spacing w:before="60" w:after="60" w:line="240" w:lineRule="auto"/>
              <w:jc w:val="both"/>
              <w:rPr>
                <w:b/>
                <w:color w:val="000000" w:themeColor="text1"/>
                <w:sz w:val="26"/>
                <w:szCs w:val="26"/>
                <w14:textFill>
                  <w14:solidFill>
                    <w14:schemeClr w14:val="tx1"/>
                  </w14:solidFill>
                </w14:textFill>
              </w:rPr>
            </w:pPr>
          </w:p>
        </w:tc>
        <w:tc>
          <w:tcPr>
            <w:tcW w:w="7655" w:type="dxa"/>
            <w:gridSpan w:val="2"/>
          </w:tcPr>
          <w:p w14:paraId="708C64E8">
            <w:pPr>
              <w:widowControl w:val="0"/>
              <w:tabs>
                <w:tab w:val="right" w:pos="7254"/>
              </w:tabs>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Other requirements of goods eligibility:</w:t>
            </w:r>
          </w:p>
          <w:p w14:paraId="708C64E9">
            <w:pPr>
              <w:widowControl w:val="0"/>
              <w:shd w:val="clear" w:color="auto" w:fill="FFFFFF"/>
              <w:tabs>
                <w:tab w:val="right" w:pos="7254"/>
              </w:tabs>
              <w:spacing w:before="40" w:after="40" w:line="240" w:lineRule="auto"/>
              <w:jc w:val="both"/>
              <w:rPr>
                <w:color w:val="000000" w:themeColor="text1"/>
                <w:sz w:val="26"/>
                <w:szCs w:val="26"/>
                <w14:textFill>
                  <w14:solidFill>
                    <w14:schemeClr w14:val="tx1"/>
                  </w14:solidFill>
                </w14:textFill>
              </w:rPr>
            </w:pPr>
            <w:bookmarkStart w:id="6" w:name="OLE_LINK10"/>
            <w:bookmarkStart w:id="7" w:name="OLE_LINK9"/>
            <w:r>
              <w:rPr>
                <w:color w:val="000000" w:themeColor="text1"/>
                <w:sz w:val="26"/>
                <w:szCs w:val="26"/>
                <w14:textFill>
                  <w14:solidFill>
                    <w14:schemeClr w14:val="tx1"/>
                  </w14:solidFill>
                </w14:textFill>
              </w:rPr>
              <w:t>All goods and services supplied under the Contract shall have obvious, legal origin and shall be allowed to be circulation within Vietnam and import into Vietnam (if any) and ensure that all goods supplied are 100% brand-new.</w:t>
            </w:r>
          </w:p>
          <w:bookmarkEnd w:id="6"/>
          <w:bookmarkEnd w:id="7"/>
          <w:p w14:paraId="708C64EA">
            <w:pPr>
              <w:widowControl w:val="0"/>
              <w:shd w:val="clear" w:color="auto" w:fill="FFFFFF"/>
              <w:tabs>
                <w:tab w:val="right" w:pos="7254"/>
              </w:tabs>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origin of goods:</w:t>
            </w:r>
          </w:p>
          <w:p w14:paraId="708C64EB">
            <w:pPr>
              <w:widowControl w:val="0"/>
              <w:tabs>
                <w:tab w:val="right" w:pos="7254"/>
              </w:tabs>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If the goods is manufactured or proceeded from abroad, the Bidder shall be required to submit the Certificate of Origin (C/O) issued by Chamber of Commerce and Industry or the competent authority, together with other documents required in the Special Conditions of Contract.</w:t>
            </w:r>
          </w:p>
          <w:p w14:paraId="708C64EC">
            <w:pPr>
              <w:widowControl w:val="0"/>
              <w:tabs>
                <w:tab w:val="right" w:pos="7254"/>
              </w:tabs>
              <w:spacing w:before="60" w:after="60" w:line="240" w:lineRule="auto"/>
              <w:jc w:val="both"/>
              <w:rPr>
                <w:b/>
                <w:bCs/>
                <w:color w:val="FF0000"/>
                <w:sz w:val="32"/>
                <w:szCs w:val="32"/>
              </w:rPr>
            </w:pPr>
            <w:r>
              <w:rPr>
                <w:b/>
                <w:bCs/>
                <w:color w:val="000000" w:themeColor="text1"/>
                <w:sz w:val="26"/>
                <w:szCs w:val="26"/>
                <w14:textFill>
                  <w14:solidFill>
                    <w14:schemeClr w14:val="tx1"/>
                  </w14:solidFill>
                </w14:textFill>
              </w:rPr>
              <w:t xml:space="preserve">The following equipment and materials shall not be accepted: </w:t>
            </w:r>
          </w:p>
          <w:p w14:paraId="708C64ED">
            <w:pPr>
              <w:widowControl w:val="0"/>
              <w:tabs>
                <w:tab w:val="right" w:pos="7254"/>
              </w:tabs>
              <w:spacing w:before="60" w:after="60" w:line="240" w:lineRule="auto"/>
              <w:jc w:val="both"/>
              <w:rPr>
                <w:color w:val="000000" w:themeColor="text1"/>
                <w:sz w:val="26"/>
                <w:szCs w:val="26"/>
                <w14:textFill>
                  <w14:solidFill>
                    <w14:schemeClr w14:val="tx1"/>
                  </w14:solidFill>
                </w14:textFill>
              </w:rPr>
            </w:pPr>
            <w:r>
              <w:rPr>
                <w:b/>
                <w:sz w:val="26"/>
                <w:szCs w:val="26"/>
              </w:rPr>
              <w:t>All equipment: Disconnector Switch (Designation HCB) from Siemens – India; All 220kV, 110kV CVT (Designation WP 245 N2 and WN 145 N2) from ABB – INDIA.</w:t>
            </w:r>
          </w:p>
        </w:tc>
      </w:tr>
      <w:tr w14:paraId="708C6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4EF">
            <w:pPr>
              <w:widowControl w:val="0"/>
              <w:tabs>
                <w:tab w:val="right" w:pos="7434"/>
              </w:tabs>
              <w:spacing w:before="60" w:after="60" w:line="240" w:lineRule="auto"/>
              <w:jc w:val="both"/>
              <w:rPr>
                <w:b/>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ITB 16.2</w:t>
            </w:r>
          </w:p>
        </w:tc>
        <w:tc>
          <w:tcPr>
            <w:tcW w:w="7655" w:type="dxa"/>
            <w:gridSpan w:val="2"/>
          </w:tcPr>
          <w:p w14:paraId="708C64F0">
            <w:pPr>
              <w:pStyle w:val="86"/>
              <w:widowControl w:val="0"/>
              <w:shd w:val="clear" w:color="auto" w:fill="FFFFFF"/>
              <w:spacing w:before="40" w:after="40"/>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The documentary evidence of the Bidder’s qualifications to perform the contract if its bid is accepted:</w:t>
            </w:r>
          </w:p>
          <w:p w14:paraId="708C64F1">
            <w:pPr>
              <w:pStyle w:val="86"/>
              <w:widowControl w:val="0"/>
              <w:numPr>
                <w:ilvl w:val="0"/>
                <w:numId w:val="38"/>
              </w:numPr>
              <w:shd w:val="clear" w:color="auto" w:fill="FFFFFF"/>
              <w:spacing w:before="40" w:after="40"/>
              <w:ind w:left="283" w:hanging="283"/>
              <w:rPr>
                <w:color w:val="FF0000"/>
                <w:spacing w:val="0"/>
                <w:sz w:val="26"/>
                <w:szCs w:val="26"/>
              </w:rPr>
            </w:pPr>
            <w:r>
              <w:rPr>
                <w:spacing w:val="0"/>
                <w:sz w:val="26"/>
                <w:szCs w:val="26"/>
              </w:rPr>
              <w:t xml:space="preserve">No Sales License or Manufacturer’s Authorization letter, distribution agent or Certificate of partnership or other equivalent documents is required; </w:t>
            </w:r>
          </w:p>
        </w:tc>
      </w:tr>
      <w:tr w14:paraId="708C6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4F3">
            <w:pPr>
              <w:widowControl w:val="0"/>
              <w:tabs>
                <w:tab w:val="right" w:pos="7434"/>
              </w:tabs>
              <w:spacing w:before="60" w:after="60" w:line="240" w:lineRule="auto"/>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ITB 17.1</w:t>
            </w:r>
          </w:p>
        </w:tc>
        <w:tc>
          <w:tcPr>
            <w:tcW w:w="7655" w:type="dxa"/>
            <w:gridSpan w:val="2"/>
          </w:tcPr>
          <w:p w14:paraId="708C64F4">
            <w:pPr>
              <w:widowControl w:val="0"/>
              <w:tabs>
                <w:tab w:val="right" w:pos="7254"/>
              </w:tabs>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The effective period of bid shall be: ≥ </w:t>
            </w:r>
            <w:r>
              <w:rPr>
                <w:b/>
                <w:color w:val="000000" w:themeColor="text1"/>
                <w:sz w:val="26"/>
                <w:szCs w:val="26"/>
                <w14:textFill>
                  <w14:solidFill>
                    <w14:schemeClr w14:val="tx1"/>
                  </w14:solidFill>
                </w14:textFill>
              </w:rPr>
              <w:t>180 days</w:t>
            </w:r>
            <w:r>
              <w:rPr>
                <w:color w:val="000000" w:themeColor="text1"/>
                <w:sz w:val="26"/>
                <w:szCs w:val="26"/>
                <w14:textFill>
                  <w14:solidFill>
                    <w14:schemeClr w14:val="tx1"/>
                  </w14:solidFill>
                </w14:textFill>
              </w:rPr>
              <w:t xml:space="preserve"> </w:t>
            </w:r>
            <w:r>
              <w:rPr>
                <w:sz w:val="26"/>
                <w:szCs w:val="26"/>
              </w:rPr>
              <w:t>from the deadline for the submission</w:t>
            </w:r>
            <w:r>
              <w:t xml:space="preserve"> </w:t>
            </w:r>
            <w:r>
              <w:rPr>
                <w:sz w:val="26"/>
                <w:szCs w:val="26"/>
              </w:rPr>
              <w:t>of bids.</w:t>
            </w:r>
          </w:p>
        </w:tc>
      </w:tr>
      <w:tr w14:paraId="708C6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4F6">
            <w:pPr>
              <w:widowControl w:val="0"/>
              <w:tabs>
                <w:tab w:val="right" w:pos="7434"/>
              </w:tabs>
              <w:spacing w:before="60" w:after="60" w:line="240" w:lineRule="auto"/>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ITB 18.2</w:t>
            </w:r>
          </w:p>
          <w:p w14:paraId="708C64F7">
            <w:pPr>
              <w:widowControl w:val="0"/>
              <w:tabs>
                <w:tab w:val="right" w:pos="7434"/>
              </w:tabs>
              <w:spacing w:before="60" w:after="60" w:line="240" w:lineRule="auto"/>
              <w:rPr>
                <w:b/>
                <w:color w:val="000000" w:themeColor="text1"/>
                <w:sz w:val="26"/>
                <w:szCs w:val="26"/>
                <w14:textFill>
                  <w14:solidFill>
                    <w14:schemeClr w14:val="tx1"/>
                  </w14:solidFill>
                </w14:textFill>
              </w:rPr>
            </w:pPr>
          </w:p>
        </w:tc>
        <w:tc>
          <w:tcPr>
            <w:tcW w:w="7655" w:type="dxa"/>
            <w:gridSpan w:val="2"/>
          </w:tcPr>
          <w:p w14:paraId="708C64F8">
            <w:pPr>
              <w:widowControl w:val="0"/>
              <w:spacing w:before="60" w:after="60" w:line="240" w:lineRule="auto"/>
              <w:rPr>
                <w:sz w:val="26"/>
                <w:szCs w:val="26"/>
              </w:rPr>
            </w:pPr>
            <w:r>
              <w:rPr>
                <w:color w:val="000000" w:themeColor="text1"/>
                <w:sz w:val="26"/>
                <w:szCs w:val="26"/>
                <w14:textFill>
                  <w14:solidFill>
                    <w14:schemeClr w14:val="tx1"/>
                  </w14:solidFill>
                </w14:textFill>
              </w:rPr>
              <w:t xml:space="preserve">Bid Security shall </w:t>
            </w:r>
            <w:r>
              <w:rPr>
                <w:sz w:val="26"/>
                <w:szCs w:val="26"/>
              </w:rPr>
              <w:t xml:space="preserve">be an unconditional, irrevocable guarantee. </w:t>
            </w:r>
          </w:p>
          <w:p w14:paraId="708C64F9">
            <w:pPr>
              <w:widowControl w:val="0"/>
              <w:spacing w:before="60" w:after="60" w:line="240" w:lineRule="auto"/>
              <w:jc w:val="both"/>
              <w:rPr>
                <w:sz w:val="26"/>
                <w:szCs w:val="26"/>
              </w:rPr>
            </w:pPr>
            <w:r>
              <w:rPr>
                <w:sz w:val="26"/>
                <w:szCs w:val="26"/>
              </w:rPr>
              <w:t xml:space="preserve">- The amount and currency of the bid security for package shall be </w:t>
            </w:r>
            <w:r>
              <w:rPr>
                <w:b/>
                <w:sz w:val="26"/>
                <w:szCs w:val="26"/>
              </w:rPr>
              <w:t xml:space="preserve">USD  106,000 </w:t>
            </w:r>
            <w:r>
              <w:rPr>
                <w:sz w:val="26"/>
                <w:szCs w:val="26"/>
              </w:rPr>
              <w:t xml:space="preserve">or </w:t>
            </w:r>
            <w:r>
              <w:rPr>
                <w:b/>
                <w:sz w:val="26"/>
                <w:szCs w:val="26"/>
              </w:rPr>
              <w:t>VND 2,793,000,000</w:t>
            </w:r>
          </w:p>
          <w:p w14:paraId="708C64FA">
            <w:pPr>
              <w:widowControl w:val="0"/>
              <w:spacing w:before="60" w:after="60" w:line="240" w:lineRule="auto"/>
              <w:jc w:val="both"/>
              <w:rPr>
                <w:i/>
                <w:iCs/>
                <w:color w:val="auto"/>
                <w:sz w:val="26"/>
                <w:szCs w:val="26"/>
              </w:rPr>
            </w:pPr>
            <w:r>
              <w:rPr>
                <w:sz w:val="26"/>
                <w:szCs w:val="26"/>
              </w:rPr>
              <w:t xml:space="preserve"> </w:t>
            </w:r>
            <w:r>
              <w:rPr>
                <w:iCs/>
                <w:sz w:val="26"/>
                <w:szCs w:val="26"/>
              </w:rPr>
              <w:t>Bid security shall r</w:t>
            </w:r>
            <w:r>
              <w:rPr>
                <w:iCs/>
                <w:color w:val="000000" w:themeColor="text1"/>
                <w:sz w:val="26"/>
                <w:szCs w:val="26"/>
                <w14:textFill>
                  <w14:solidFill>
                    <w14:schemeClr w14:val="tx1"/>
                  </w14:solidFill>
                </w14:textFill>
              </w:rPr>
              <w:t xml:space="preserve">emain the valid for a period of </w:t>
            </w:r>
            <w:r>
              <w:rPr>
                <w:b/>
                <w:i/>
                <w:color w:val="000000" w:themeColor="text1"/>
                <w:sz w:val="26"/>
                <w:szCs w:val="26"/>
                <w14:textFill>
                  <w14:solidFill>
                    <w14:schemeClr w14:val="tx1"/>
                  </w14:solidFill>
                </w14:textFill>
              </w:rPr>
              <w:t>30 days</w:t>
            </w:r>
            <w:r>
              <w:rPr>
                <w:i/>
                <w:color w:val="000000" w:themeColor="text1"/>
                <w:sz w:val="26"/>
                <w:szCs w:val="26"/>
                <w14:textFill>
                  <w14:solidFill>
                    <w14:schemeClr w14:val="tx1"/>
                  </w14:solidFill>
                </w14:textFill>
              </w:rPr>
              <w:t xml:space="preserve"> beyond the validity </w:t>
            </w:r>
            <w:r>
              <w:rPr>
                <w:i/>
                <w:color w:val="auto"/>
                <w:sz w:val="26"/>
                <w:szCs w:val="26"/>
              </w:rPr>
              <w:t xml:space="preserve">period of the bids. </w:t>
            </w:r>
          </w:p>
          <w:p w14:paraId="708C64FB">
            <w:pPr>
              <w:widowControl w:val="0"/>
              <w:spacing w:before="60" w:after="60" w:line="240" w:lineRule="auto"/>
              <w:jc w:val="both"/>
              <w:rPr>
                <w:color w:val="000000" w:themeColor="text1"/>
                <w:sz w:val="26"/>
                <w:szCs w:val="26"/>
                <w:lang w:eastAsia="vi-VN"/>
                <w14:textFill>
                  <w14:solidFill>
                    <w14:schemeClr w14:val="tx1"/>
                  </w14:solidFill>
                </w14:textFill>
              </w:rPr>
            </w:pPr>
            <w:r>
              <w:rPr>
                <w:color w:val="auto"/>
                <w:sz w:val="26"/>
                <w:szCs w:val="26"/>
              </w:rPr>
              <w:t xml:space="preserve">For bidders whose names are on the list of bidders with the acts specified in Clause 1, Article 20 of Decree No. 214/2025/NĐ-CP and posted on VNEPS, </w:t>
            </w:r>
            <w:r>
              <w:rPr>
                <w:rStyle w:val="640"/>
                <w:color w:val="auto"/>
                <w:lang w:eastAsia="vi-VN"/>
              </w:rPr>
              <w:t>when participating in bidding, must furnish a bid security with a value 3 times greater than the value required within 2 years from the last time committing the violating acts</w:t>
            </w:r>
            <w:r>
              <w:rPr>
                <w:rStyle w:val="640"/>
                <w:color w:val="auto"/>
                <w:sz w:val="20"/>
                <w:szCs w:val="20"/>
                <w:lang w:eastAsia="vi-VN"/>
              </w:rPr>
              <w:t xml:space="preserve">. </w:t>
            </w:r>
            <w:r>
              <w:rPr>
                <w:color w:val="auto"/>
                <w:sz w:val="26"/>
                <w:szCs w:val="26"/>
              </w:rPr>
              <w:t xml:space="preserve">In case of consortium, consortium members who commit practices specified in Clause 1, Article 20 of Decree No. 214/2025/NĐ-CP must furnish a bid security with a value of 3 times greater than specified value (corresponding to </w:t>
            </w:r>
            <w:r>
              <w:rPr>
                <w:color w:val="000000" w:themeColor="text1"/>
                <w:sz w:val="26"/>
                <w:szCs w:val="26"/>
                <w14:textFill>
                  <w14:solidFill>
                    <w14:schemeClr w14:val="tx1"/>
                  </w14:solidFill>
                </w14:textFill>
              </w:rPr>
              <w:t xml:space="preserve">assigned work in consortium agreement) within 2 years from the last time of committing violation. </w:t>
            </w:r>
          </w:p>
        </w:tc>
      </w:tr>
      <w:tr w14:paraId="708C6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4FD">
            <w:pPr>
              <w:widowControl w:val="0"/>
              <w:tabs>
                <w:tab w:val="right" w:pos="7434"/>
              </w:tabs>
              <w:spacing w:before="60" w:after="60" w:line="240" w:lineRule="auto"/>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ITB 18.4</w:t>
            </w:r>
          </w:p>
        </w:tc>
        <w:tc>
          <w:tcPr>
            <w:tcW w:w="7655" w:type="dxa"/>
            <w:gridSpan w:val="2"/>
          </w:tcPr>
          <w:p w14:paraId="708C64FE">
            <w:pPr>
              <w:widowControl w:val="0"/>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The bid securities of unsuccessful Bidders shall be returned or relieved within </w:t>
            </w:r>
            <w:r>
              <w:rPr>
                <w:b/>
                <w:color w:val="000000" w:themeColor="text1"/>
                <w:sz w:val="26"/>
                <w:szCs w:val="26"/>
                <w14:textFill>
                  <w14:solidFill>
                    <w14:schemeClr w14:val="tx1"/>
                  </w14:solidFill>
                </w14:textFill>
              </w:rPr>
              <w:t>14</w:t>
            </w:r>
            <w:r>
              <w:rPr>
                <w:color w:val="000000" w:themeColor="text1"/>
                <w:sz w:val="26"/>
                <w:szCs w:val="26"/>
                <w14:textFill>
                  <w14:solidFill>
                    <w14:schemeClr w14:val="tx1"/>
                  </w14:solidFill>
                </w14:textFill>
              </w:rPr>
              <w:t xml:space="preserve"> days from the date the bidder selection results are approved.</w:t>
            </w:r>
          </w:p>
        </w:tc>
      </w:tr>
      <w:tr w14:paraId="708C6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500">
            <w:pPr>
              <w:widowControl w:val="0"/>
              <w:tabs>
                <w:tab w:val="right" w:pos="7434"/>
              </w:tabs>
              <w:spacing w:before="60" w:after="60" w:line="240" w:lineRule="auto"/>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ITB 19.1</w:t>
            </w:r>
          </w:p>
        </w:tc>
        <w:tc>
          <w:tcPr>
            <w:tcW w:w="7655" w:type="dxa"/>
            <w:gridSpan w:val="2"/>
          </w:tcPr>
          <w:p w14:paraId="708C6501">
            <w:pPr>
              <w:widowControl w:val="0"/>
              <w:shd w:val="clear" w:color="auto" w:fill="FFFFFF"/>
              <w:tabs>
                <w:tab w:val="right" w:pos="7254"/>
              </w:tabs>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In addition to original of Bid, the Bidder is requested to submit: 3 (three) copies and (01) one USB device storing the Bid documents under PDF file.</w:t>
            </w:r>
          </w:p>
          <w:p w14:paraId="708C6502">
            <w:pPr>
              <w:widowControl w:val="0"/>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In case of modification, substitution of Bid or alternative technical solutions, the Bidders are requested to submit 3 copies of modification, substitution, alternative technical solutions.</w:t>
            </w:r>
          </w:p>
        </w:tc>
      </w:tr>
      <w:tr w14:paraId="708C6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504">
            <w:pPr>
              <w:widowControl w:val="0"/>
              <w:tabs>
                <w:tab w:val="right" w:pos="7434"/>
              </w:tabs>
              <w:spacing w:before="60" w:after="60" w:line="240" w:lineRule="auto"/>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ITB 21.1</w:t>
            </w:r>
          </w:p>
        </w:tc>
        <w:tc>
          <w:tcPr>
            <w:tcW w:w="7655" w:type="dxa"/>
            <w:gridSpan w:val="2"/>
          </w:tcPr>
          <w:p w14:paraId="708C6505">
            <w:pPr>
              <w:widowControl w:val="0"/>
              <w:shd w:val="clear" w:color="auto" w:fill="FFFFFF"/>
              <w:tabs>
                <w:tab w:val="right" w:pos="7254"/>
              </w:tabs>
              <w:spacing w:before="40" w:after="40" w:line="240" w:lineRule="auto"/>
              <w:jc w:val="both"/>
              <w:rPr>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Purchaser's</w:t>
            </w:r>
            <w:r>
              <w:rPr>
                <w:color w:val="000000" w:themeColor="text1"/>
                <w:sz w:val="26"/>
                <w:szCs w:val="26"/>
                <w14:textFill>
                  <w14:solidFill>
                    <w14:schemeClr w14:val="tx1"/>
                  </w14:solidFill>
                </w14:textFill>
              </w:rPr>
              <w:t xml:space="preserve"> address (to submit bid proposals):</w:t>
            </w:r>
          </w:p>
          <w:p w14:paraId="708C6506">
            <w:pPr>
              <w:widowControl w:val="0"/>
              <w:tabs>
                <w:tab w:val="right" w:pos="7254"/>
              </w:tabs>
              <w:spacing w:before="60" w:after="60"/>
              <w:ind w:hanging="10"/>
              <w:jc w:val="both"/>
              <w:rPr>
                <w:b/>
                <w:sz w:val="26"/>
                <w:szCs w:val="26"/>
              </w:rPr>
            </w:pPr>
            <w:r>
              <w:rPr>
                <w:b/>
                <w:sz w:val="26"/>
                <w:szCs w:val="26"/>
              </w:rPr>
              <w:t>Northern Power Projects Management Board - Branch of National Power Transmission Corporation</w:t>
            </w:r>
          </w:p>
          <w:p w14:paraId="708C6507">
            <w:pPr>
              <w:widowControl w:val="0"/>
              <w:tabs>
                <w:tab w:val="right" w:pos="7254"/>
              </w:tabs>
              <w:spacing w:before="60" w:after="60"/>
              <w:ind w:hanging="10"/>
              <w:jc w:val="both"/>
              <w:rPr>
                <w:sz w:val="26"/>
                <w:szCs w:val="26"/>
              </w:rPr>
            </w:pPr>
            <w:r>
              <w:rPr>
                <w:sz w:val="26"/>
                <w:szCs w:val="26"/>
              </w:rPr>
              <w:t>House/floor/room number: Meeting Room 501, 05th Floor, B Block</w:t>
            </w:r>
          </w:p>
          <w:p w14:paraId="708C6508">
            <w:pPr>
              <w:widowControl w:val="0"/>
              <w:shd w:val="clear" w:color="auto" w:fill="FFFFFF"/>
              <w:tabs>
                <w:tab w:val="right" w:pos="7254"/>
              </w:tabs>
              <w:spacing w:before="60" w:after="60" w:line="240" w:lineRule="auto"/>
              <w:jc w:val="center"/>
              <w:rPr>
                <w:bCs/>
                <w:color w:val="000000" w:themeColor="text1"/>
                <w:sz w:val="26"/>
                <w:szCs w:val="26"/>
                <w14:textFill>
                  <w14:solidFill>
                    <w14:schemeClr w14:val="tx1"/>
                  </w14:solidFill>
                </w14:textFill>
              </w:rPr>
            </w:pPr>
            <w:r>
              <w:rPr>
                <w:sz w:val="26"/>
                <w:szCs w:val="26"/>
              </w:rPr>
              <w:t>- Address: No.4 - Nguyen Khac Nhu Street - Ba Dinh Ward, Hanoi, S.R Viet Nam.</w:t>
            </w:r>
          </w:p>
        </w:tc>
      </w:tr>
      <w:tr w14:paraId="708C6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50A">
            <w:pPr>
              <w:widowControl w:val="0"/>
              <w:tabs>
                <w:tab w:val="right" w:pos="7434"/>
              </w:tabs>
              <w:spacing w:before="60" w:after="60" w:line="240" w:lineRule="auto"/>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ITB 24.1</w:t>
            </w:r>
          </w:p>
        </w:tc>
        <w:tc>
          <w:tcPr>
            <w:tcW w:w="7655" w:type="dxa"/>
            <w:gridSpan w:val="2"/>
          </w:tcPr>
          <w:p w14:paraId="708C650B">
            <w:pPr>
              <w:widowControl w:val="0"/>
              <w:tabs>
                <w:tab w:val="right" w:pos="7254"/>
              </w:tabs>
              <w:spacing w:before="60" w:after="60"/>
              <w:ind w:hanging="1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Bid opening shall take place publicly at the time prescribed in the Invitation for Bid on VNEPS and at address specified in ITB 21.1</w:t>
            </w:r>
          </w:p>
        </w:tc>
      </w:tr>
      <w:tr w14:paraId="708C6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50D">
            <w:pPr>
              <w:widowControl w:val="0"/>
              <w:tabs>
                <w:tab w:val="right" w:pos="7434"/>
              </w:tabs>
              <w:spacing w:before="60" w:after="60" w:line="240" w:lineRule="auto"/>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ITB 26.3</w:t>
            </w:r>
          </w:p>
        </w:tc>
        <w:tc>
          <w:tcPr>
            <w:tcW w:w="7655" w:type="dxa"/>
            <w:gridSpan w:val="2"/>
          </w:tcPr>
          <w:p w14:paraId="708C650E">
            <w:pPr>
              <w:widowControl w:val="0"/>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Bidder is allowed to submit the supplemental documentations for clarification to the Purchaser within five (05) working days from the deadline for bid submission.</w:t>
            </w:r>
          </w:p>
        </w:tc>
      </w:tr>
      <w:tr w14:paraId="708C6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510">
            <w:pPr>
              <w:widowControl w:val="0"/>
              <w:tabs>
                <w:tab w:val="right" w:pos="7434"/>
              </w:tabs>
              <w:spacing w:before="60" w:after="60" w:line="240" w:lineRule="auto"/>
              <w:rPr>
                <w:b/>
                <w:color w:val="000000" w:themeColor="text1"/>
                <w:sz w:val="26"/>
                <w:szCs w:val="26"/>
                <w14:textFill>
                  <w14:solidFill>
                    <w14:schemeClr w14:val="tx1"/>
                  </w14:solidFill>
                </w14:textFill>
              </w:rPr>
            </w:pPr>
            <w:r>
              <w:rPr>
                <w:b/>
                <w:iCs/>
                <w:color w:val="000000" w:themeColor="text1"/>
                <w:sz w:val="26"/>
                <w:szCs w:val="26"/>
                <w14:textFill>
                  <w14:solidFill>
                    <w14:schemeClr w14:val="tx1"/>
                  </w14:solidFill>
                </w14:textFill>
              </w:rPr>
              <w:t>ITB 30.2</w:t>
            </w:r>
          </w:p>
        </w:tc>
        <w:tc>
          <w:tcPr>
            <w:tcW w:w="7655" w:type="dxa"/>
            <w:gridSpan w:val="2"/>
          </w:tcPr>
          <w:p w14:paraId="708C6511">
            <w:pPr>
              <w:widowControl w:val="0"/>
              <w:shd w:val="clear" w:color="auto" w:fill="FFFFFF"/>
              <w:tabs>
                <w:tab w:val="left" w:pos="993"/>
              </w:tabs>
              <w:spacing w:before="40" w:after="40" w:line="240" w:lineRule="auto"/>
              <w:jc w:val="both"/>
              <w:rPr>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 Using subcontractors: </w:t>
            </w:r>
            <w:r>
              <w:rPr>
                <w:i/>
                <w:color w:val="000000" w:themeColor="text1"/>
                <w:sz w:val="26"/>
                <w:szCs w:val="26"/>
                <w14:textFill>
                  <w14:solidFill>
                    <w14:schemeClr w14:val="tx1"/>
                  </w14:solidFill>
                </w14:textFill>
              </w:rPr>
              <w:t>Applied.</w:t>
            </w:r>
          </w:p>
          <w:p w14:paraId="708C6512">
            <w:pPr>
              <w:widowControl w:val="0"/>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Maximum value for subcontractors: </w:t>
            </w:r>
            <w:r>
              <w:rPr>
                <w:b/>
                <w:color w:val="000000" w:themeColor="text1"/>
                <w:sz w:val="26"/>
                <w:szCs w:val="26"/>
                <w:shd w:val="clear" w:color="auto" w:fill="FFFFFF"/>
                <w14:textFill>
                  <w14:solidFill>
                    <w14:schemeClr w14:val="tx1"/>
                  </w14:solidFill>
                </w14:textFill>
              </w:rPr>
              <w:t>10</w:t>
            </w:r>
            <w:r>
              <w:rPr>
                <w:color w:val="000000" w:themeColor="text1"/>
                <w:sz w:val="26"/>
                <w:szCs w:val="26"/>
                <w14:textFill>
                  <w14:solidFill>
                    <w14:schemeClr w14:val="tx1"/>
                  </w14:solidFill>
                </w14:textFill>
              </w:rPr>
              <w:t>% of the bid price.</w:t>
            </w:r>
          </w:p>
          <w:p w14:paraId="708C6513">
            <w:pPr>
              <w:widowControl w:val="0"/>
              <w:shd w:val="clear" w:color="auto" w:fill="FFFFFF"/>
              <w:tabs>
                <w:tab w:val="left" w:pos="993"/>
              </w:tabs>
              <w:spacing w:before="40" w:after="40" w:line="240" w:lineRule="auto"/>
              <w:jc w:val="both"/>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In case there are related services as required in Section V: Scope of Supply. Purchaser may allow bidder to use subcontractors. The declaration of use of subcontractors shall be made according to Form No. 13 Section IV].</w:t>
            </w:r>
          </w:p>
        </w:tc>
      </w:tr>
      <w:tr w14:paraId="708C6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gridSpan w:val="2"/>
          </w:tcPr>
          <w:p w14:paraId="708C6515">
            <w:pPr>
              <w:widowControl w:val="0"/>
              <w:tabs>
                <w:tab w:val="right" w:pos="7434"/>
              </w:tabs>
              <w:spacing w:before="60" w:after="60" w:line="240" w:lineRule="auto"/>
              <w:rPr>
                <w:rFonts w:eastAsia="Times New Roman"/>
                <w:color w:val="000000" w:themeColor="text1"/>
                <w:sz w:val="26"/>
                <w:szCs w:val="26"/>
                <w14:textFill>
                  <w14:solidFill>
                    <w14:schemeClr w14:val="tx1"/>
                  </w14:solidFill>
                </w14:textFill>
              </w:rPr>
            </w:pPr>
            <w:r>
              <w:rPr>
                <w:rFonts w:eastAsia="Times New Roman"/>
                <w:b/>
                <w:bCs/>
                <w:color w:val="000000" w:themeColor="text1"/>
                <w:sz w:val="26"/>
                <w:szCs w:val="26"/>
                <w14:textFill>
                  <w14:solidFill>
                    <w14:schemeClr w14:val="tx1"/>
                  </w14:solidFill>
                </w14:textFill>
              </w:rPr>
              <w:t>ITB 32.4</w:t>
            </w:r>
          </w:p>
        </w:tc>
        <w:tc>
          <w:tcPr>
            <w:tcW w:w="7655" w:type="dxa"/>
            <w:gridSpan w:val="2"/>
          </w:tcPr>
          <w:p w14:paraId="708C6516">
            <w:pPr>
              <w:shd w:val="clear" w:color="auto" w:fill="FFFFFF"/>
              <w:spacing w:after="60" w:line="240" w:lineRule="auto"/>
              <w:jc w:val="both"/>
              <w:rPr>
                <w:rFonts w:eastAsia="Times New Roman"/>
                <w:color w:val="000000" w:themeColor="text1"/>
                <w:spacing w:val="3"/>
                <w:sz w:val="26"/>
                <w:szCs w:val="26"/>
                <w14:textFill>
                  <w14:solidFill>
                    <w14:schemeClr w14:val="tx1"/>
                  </w14:solidFill>
                </w14:textFill>
              </w:rPr>
            </w:pPr>
            <w:r>
              <w:rPr>
                <w:rFonts w:eastAsia="Times New Roman"/>
                <w:color w:val="000000" w:themeColor="text1"/>
                <w:spacing w:val="3"/>
                <w:sz w:val="26"/>
                <w:szCs w:val="26"/>
                <w14:textFill>
                  <w14:solidFill>
                    <w14:schemeClr w14:val="tx1"/>
                  </w14:solidFill>
                </w14:textFill>
              </w:rPr>
              <w:t xml:space="preserve">Application methodology of preference: </w:t>
            </w:r>
          </w:p>
          <w:p w14:paraId="708C6517">
            <w:pPr>
              <w:shd w:val="clear" w:color="auto" w:fill="FFFFFF"/>
              <w:spacing w:after="60" w:line="240" w:lineRule="auto"/>
              <w:jc w:val="both"/>
              <w:rPr>
                <w:rFonts w:eastAsia="Times New Roman"/>
                <w:color w:val="000000" w:themeColor="text1"/>
                <w:spacing w:val="3"/>
                <w:sz w:val="26"/>
                <w:szCs w:val="26"/>
                <w14:textFill>
                  <w14:solidFill>
                    <w14:schemeClr w14:val="tx1"/>
                  </w14:solidFill>
                </w14:textFill>
              </w:rPr>
            </w:pPr>
            <w:r>
              <w:rPr>
                <w:rFonts w:eastAsia="Times New Roman"/>
                <w:color w:val="000000" w:themeColor="text1"/>
                <w:spacing w:val="3"/>
                <w:sz w:val="26"/>
                <w:szCs w:val="26"/>
                <w14:textFill>
                  <w14:solidFill>
                    <w14:schemeClr w14:val="tx1"/>
                  </w14:solidFill>
                </w14:textFill>
              </w:rPr>
              <w:t>a. Preference for goods originating in Vietnam with a ratio of domestic production cost less than 50%, and none of goods have domestic production cost of 50% or more, shall be executed as follows:</w:t>
            </w:r>
          </w:p>
          <w:p w14:paraId="708C6518">
            <w:pPr>
              <w:shd w:val="clear" w:color="auto" w:fill="FFFFFF"/>
              <w:spacing w:after="60" w:line="240" w:lineRule="auto"/>
              <w:jc w:val="both"/>
              <w:rPr>
                <w:rFonts w:eastAsia="Times New Roman"/>
                <w:color w:val="000000" w:themeColor="text1"/>
                <w:spacing w:val="3"/>
                <w:sz w:val="26"/>
                <w:szCs w:val="26"/>
                <w14:textFill>
                  <w14:solidFill>
                    <w14:schemeClr w14:val="tx1"/>
                  </w14:solidFill>
                </w14:textFill>
              </w:rPr>
            </w:pPr>
            <w:r>
              <w:rPr>
                <w:rFonts w:eastAsia="Times New Roman"/>
                <w:color w:val="000000" w:themeColor="text1"/>
                <w:spacing w:val="3"/>
                <w:sz w:val="26"/>
                <w:szCs w:val="26"/>
                <w14:textFill>
                  <w14:solidFill>
                    <w14:schemeClr w14:val="tx1"/>
                  </w14:solidFill>
                </w14:textFill>
              </w:rPr>
              <w:t xml:space="preserve">Goods that are not eligible for preference: an amount of 7,5% prices of these goods after executing error correction, deviation adjustment and deducts of discount shall be added to bid price proposal after executing error correction, deviation adjustment and deducts of discount (if any) for the purpose of comparison and ranking. </w:t>
            </w:r>
          </w:p>
          <w:p w14:paraId="708C6519">
            <w:pPr>
              <w:shd w:val="clear" w:color="auto" w:fill="FFFFFF"/>
              <w:spacing w:after="60" w:line="240" w:lineRule="auto"/>
              <w:jc w:val="both"/>
              <w:rPr>
                <w:rFonts w:eastAsia="Times New Roman"/>
                <w:color w:val="000000" w:themeColor="text1"/>
                <w:spacing w:val="3"/>
                <w:sz w:val="26"/>
                <w:szCs w:val="26"/>
                <w14:textFill>
                  <w14:solidFill>
                    <w14:schemeClr w14:val="tx1"/>
                  </w14:solidFill>
                </w14:textFill>
              </w:rPr>
            </w:pPr>
            <w:r>
              <w:rPr>
                <w:rFonts w:eastAsia="Times New Roman"/>
                <w:color w:val="000000" w:themeColor="text1"/>
                <w:spacing w:val="3"/>
                <w:sz w:val="26"/>
                <w:szCs w:val="26"/>
                <w14:textFill>
                  <w14:solidFill>
                    <w14:schemeClr w14:val="tx1"/>
                  </w14:solidFill>
                </w14:textFill>
              </w:rPr>
              <w:t xml:space="preserve">In case the Bidder offers goods originating in Vietnam with a ratio of domestic production cost less than 50%, and production facilities employs at least 50% of employees being war invalids, people with disabilities, ethnic minorities with labor contract of 3 months or more, and still valid until the deadline for submission of bid, then the 7,5% preferential factor mentioned above shall be replaced by 10% preferential factor. </w:t>
            </w:r>
          </w:p>
          <w:p w14:paraId="708C651A">
            <w:pPr>
              <w:shd w:val="clear" w:color="auto" w:fill="FFFFFF"/>
              <w:spacing w:after="60" w:line="240" w:lineRule="auto"/>
              <w:jc w:val="both"/>
              <w:rPr>
                <w:rFonts w:eastAsia="Times New Roman"/>
                <w:color w:val="000000" w:themeColor="text1"/>
                <w:spacing w:val="3"/>
                <w:sz w:val="26"/>
                <w:szCs w:val="26"/>
                <w14:textFill>
                  <w14:solidFill>
                    <w14:schemeClr w14:val="tx1"/>
                  </w14:solidFill>
                </w14:textFill>
              </w:rPr>
            </w:pPr>
            <w:r>
              <w:rPr>
                <w:rFonts w:eastAsia="Times New Roman"/>
                <w:color w:val="000000" w:themeColor="text1"/>
                <w:spacing w:val="3"/>
                <w:sz w:val="26"/>
                <w:szCs w:val="26"/>
                <w14:textFill>
                  <w14:solidFill>
                    <w14:schemeClr w14:val="tx1"/>
                  </w14:solidFill>
                </w14:textFill>
              </w:rPr>
              <w:t>b. Preference for goods originating in Vietnam with a ratio of domestic production cost of 50% or more shall be executed as follows:</w:t>
            </w:r>
          </w:p>
          <w:p w14:paraId="708C651B">
            <w:pPr>
              <w:shd w:val="clear" w:color="auto" w:fill="FFFFFF"/>
              <w:spacing w:after="60" w:line="240" w:lineRule="auto"/>
              <w:jc w:val="both"/>
              <w:rPr>
                <w:rFonts w:eastAsia="Times New Roman"/>
                <w:color w:val="000000" w:themeColor="text1"/>
                <w:spacing w:val="3"/>
                <w:sz w:val="26"/>
                <w:szCs w:val="26"/>
                <w14:textFill>
                  <w14:solidFill>
                    <w14:schemeClr w14:val="tx1"/>
                  </w14:solidFill>
                </w14:textFill>
              </w:rPr>
            </w:pPr>
            <w:r>
              <w:rPr>
                <w:rFonts w:eastAsia="Times New Roman"/>
                <w:color w:val="000000" w:themeColor="text1"/>
                <w:spacing w:val="3"/>
                <w:sz w:val="26"/>
                <w:szCs w:val="26"/>
                <w14:textFill>
                  <w14:solidFill>
                    <w14:schemeClr w14:val="tx1"/>
                  </w14:solidFill>
                </w14:textFill>
              </w:rPr>
              <w:t xml:space="preserve">Goods that are not eligible for preference: an amount of 10% prices of these goods after executing error correction, deviation adjustment and deducts of discount (if any) shall be added to bid price proposal after executing error correction, deviation adjustment and deducts of discount for the purpose of comparison and ranking; Goods that are eligible for preference and with ratio of domestic production cost lower than 50%: an amount of 2,5% prices of these goods after executing error correction, deviation adjustment and deducts of discount (if any) shall be added to bid price proposal after executing error correction, deviation adjustment and deducts of discount (if any) for the purpose of comparison and ranking; the Bidder offers goods originating in Vietnam with a ratio of domestic production cost less than 50%, and its production facility have at least 50% of employees being war invalids, people with disabilities, ethnic minorities with labor contracts of 3 months or more, and still valid until the deadline for submission of bid, then its bid price proposal shall not be added any amounts for the purpose of comparison and ranking. </w:t>
            </w:r>
          </w:p>
          <w:p w14:paraId="708C651C">
            <w:pPr>
              <w:shd w:val="clear" w:color="auto" w:fill="FFFFFF"/>
              <w:spacing w:after="60" w:line="240" w:lineRule="auto"/>
              <w:jc w:val="both"/>
              <w:rPr>
                <w:rFonts w:eastAsia="Times New Roman"/>
                <w:color w:val="000000" w:themeColor="text1"/>
                <w:spacing w:val="3"/>
                <w:sz w:val="26"/>
                <w:szCs w:val="26"/>
                <w14:textFill>
                  <w14:solidFill>
                    <w14:schemeClr w14:val="tx1"/>
                  </w14:solidFill>
                </w14:textFill>
              </w:rPr>
            </w:pPr>
            <w:r>
              <w:rPr>
                <w:rFonts w:eastAsia="Times New Roman"/>
                <w:color w:val="000000" w:themeColor="text1"/>
                <w:spacing w:val="3"/>
                <w:sz w:val="26"/>
                <w:szCs w:val="26"/>
                <w14:textFill>
                  <w14:solidFill>
                    <w14:schemeClr w14:val="tx1"/>
                  </w14:solidFill>
                </w14:textFill>
              </w:rPr>
              <w:t xml:space="preserve">In case the Bidder offers goods originating in Vietnam with a ratio of domestic production cost of at least 50%, and production facilities employs at least 50% of employees being war invalids, people with disabilities, ethnic minorities with labor contract of 3 months or more, and still valid until the deadline for submission of bid, then the Bidder shall be granted with a preferential factor of 12% instead of 10%. </w:t>
            </w:r>
          </w:p>
          <w:p w14:paraId="708C651D">
            <w:pPr>
              <w:shd w:val="clear" w:color="auto" w:fill="FFFFFF"/>
              <w:spacing w:after="60" w:line="240" w:lineRule="auto"/>
              <w:jc w:val="both"/>
              <w:rPr>
                <w:rFonts w:eastAsia="Times New Roman"/>
                <w:color w:val="000000" w:themeColor="text1"/>
                <w:spacing w:val="3"/>
                <w:sz w:val="26"/>
                <w:szCs w:val="26"/>
                <w14:textFill>
                  <w14:solidFill>
                    <w14:schemeClr w14:val="tx1"/>
                  </w14:solidFill>
                </w14:textFill>
              </w:rPr>
            </w:pPr>
            <w:r>
              <w:rPr>
                <w:rFonts w:eastAsia="Times New Roman"/>
                <w:color w:val="000000" w:themeColor="text1"/>
                <w:spacing w:val="3"/>
                <w:sz w:val="26"/>
                <w:szCs w:val="26"/>
                <w14:textFill>
                  <w14:solidFill>
                    <w14:schemeClr w14:val="tx1"/>
                  </w14:solidFill>
                </w14:textFill>
              </w:rPr>
              <w:t>c. Innovative creative products that are goods originating in Vietnam, preference for goods shall be executed as follow:</w:t>
            </w:r>
          </w:p>
          <w:p w14:paraId="708C651E">
            <w:pPr>
              <w:shd w:val="clear" w:color="auto" w:fill="FFFFFF"/>
              <w:spacing w:after="60" w:line="240" w:lineRule="auto"/>
              <w:jc w:val="both"/>
              <w:rPr>
                <w:rFonts w:eastAsia="Times New Roman"/>
                <w:color w:val="000000" w:themeColor="text1"/>
                <w:spacing w:val="3"/>
                <w:sz w:val="26"/>
                <w:szCs w:val="26"/>
                <w14:textFill>
                  <w14:solidFill>
                    <w14:schemeClr w14:val="tx1"/>
                  </w14:solidFill>
                </w14:textFill>
              </w:rPr>
            </w:pPr>
            <w:r>
              <w:rPr>
                <w:rFonts w:eastAsia="Times New Roman"/>
                <w:color w:val="000000" w:themeColor="text1"/>
                <w:spacing w:val="3"/>
                <w:sz w:val="26"/>
                <w:szCs w:val="26"/>
                <w14:textFill>
                  <w14:solidFill>
                    <w14:schemeClr w14:val="tx1"/>
                  </w14:solidFill>
                </w14:textFill>
              </w:rPr>
              <w:t xml:space="preserve">Goods that are not eligible for preference: an amount of 15% prices of these goods after executing error correction, deviation adjustment and deducts of discount (if any) shall be added to bid price proposal after executing error correction, deviation adjustment and deducts of discount for the purpose of comparison and ranking; Goods that are eligible for preference and with ratio of domestic production cost lower than 50%: an amount of 7,5% prices of these goods after executing error correction, deviation adjustment and deducts of discount (if any) shall be added to bid price proposal after executing error correction, deviation adjustment and deducts of discount (if any) for the purpose of comparison and ranking; Goods that are eligible for preference and with ratio of domestic production cost equal to 50% or more: an amount of 5% prices of these goods after executing error correction, deviation adjustment and deducts of discount (if any) shall be added to bid price proposal after executing error correction, deviation adjustment and deducts of discount (if any) for the purpose of comparison and ranking. </w:t>
            </w:r>
          </w:p>
          <w:p w14:paraId="708C651F">
            <w:pPr>
              <w:shd w:val="clear" w:color="auto" w:fill="FFFFFF"/>
              <w:spacing w:after="60" w:line="240" w:lineRule="auto"/>
              <w:jc w:val="both"/>
              <w:rPr>
                <w:rFonts w:eastAsia="Times New Roman"/>
                <w:color w:val="000000" w:themeColor="text1"/>
                <w:spacing w:val="3"/>
                <w:sz w:val="26"/>
                <w:szCs w:val="26"/>
                <w14:textFill>
                  <w14:solidFill>
                    <w14:schemeClr w14:val="tx1"/>
                  </w14:solidFill>
                </w14:textFill>
              </w:rPr>
            </w:pPr>
            <w:r>
              <w:rPr>
                <w:rFonts w:eastAsia="Times New Roman"/>
                <w:color w:val="000000" w:themeColor="text1"/>
                <w:spacing w:val="3"/>
                <w:sz w:val="26"/>
                <w:szCs w:val="26"/>
                <w14:textFill>
                  <w14:solidFill>
                    <w14:schemeClr w14:val="tx1"/>
                  </w14:solidFill>
                </w14:textFill>
              </w:rPr>
              <w:t xml:space="preserve">For goods that are not innovative creative products originating in Vietnam, in case the Bidder offers goods originating in Vietnam with domestic production cost lower than 50%: when executing preference, the preferential factor of 15% shall be replaced by 7,5%; goods originating in Vietnam with domestic production cost of at least 50%: when executing preference, the preferential factor of 15% shall be replaced by 10%. </w:t>
            </w:r>
          </w:p>
          <w:p w14:paraId="708C6520">
            <w:pPr>
              <w:shd w:val="clear" w:color="auto" w:fill="FFFFFF"/>
              <w:spacing w:after="60" w:line="240" w:lineRule="auto"/>
              <w:jc w:val="both"/>
              <w:rPr>
                <w:rFonts w:eastAsia="Times New Roman"/>
                <w:color w:val="000000" w:themeColor="text1"/>
                <w:spacing w:val="3"/>
                <w:sz w:val="26"/>
                <w:szCs w:val="26"/>
                <w14:textFill>
                  <w14:solidFill>
                    <w14:schemeClr w14:val="tx1"/>
                  </w14:solidFill>
                </w14:textFill>
              </w:rPr>
            </w:pPr>
            <w:r>
              <w:rPr>
                <w:rFonts w:eastAsia="Times New Roman"/>
                <w:color w:val="000000" w:themeColor="text1"/>
                <w:spacing w:val="3"/>
                <w:sz w:val="26"/>
                <w:szCs w:val="26"/>
                <w14:textFill>
                  <w14:solidFill>
                    <w14:schemeClr w14:val="tx1"/>
                  </w14:solidFill>
                </w14:textFill>
              </w:rPr>
              <w:t xml:space="preserve">d. Innovative creative products originating in Vietnam will be eligible for preference as specified in Item c above if they satisfy one of the followings: </w:t>
            </w:r>
          </w:p>
          <w:p w14:paraId="708C6521">
            <w:pPr>
              <w:shd w:val="clear" w:color="auto" w:fill="FFFFFF"/>
              <w:spacing w:after="60" w:line="240" w:lineRule="auto"/>
              <w:jc w:val="both"/>
              <w:rPr>
                <w:rFonts w:eastAsia="Times New Roman"/>
                <w:color w:val="000000" w:themeColor="text1"/>
                <w:spacing w:val="3"/>
                <w:sz w:val="26"/>
                <w:szCs w:val="26"/>
                <w14:textFill>
                  <w14:solidFill>
                    <w14:schemeClr w14:val="tx1"/>
                  </w14:solidFill>
                </w14:textFill>
              </w:rPr>
            </w:pPr>
            <w:r>
              <w:rPr>
                <w:rFonts w:eastAsia="Times New Roman"/>
                <w:color w:val="000000" w:themeColor="text1"/>
                <w:spacing w:val="3"/>
                <w:sz w:val="26"/>
                <w:szCs w:val="26"/>
                <w14:textFill>
                  <w14:solidFill>
                    <w14:schemeClr w14:val="tx1"/>
                  </w14:solidFill>
                </w14:textFill>
              </w:rPr>
              <w:sym w:font="Symbol" w:char="F02D"/>
            </w:r>
            <w:r>
              <w:rPr>
                <w:rFonts w:eastAsia="Times New Roman"/>
                <w:color w:val="000000" w:themeColor="text1"/>
                <w:spacing w:val="3"/>
                <w:sz w:val="26"/>
                <w:szCs w:val="26"/>
                <w14:textFill>
                  <w14:solidFill>
                    <w14:schemeClr w14:val="tx1"/>
                  </w14:solidFill>
                </w14:textFill>
              </w:rPr>
              <w:t xml:space="preserve"> Products that are high technology category which is prioritized for investment and development, or high technology category which is encouraged to develop following decision of Prime Minister of Vietnam; </w:t>
            </w:r>
          </w:p>
          <w:p w14:paraId="708C6522">
            <w:pPr>
              <w:shd w:val="clear" w:color="auto" w:fill="FFFFFF"/>
              <w:spacing w:after="60" w:line="240" w:lineRule="auto"/>
              <w:jc w:val="both"/>
              <w:rPr>
                <w:rFonts w:eastAsia="Times New Roman"/>
                <w:color w:val="000000" w:themeColor="text1"/>
                <w:spacing w:val="3"/>
                <w:sz w:val="26"/>
                <w:szCs w:val="26"/>
                <w14:textFill>
                  <w14:solidFill>
                    <w14:schemeClr w14:val="tx1"/>
                  </w14:solidFill>
                </w14:textFill>
              </w:rPr>
            </w:pPr>
            <w:r>
              <w:rPr>
                <w:rFonts w:eastAsia="Times New Roman"/>
                <w:color w:val="000000" w:themeColor="text1"/>
                <w:spacing w:val="3"/>
                <w:sz w:val="26"/>
                <w:szCs w:val="26"/>
                <w14:textFill>
                  <w14:solidFill>
                    <w14:schemeClr w14:val="tx1"/>
                  </w14:solidFill>
                </w14:textFill>
              </w:rPr>
              <w:sym w:font="Symbol" w:char="F02D"/>
            </w:r>
            <w:r>
              <w:rPr>
                <w:rFonts w:eastAsia="Times New Roman"/>
                <w:color w:val="000000" w:themeColor="text1"/>
                <w:spacing w:val="3"/>
                <w:sz w:val="26"/>
                <w:szCs w:val="26"/>
                <w14:textFill>
                  <w14:solidFill>
                    <w14:schemeClr w14:val="tx1"/>
                  </w14:solidFill>
                </w14:textFill>
              </w:rPr>
              <w:t xml:space="preserve"> Products that are result of science and technology researching of science and technology enterprises as provision of law on science and technology enterprise. </w:t>
            </w:r>
          </w:p>
          <w:p w14:paraId="708C6523">
            <w:pPr>
              <w:shd w:val="clear" w:color="auto" w:fill="FFFFFF"/>
              <w:spacing w:after="60" w:line="240" w:lineRule="auto"/>
              <w:jc w:val="both"/>
              <w:rPr>
                <w:rFonts w:eastAsia="Times New Roman"/>
                <w:color w:val="000000" w:themeColor="text1"/>
                <w:spacing w:val="3"/>
                <w:sz w:val="26"/>
                <w:szCs w:val="26"/>
                <w14:textFill>
                  <w14:solidFill>
                    <w14:schemeClr w14:val="tx1"/>
                  </w14:solidFill>
                </w14:textFill>
              </w:rPr>
            </w:pPr>
            <w:r>
              <w:rPr>
                <w:rFonts w:eastAsia="Times New Roman"/>
                <w:color w:val="000000" w:themeColor="text1"/>
                <w:spacing w:val="3"/>
                <w:sz w:val="26"/>
                <w:szCs w:val="26"/>
                <w14:textFill>
                  <w14:solidFill>
                    <w14:schemeClr w14:val="tx1"/>
                  </w14:solidFill>
                </w14:textFill>
              </w:rPr>
              <w:sym w:font="Symbol" w:char="F02D"/>
            </w:r>
            <w:r>
              <w:rPr>
                <w:rFonts w:eastAsia="Times New Roman"/>
                <w:color w:val="000000" w:themeColor="text1"/>
                <w:spacing w:val="3"/>
                <w:sz w:val="26"/>
                <w:szCs w:val="26"/>
                <w14:textFill>
                  <w14:solidFill>
                    <w14:schemeClr w14:val="tx1"/>
                  </w14:solidFill>
                </w14:textFill>
              </w:rPr>
              <w:t xml:space="preserve"> Products that are made on the basis of invention, designing layout of semi-conducting integrated circuit, cultivar of the Bidder granted with protective certificate in a greatest interval of 5 years, counting from granted date or computer program of the Bidder in a greatest interval of 5 years counted from the date when it is granted with copyright registration certificate. </w:t>
            </w:r>
          </w:p>
          <w:p w14:paraId="708C6524">
            <w:pPr>
              <w:shd w:val="clear" w:color="auto" w:fill="FFFFFF"/>
              <w:spacing w:after="60" w:line="240" w:lineRule="auto"/>
              <w:jc w:val="both"/>
              <w:rPr>
                <w:rFonts w:eastAsia="Times New Roman"/>
                <w:color w:val="000000" w:themeColor="text1"/>
                <w:spacing w:val="3"/>
                <w:sz w:val="26"/>
                <w:szCs w:val="26"/>
                <w14:textFill>
                  <w14:solidFill>
                    <w14:schemeClr w14:val="tx1"/>
                  </w14:solidFill>
                </w14:textFill>
              </w:rPr>
            </w:pPr>
            <w:r>
              <w:rPr>
                <w:rFonts w:eastAsia="Times New Roman"/>
                <w:color w:val="000000" w:themeColor="text1"/>
                <w:spacing w:val="3"/>
                <w:sz w:val="26"/>
                <w:szCs w:val="26"/>
                <w14:textFill>
                  <w14:solidFill>
                    <w14:schemeClr w14:val="tx1"/>
                  </w14:solidFill>
                </w14:textFill>
              </w:rPr>
              <w:sym w:font="Symbol" w:char="F02D"/>
            </w:r>
            <w:r>
              <w:rPr>
                <w:rFonts w:eastAsia="Times New Roman"/>
                <w:color w:val="000000" w:themeColor="text1"/>
                <w:spacing w:val="3"/>
                <w:sz w:val="26"/>
                <w:szCs w:val="26"/>
                <w14:textFill>
                  <w14:solidFill>
                    <w14:schemeClr w14:val="tx1"/>
                  </w14:solidFill>
                </w14:textFill>
              </w:rPr>
              <w:t xml:space="preserve"> Products of semi-conducting chip. </w:t>
            </w:r>
          </w:p>
          <w:p w14:paraId="708C6525">
            <w:pPr>
              <w:shd w:val="clear" w:color="auto" w:fill="FFFFFF"/>
              <w:spacing w:after="60" w:line="240" w:lineRule="auto"/>
              <w:jc w:val="both"/>
              <w:rPr>
                <w:rFonts w:eastAsia="Times New Roman"/>
                <w:color w:val="000000" w:themeColor="text1"/>
                <w:spacing w:val="3"/>
                <w:sz w:val="26"/>
                <w:szCs w:val="26"/>
                <w14:textFill>
                  <w14:solidFill>
                    <w14:schemeClr w14:val="tx1"/>
                  </w14:solidFill>
                </w14:textFill>
              </w:rPr>
            </w:pPr>
            <w:r>
              <w:rPr>
                <w:rFonts w:eastAsia="Times New Roman"/>
                <w:color w:val="000000" w:themeColor="text1"/>
                <w:spacing w:val="3"/>
                <w:sz w:val="26"/>
                <w:szCs w:val="26"/>
                <w14:textFill>
                  <w14:solidFill>
                    <w14:schemeClr w14:val="tx1"/>
                  </w14:solidFill>
                </w14:textFill>
              </w:rPr>
              <w:sym w:font="Symbol" w:char="F02D"/>
            </w:r>
            <w:r>
              <w:rPr>
                <w:rFonts w:eastAsia="Times New Roman"/>
                <w:color w:val="000000" w:themeColor="text1"/>
                <w:spacing w:val="3"/>
                <w:sz w:val="26"/>
                <w:szCs w:val="26"/>
                <w14:textFill>
                  <w14:solidFill>
                    <w14:schemeClr w14:val="tx1"/>
                  </w14:solidFill>
                </w14:textFill>
              </w:rPr>
              <w:t xml:space="preserve"> Products that are granted with the Ho Chi Minh award, State prize of science and technology award as regulated in law of science and technology prize. </w:t>
            </w:r>
          </w:p>
          <w:p w14:paraId="708C6526">
            <w:pPr>
              <w:shd w:val="clear" w:color="auto" w:fill="FFFFFF"/>
              <w:spacing w:after="60" w:line="240" w:lineRule="auto"/>
              <w:jc w:val="both"/>
              <w:rPr>
                <w:rFonts w:eastAsia="Times New Roman"/>
                <w:color w:val="000000" w:themeColor="text1"/>
                <w:spacing w:val="3"/>
                <w:sz w:val="26"/>
                <w:szCs w:val="26"/>
                <w14:textFill>
                  <w14:solidFill>
                    <w14:schemeClr w14:val="tx1"/>
                  </w14:solidFill>
                </w14:textFill>
              </w:rPr>
            </w:pPr>
            <w:r>
              <w:rPr>
                <w:rFonts w:eastAsia="Times New Roman"/>
                <w:color w:val="000000" w:themeColor="text1"/>
                <w:spacing w:val="3"/>
                <w:sz w:val="26"/>
                <w:szCs w:val="26"/>
                <w14:textFill>
                  <w14:solidFill>
                    <w14:schemeClr w14:val="tx1"/>
                  </w14:solidFill>
                </w14:textFill>
              </w:rPr>
              <w:sym w:font="Symbol" w:char="F02D"/>
            </w:r>
            <w:r>
              <w:rPr>
                <w:rFonts w:eastAsia="Times New Roman"/>
                <w:color w:val="000000" w:themeColor="text1"/>
                <w:spacing w:val="3"/>
                <w:sz w:val="26"/>
                <w:szCs w:val="26"/>
                <w14:textFill>
                  <w14:solidFill>
                    <w14:schemeClr w14:val="tx1"/>
                  </w14:solidFill>
                </w14:textFill>
              </w:rPr>
              <w:t xml:space="preserve"> New products that are result of researching and developing at one of facilities of the National innovation center. </w:t>
            </w:r>
          </w:p>
          <w:p w14:paraId="708C6527">
            <w:pPr>
              <w:shd w:val="clear" w:color="auto" w:fill="FFFFFF"/>
              <w:spacing w:after="60" w:line="240" w:lineRule="auto"/>
              <w:jc w:val="both"/>
              <w:rPr>
                <w:rFonts w:eastAsia="Times New Roman"/>
                <w:color w:val="000000" w:themeColor="text1"/>
                <w:spacing w:val="3"/>
                <w:sz w:val="26"/>
                <w:szCs w:val="26"/>
                <w14:textFill>
                  <w14:solidFill>
                    <w14:schemeClr w14:val="tx1"/>
                  </w14:solidFill>
                </w14:textFill>
              </w:rPr>
            </w:pPr>
            <w:r>
              <w:rPr>
                <w:rFonts w:eastAsia="Times New Roman"/>
                <w:color w:val="000000" w:themeColor="text1"/>
                <w:spacing w:val="3"/>
                <w:sz w:val="26"/>
                <w:szCs w:val="26"/>
                <w14:textFill>
                  <w14:solidFill>
                    <w14:schemeClr w14:val="tx1"/>
                  </w14:solidFill>
                </w14:textFill>
              </w:rPr>
              <w:sym w:font="Symbol" w:char="F02D"/>
            </w:r>
            <w:r>
              <w:rPr>
                <w:rFonts w:eastAsia="Times New Roman"/>
                <w:color w:val="000000" w:themeColor="text1"/>
                <w:spacing w:val="3"/>
                <w:sz w:val="26"/>
                <w:szCs w:val="26"/>
                <w14:textFill>
                  <w14:solidFill>
                    <w14:schemeClr w14:val="tx1"/>
                  </w14:solidFill>
                </w14:textFill>
              </w:rPr>
              <w:t xml:space="preserve"> New products that are result of science researching and technology developing as regulation of law on technology transferring.</w:t>
            </w:r>
          </w:p>
          <w:p w14:paraId="708C6528">
            <w:pPr>
              <w:shd w:val="clear" w:color="auto" w:fill="FFFFFF"/>
              <w:spacing w:after="60" w:line="240" w:lineRule="auto"/>
              <w:jc w:val="both"/>
              <w:rPr>
                <w:color w:val="000000" w:themeColor="text1"/>
                <w:spacing w:val="3"/>
                <w:sz w:val="26"/>
                <w:szCs w:val="26"/>
                <w14:textFill>
                  <w14:solidFill>
                    <w14:schemeClr w14:val="tx1"/>
                  </w14:solidFill>
                </w14:textFill>
              </w:rPr>
            </w:pPr>
            <w:r>
              <w:rPr>
                <w:rFonts w:eastAsia="Times New Roman"/>
                <w:color w:val="000000" w:themeColor="text1"/>
                <w:spacing w:val="3"/>
                <w:sz w:val="26"/>
                <w:szCs w:val="26"/>
                <w14:textFill>
                  <w14:solidFill>
                    <w14:schemeClr w14:val="tx1"/>
                  </w14:solidFill>
                </w14:textFill>
              </w:rPr>
              <w:t xml:space="preserve">- </w:t>
            </w:r>
            <w:r>
              <w:rPr>
                <w:color w:val="000000" w:themeColor="text1"/>
                <w:spacing w:val="3"/>
                <w:sz w:val="26"/>
                <w:szCs w:val="26"/>
                <w14:textFill>
                  <w14:solidFill>
                    <w14:schemeClr w14:val="tx1"/>
                  </w14:solidFill>
                </w14:textFill>
              </w:rPr>
              <w:t>Preference for innovative creative products in this Item shall be applied for an interval of 6 years counted from first time of producing and launched on the market.</w:t>
            </w:r>
          </w:p>
          <w:p w14:paraId="708C6529">
            <w:pPr>
              <w:pStyle w:val="15"/>
              <w:spacing w:before="120" w:after="0" w:line="240" w:lineRule="auto"/>
              <w:jc w:val="both"/>
              <w:rPr>
                <w:rFonts w:eastAsia="Times New Roman"/>
                <w:color w:val="000000" w:themeColor="text1"/>
                <w:sz w:val="26"/>
                <w:szCs w:val="26"/>
                <w14:textFill>
                  <w14:solidFill>
                    <w14:schemeClr w14:val="tx1"/>
                  </w14:solidFill>
                </w14:textFill>
              </w:rPr>
            </w:pPr>
            <w:r>
              <w:rPr>
                <w:rFonts w:eastAsia="Times New Roman"/>
                <w:color w:val="000000" w:themeColor="text1"/>
                <w:sz w:val="26"/>
                <w:szCs w:val="26"/>
                <w14:textFill>
                  <w14:solidFill>
                    <w14:schemeClr w14:val="tx1"/>
                  </w14:solidFill>
                </w14:textFill>
              </w:rPr>
              <w:t>Those cases that are not mentioned in ITB 32.3 shall be applied as specified in</w:t>
            </w:r>
            <w:r>
              <w:rPr>
                <w:rFonts w:eastAsia="Times New Roman"/>
                <w:color w:val="auto"/>
                <w:sz w:val="26"/>
                <w:szCs w:val="26"/>
                <w:highlight w:val="none"/>
              </w:rPr>
              <w:t xml:space="preserve"> Clause 6, 7, 8, 9, 10, Degree No. 214/2025/NĐ-CP. </w:t>
            </w:r>
          </w:p>
        </w:tc>
      </w:tr>
      <w:tr w14:paraId="708C6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52B">
            <w:pPr>
              <w:widowControl w:val="0"/>
              <w:shd w:val="clear" w:color="auto" w:fill="FFFFFF"/>
              <w:tabs>
                <w:tab w:val="right" w:pos="7434"/>
              </w:tabs>
              <w:spacing w:before="40" w:after="40" w:line="240" w:lineRule="auto"/>
              <w:rPr>
                <w:b/>
                <w:iCs/>
                <w:color w:val="000000" w:themeColor="text1"/>
                <w:sz w:val="26"/>
                <w:szCs w:val="26"/>
                <w14:textFill>
                  <w14:solidFill>
                    <w14:schemeClr w14:val="tx1"/>
                  </w14:solidFill>
                </w14:textFill>
              </w:rPr>
            </w:pPr>
            <w:r>
              <w:rPr>
                <w:b/>
                <w:iCs/>
                <w:color w:val="000000" w:themeColor="text1"/>
                <w:sz w:val="26"/>
                <w:szCs w:val="26"/>
                <w14:textFill>
                  <w14:solidFill>
                    <w14:schemeClr w14:val="tx1"/>
                  </w14:solidFill>
                </w14:textFill>
              </w:rPr>
              <w:t>ITB 33.1</w:t>
            </w:r>
          </w:p>
          <w:p w14:paraId="708C652C">
            <w:pPr>
              <w:widowControl w:val="0"/>
              <w:tabs>
                <w:tab w:val="right" w:pos="7434"/>
              </w:tabs>
              <w:spacing w:before="60" w:after="60" w:line="240" w:lineRule="auto"/>
              <w:rPr>
                <w:b/>
                <w:color w:val="000000" w:themeColor="text1"/>
                <w:sz w:val="26"/>
                <w:szCs w:val="26"/>
                <w14:textFill>
                  <w14:solidFill>
                    <w14:schemeClr w14:val="tx1"/>
                  </w14:solidFill>
                </w14:textFill>
              </w:rPr>
            </w:pPr>
          </w:p>
        </w:tc>
        <w:tc>
          <w:tcPr>
            <w:tcW w:w="7655" w:type="dxa"/>
            <w:gridSpan w:val="2"/>
          </w:tcPr>
          <w:p w14:paraId="708C652D">
            <w:pPr>
              <w:widowControl w:val="0"/>
              <w:shd w:val="clear" w:color="auto" w:fill="FFFFFF"/>
              <w:spacing w:before="40" w:after="40" w:line="240"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Evaluation methodologies for Bid:</w:t>
            </w:r>
          </w:p>
          <w:p w14:paraId="708C652E">
            <w:pPr>
              <w:widowControl w:val="0"/>
              <w:shd w:val="clear" w:color="auto" w:fill="FFFFFF"/>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 Evaluate qualification and experience: using “comply/not comply” criteria;</w:t>
            </w:r>
          </w:p>
          <w:p w14:paraId="708C652F">
            <w:pPr>
              <w:widowControl w:val="0"/>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b) </w:t>
            </w:r>
            <w:r>
              <w:rPr>
                <w:bCs/>
                <w:color w:val="000000" w:themeColor="text1"/>
                <w:sz w:val="26"/>
                <w:szCs w:val="26"/>
                <w14:textFill>
                  <w14:solidFill>
                    <w14:schemeClr w14:val="tx1"/>
                  </w14:solidFill>
                </w14:textFill>
              </w:rPr>
              <w:t xml:space="preserve">Evaluate </w:t>
            </w:r>
            <w:r>
              <w:rPr>
                <w:color w:val="000000" w:themeColor="text1"/>
                <w:sz w:val="26"/>
                <w:szCs w:val="26"/>
                <w14:textFill>
                  <w14:solidFill>
                    <w14:schemeClr w14:val="tx1"/>
                  </w14:solidFill>
                </w14:textFill>
              </w:rPr>
              <w:t xml:space="preserve">technical responsiveness: using “comply/not comply” criteria; </w:t>
            </w:r>
          </w:p>
          <w:p w14:paraId="708C6530">
            <w:pPr>
              <w:widowControl w:val="0"/>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 Evaluation methodologies for Bid Price: Lowest price selection method.</w:t>
            </w:r>
          </w:p>
        </w:tc>
      </w:tr>
      <w:tr w14:paraId="708C6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532">
            <w:pPr>
              <w:widowControl w:val="0"/>
              <w:tabs>
                <w:tab w:val="right" w:pos="7434"/>
              </w:tabs>
              <w:spacing w:before="60" w:after="60" w:line="240" w:lineRule="auto"/>
              <w:rPr>
                <w:b/>
                <w:iCs/>
                <w:color w:val="000000" w:themeColor="text1"/>
                <w:sz w:val="26"/>
                <w:szCs w:val="26"/>
                <w14:textFill>
                  <w14:solidFill>
                    <w14:schemeClr w14:val="tx1"/>
                  </w14:solidFill>
                </w14:textFill>
              </w:rPr>
            </w:pPr>
            <w:r>
              <w:rPr>
                <w:b/>
                <w:iCs/>
                <w:color w:val="000000" w:themeColor="text1"/>
                <w:sz w:val="26"/>
                <w:szCs w:val="26"/>
                <w14:textFill>
                  <w14:solidFill>
                    <w14:schemeClr w14:val="tx1"/>
                  </w14:solidFill>
                </w14:textFill>
              </w:rPr>
              <w:t>ITB 35.5</w:t>
            </w:r>
          </w:p>
        </w:tc>
        <w:tc>
          <w:tcPr>
            <w:tcW w:w="7655" w:type="dxa"/>
            <w:gridSpan w:val="2"/>
          </w:tcPr>
          <w:p w14:paraId="708C6533">
            <w:pPr>
              <w:widowControl w:val="0"/>
              <w:shd w:val="clear" w:color="auto" w:fill="FFFFFF"/>
              <w:spacing w:before="40" w:after="40" w:line="240"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Ranking of bidders:</w:t>
            </w:r>
          </w:p>
          <w:p w14:paraId="708C6534">
            <w:pPr>
              <w:widowControl w:val="0"/>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The bidder shall be ranked based on the bid prices after error correction, deviation adjustment, excluding taxes, fees, charges related to goods import, excise tax (if any), VAT for goods and deducts of discount (if any) plus preference value (if any). The bidder with the lowest price shall be ranked the first. </w:t>
            </w:r>
          </w:p>
        </w:tc>
      </w:tr>
      <w:tr w14:paraId="708C6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536">
            <w:pPr>
              <w:widowControl w:val="0"/>
              <w:shd w:val="clear" w:color="auto" w:fill="FFFFFF"/>
              <w:tabs>
                <w:tab w:val="right" w:pos="7434"/>
              </w:tabs>
              <w:spacing w:before="40" w:after="40" w:line="240" w:lineRule="auto"/>
              <w:rPr>
                <w:b/>
                <w:iCs/>
                <w:color w:val="000000" w:themeColor="text1"/>
                <w:sz w:val="26"/>
                <w:szCs w:val="26"/>
                <w14:textFill>
                  <w14:solidFill>
                    <w14:schemeClr w14:val="tx1"/>
                  </w14:solidFill>
                </w14:textFill>
              </w:rPr>
            </w:pPr>
            <w:r>
              <w:rPr>
                <w:b/>
                <w:iCs/>
                <w:color w:val="000000" w:themeColor="text1"/>
                <w:sz w:val="26"/>
                <w:szCs w:val="26"/>
                <w14:textFill>
                  <w14:solidFill>
                    <w14:schemeClr w14:val="tx1"/>
                  </w14:solidFill>
                </w14:textFill>
              </w:rPr>
              <w:t>ITB 38.1</w:t>
            </w:r>
          </w:p>
          <w:p w14:paraId="708C6537">
            <w:pPr>
              <w:widowControl w:val="0"/>
              <w:tabs>
                <w:tab w:val="right" w:pos="7434"/>
              </w:tabs>
              <w:spacing w:before="60" w:after="60" w:line="240" w:lineRule="auto"/>
              <w:rPr>
                <w:b/>
                <w:iCs/>
                <w:color w:val="000000" w:themeColor="text1"/>
                <w:sz w:val="26"/>
                <w:szCs w:val="26"/>
                <w14:textFill>
                  <w14:solidFill>
                    <w14:schemeClr w14:val="tx1"/>
                  </w14:solidFill>
                </w14:textFill>
              </w:rPr>
            </w:pPr>
          </w:p>
        </w:tc>
        <w:tc>
          <w:tcPr>
            <w:tcW w:w="7655" w:type="dxa"/>
            <w:gridSpan w:val="2"/>
          </w:tcPr>
          <w:p w14:paraId="708C6538">
            <w:pPr>
              <w:widowControl w:val="0"/>
              <w:shd w:val="clear" w:color="auto" w:fill="FFFFFF"/>
              <w:tabs>
                <w:tab w:val="right" w:pos="7254"/>
              </w:tabs>
              <w:spacing w:before="40" w:after="40" w:line="240" w:lineRule="auto"/>
              <w:jc w:val="both"/>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The maximum percentage by which quantities may be increased is: 10%</w:t>
            </w:r>
            <w:r>
              <w:rPr>
                <w:iCs/>
                <w:color w:val="000000" w:themeColor="text1"/>
                <w:sz w:val="26"/>
                <w:szCs w:val="26"/>
                <w14:textFill>
                  <w14:solidFill>
                    <w14:schemeClr w14:val="tx1"/>
                  </w14:solidFill>
                </w14:textFill>
              </w:rPr>
              <w:t xml:space="preserve">; </w:t>
            </w:r>
          </w:p>
          <w:p w14:paraId="708C6539">
            <w:pPr>
              <w:widowControl w:val="0"/>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The maximum percentage by which quantities may be decreased is: 10%</w:t>
            </w:r>
            <w:r>
              <w:rPr>
                <w:iCs/>
                <w:color w:val="000000" w:themeColor="text1"/>
                <w:sz w:val="26"/>
                <w:szCs w:val="26"/>
                <w14:textFill>
                  <w14:solidFill>
                    <w14:schemeClr w14:val="tx1"/>
                  </w14:solidFill>
                </w14:textFill>
              </w:rPr>
              <w:t xml:space="preserve">. </w:t>
            </w:r>
          </w:p>
        </w:tc>
      </w:tr>
      <w:tr w14:paraId="708C6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53B">
            <w:pPr>
              <w:widowControl w:val="0"/>
              <w:tabs>
                <w:tab w:val="right" w:pos="7434"/>
              </w:tabs>
              <w:spacing w:before="60" w:after="60" w:line="240" w:lineRule="auto"/>
              <w:rPr>
                <w:b/>
                <w:color w:val="000000" w:themeColor="text1"/>
                <w:sz w:val="26"/>
                <w:szCs w:val="26"/>
                <w14:textFill>
                  <w14:solidFill>
                    <w14:schemeClr w14:val="tx1"/>
                  </w14:solidFill>
                </w14:textFill>
              </w:rPr>
            </w:pPr>
            <w:r>
              <w:rPr>
                <w:b/>
                <w:iCs/>
                <w:color w:val="000000" w:themeColor="text1"/>
                <w:sz w:val="26"/>
                <w:szCs w:val="26"/>
                <w14:textFill>
                  <w14:solidFill>
                    <w14:schemeClr w14:val="tx1"/>
                  </w14:solidFill>
                </w14:textFill>
              </w:rPr>
              <w:t>ITB 38.2</w:t>
            </w:r>
          </w:p>
        </w:tc>
        <w:tc>
          <w:tcPr>
            <w:tcW w:w="7655" w:type="dxa"/>
            <w:gridSpan w:val="2"/>
          </w:tcPr>
          <w:p w14:paraId="708C653C">
            <w:pPr>
              <w:pStyle w:val="97"/>
              <w:widowControl w:val="0"/>
              <w:numPr>
                <w:ilvl w:val="0"/>
                <w:numId w:val="38"/>
              </w:numPr>
              <w:spacing w:before="60" w:after="60"/>
              <w:ind w:left="289" w:hanging="289"/>
              <w:jc w:val="left"/>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Volume of additional</w:t>
            </w:r>
            <w:r>
              <w:rPr>
                <w:color w:val="000000" w:themeColor="text1"/>
                <w:spacing w:val="-3"/>
                <w:sz w:val="26"/>
                <w:szCs w:val="26"/>
                <w14:textFill>
                  <w14:solidFill>
                    <w14:schemeClr w14:val="tx1"/>
                  </w14:solidFill>
                </w14:textFill>
              </w:rPr>
              <w:t xml:space="preserve"> </w:t>
            </w:r>
            <w:r>
              <w:rPr>
                <w:color w:val="000000" w:themeColor="text1"/>
                <w:sz w:val="26"/>
                <w:szCs w:val="26"/>
                <w14:textFill>
                  <w14:solidFill>
                    <w14:schemeClr w14:val="tx1"/>
                  </w14:solidFill>
                </w14:textFill>
              </w:rPr>
              <w:t>purchasing options: Not applicable.</w:t>
            </w:r>
          </w:p>
          <w:p w14:paraId="708C653D">
            <w:pPr>
              <w:pStyle w:val="97"/>
              <w:widowControl w:val="0"/>
              <w:numPr>
                <w:ilvl w:val="0"/>
                <w:numId w:val="38"/>
              </w:numPr>
              <w:spacing w:before="60" w:after="60"/>
              <w:ind w:left="280" w:hanging="2929"/>
              <w:jc w:val="left"/>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Maximum additional</w:t>
            </w:r>
            <w:r>
              <w:rPr>
                <w:color w:val="000000" w:themeColor="text1"/>
                <w:spacing w:val="-3"/>
                <w:sz w:val="26"/>
                <w:szCs w:val="26"/>
                <w14:textFill>
                  <w14:solidFill>
                    <w14:schemeClr w14:val="tx1"/>
                  </w14:solidFill>
                </w14:textFill>
              </w:rPr>
              <w:t xml:space="preserve"> </w:t>
            </w:r>
            <w:r>
              <w:rPr>
                <w:color w:val="000000" w:themeColor="text1"/>
                <w:sz w:val="26"/>
                <w:szCs w:val="26"/>
                <w14:textFill>
                  <w14:solidFill>
                    <w14:schemeClr w14:val="tx1"/>
                  </w14:solidFill>
                </w14:textFill>
              </w:rPr>
              <w:t>purchase rate: Not applicable.</w:t>
            </w:r>
          </w:p>
        </w:tc>
      </w:tr>
      <w:tr w14:paraId="708C6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53F">
            <w:pPr>
              <w:widowControl w:val="0"/>
              <w:tabs>
                <w:tab w:val="right" w:pos="7434"/>
              </w:tabs>
              <w:spacing w:before="60" w:after="60" w:line="240" w:lineRule="auto"/>
              <w:rPr>
                <w:b/>
                <w:color w:val="000000" w:themeColor="text1"/>
                <w:sz w:val="26"/>
                <w:szCs w:val="26"/>
                <w14:textFill>
                  <w14:solidFill>
                    <w14:schemeClr w14:val="tx1"/>
                  </w14:solidFill>
                </w14:textFill>
              </w:rPr>
            </w:pPr>
            <w:r>
              <w:rPr>
                <w:b/>
                <w:iCs/>
                <w:color w:val="000000" w:themeColor="text1"/>
                <w:sz w:val="26"/>
                <w:szCs w:val="26"/>
                <w14:textFill>
                  <w14:solidFill>
                    <w14:schemeClr w14:val="tx1"/>
                  </w14:solidFill>
                </w14:textFill>
              </w:rPr>
              <w:t>ITB 43.2</w:t>
            </w:r>
          </w:p>
        </w:tc>
        <w:tc>
          <w:tcPr>
            <w:tcW w:w="7655" w:type="dxa"/>
            <w:gridSpan w:val="2"/>
          </w:tcPr>
          <w:p w14:paraId="708C6540">
            <w:pPr>
              <w:widowControl w:val="0"/>
              <w:shd w:val="clear" w:color="auto" w:fill="FFFFFF"/>
              <w:spacing w:before="40" w:after="40" w:line="240" w:lineRule="auto"/>
              <w:ind w:firstLine="35"/>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The Purchaser’s address:</w:t>
            </w:r>
          </w:p>
          <w:p w14:paraId="708C6541">
            <w:pPr>
              <w:widowControl w:val="0"/>
              <w:shd w:val="clear" w:color="auto" w:fill="FFFFFF"/>
              <w:spacing w:before="40" w:after="40" w:line="240" w:lineRule="auto"/>
              <w:ind w:firstLine="35"/>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National Power Transmission Corporation</w:t>
            </w:r>
          </w:p>
          <w:p w14:paraId="708C6542">
            <w:pPr>
              <w:widowControl w:val="0"/>
              <w:shd w:val="clear" w:color="auto" w:fill="FFFFFF"/>
              <w:spacing w:before="40" w:after="40" w:line="240" w:lineRule="auto"/>
              <w:ind w:firstLine="35"/>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18 Tran Nguyen Han St., Hoan Kiem Ward, Hanoi, S.R Vietnam </w:t>
            </w:r>
          </w:p>
          <w:p w14:paraId="708C6543">
            <w:pPr>
              <w:widowControl w:val="0"/>
              <w:shd w:val="clear" w:color="auto" w:fill="FFFFFF"/>
              <w:spacing w:before="40" w:after="40" w:line="240" w:lineRule="auto"/>
              <w:ind w:firstLine="35"/>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Telephone: (84-24) 2220 4444; Facsimile number: (84-24) 2220 4455</w:t>
            </w:r>
          </w:p>
          <w:p w14:paraId="708C6544">
            <w:pPr>
              <w:widowControl w:val="0"/>
              <w:shd w:val="clear" w:color="auto" w:fill="FFFFFF"/>
              <w:spacing w:before="40" w:after="40" w:line="240" w:lineRule="auto"/>
              <w:ind w:firstLine="35"/>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The Competent Person’s address:</w:t>
            </w:r>
          </w:p>
          <w:p w14:paraId="708C6545">
            <w:pPr>
              <w:widowControl w:val="0"/>
              <w:shd w:val="clear" w:color="auto" w:fill="FFFFFF"/>
              <w:spacing w:before="40" w:after="40" w:line="240" w:lineRule="auto"/>
              <w:ind w:firstLine="35"/>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National Power Transmission Corporation</w:t>
            </w:r>
          </w:p>
          <w:p w14:paraId="708C6546">
            <w:pPr>
              <w:widowControl w:val="0"/>
              <w:shd w:val="clear" w:color="auto" w:fill="FFFFFF"/>
              <w:spacing w:before="40" w:after="40" w:line="240" w:lineRule="auto"/>
              <w:ind w:firstLine="35"/>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18 Tran Nguyen Han St., Hoan Kiem Ward,  Hanoi, S.R Vietnam </w:t>
            </w:r>
          </w:p>
          <w:p w14:paraId="708C6547">
            <w:pPr>
              <w:widowControl w:val="0"/>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Telephone: (84-24) 2220 4444; Facsimile number: (84-24) 2220 4455</w:t>
            </w:r>
          </w:p>
        </w:tc>
      </w:tr>
      <w:tr w14:paraId="708C6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Pr>
        <w:tc>
          <w:tcPr>
            <w:tcW w:w="1417" w:type="dxa"/>
          </w:tcPr>
          <w:p w14:paraId="708C6549">
            <w:pPr>
              <w:widowControl w:val="0"/>
              <w:tabs>
                <w:tab w:val="right" w:pos="7434"/>
              </w:tabs>
              <w:spacing w:before="60" w:after="60" w:line="240" w:lineRule="auto"/>
              <w:rPr>
                <w:b/>
                <w:color w:val="000000" w:themeColor="text1"/>
                <w:sz w:val="26"/>
                <w:szCs w:val="26"/>
                <w14:textFill>
                  <w14:solidFill>
                    <w14:schemeClr w14:val="tx1"/>
                  </w14:solidFill>
                </w14:textFill>
              </w:rPr>
            </w:pPr>
            <w:r>
              <w:rPr>
                <w:b/>
                <w:iCs/>
                <w:color w:val="000000" w:themeColor="text1"/>
                <w:sz w:val="26"/>
                <w:szCs w:val="26"/>
                <w14:textFill>
                  <w14:solidFill>
                    <w14:schemeClr w14:val="tx1"/>
                  </w14:solidFill>
                </w14:textFill>
              </w:rPr>
              <w:t>ITB 44</w:t>
            </w:r>
          </w:p>
        </w:tc>
        <w:tc>
          <w:tcPr>
            <w:tcW w:w="7655" w:type="dxa"/>
            <w:gridSpan w:val="2"/>
          </w:tcPr>
          <w:p w14:paraId="708C654A">
            <w:pPr>
              <w:widowControl w:val="0"/>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The address of </w:t>
            </w:r>
            <w:r>
              <w:rPr>
                <w:rStyle w:val="94"/>
                <w:color w:val="000000" w:themeColor="text1"/>
                <w:sz w:val="26"/>
                <w:szCs w:val="26"/>
                <w14:textFill>
                  <w14:solidFill>
                    <w14:schemeClr w14:val="tx1"/>
                  </w14:solidFill>
                </w14:textFill>
              </w:rPr>
              <w:t>organization</w:t>
            </w:r>
            <w:r>
              <w:rPr>
                <w:color w:val="000000" w:themeColor="text1"/>
                <w:sz w:val="26"/>
                <w:szCs w:val="26"/>
                <w14:textFill>
                  <w14:solidFill>
                    <w14:schemeClr w14:val="tx1"/>
                  </w14:solidFill>
                </w14:textFill>
              </w:rPr>
              <w:t xml:space="preserve">, </w:t>
            </w:r>
            <w:r>
              <w:rPr>
                <w:rStyle w:val="94"/>
                <w:color w:val="000000" w:themeColor="text1"/>
                <w:sz w:val="26"/>
                <w:szCs w:val="26"/>
                <w14:textFill>
                  <w14:solidFill>
                    <w14:schemeClr w14:val="tx1"/>
                  </w14:solidFill>
                </w14:textFill>
              </w:rPr>
              <w:t>individual performs the task of monitoring: Not applicable.</w:t>
            </w:r>
          </w:p>
        </w:tc>
      </w:tr>
    </w:tbl>
    <w:p w14:paraId="708C654C">
      <w:pPr>
        <w:pStyle w:val="71"/>
        <w:ind w:left="0" w:firstLine="0"/>
        <w:jc w:val="center"/>
        <w:outlineLvl w:val="2"/>
        <w:rPr>
          <w:color w:val="000000" w:themeColor="text1"/>
          <w:sz w:val="28"/>
          <w:szCs w:val="28"/>
          <w14:textFill>
            <w14:solidFill>
              <w14:schemeClr w14:val="tx1"/>
            </w14:solidFill>
          </w14:textFill>
        </w:rPr>
      </w:pPr>
      <w:r>
        <w:rPr>
          <w:color w:val="000000" w:themeColor="text1"/>
          <w:sz w:val="26"/>
          <w:szCs w:val="26"/>
          <w14:textFill>
            <w14:solidFill>
              <w14:schemeClr w14:val="tx1"/>
            </w14:solidFill>
          </w14:textFill>
        </w:rPr>
        <w:br w:type="page"/>
      </w:r>
      <w:r>
        <w:rPr>
          <w:color w:val="000000" w:themeColor="text1"/>
          <w:sz w:val="28"/>
          <w:szCs w:val="28"/>
          <w14:textFill>
            <w14:solidFill>
              <w14:schemeClr w14:val="tx1"/>
            </w14:solidFill>
          </w14:textFill>
        </w:rPr>
        <w:t xml:space="preserve">Section III. BID EVALUATION CRITERIA </w:t>
      </w:r>
    </w:p>
    <w:p w14:paraId="708C654D">
      <w:pPr>
        <w:rPr>
          <w:color w:val="000000" w:themeColor="text1"/>
          <w:sz w:val="26"/>
          <w:szCs w:val="26"/>
          <w14:textFill>
            <w14:solidFill>
              <w14:schemeClr w14:val="tx1"/>
            </w14:solidFill>
          </w14:textFill>
        </w:rPr>
      </w:pPr>
    </w:p>
    <w:p w14:paraId="708C654E">
      <w:pPr>
        <w:pStyle w:val="71"/>
        <w:tabs>
          <w:tab w:val="clear" w:pos="9000"/>
        </w:tabs>
        <w:spacing w:before="120" w:after="120"/>
        <w:ind w:left="0" w:right="0" w:firstLine="284"/>
        <w:outlineLvl w:val="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 Checking and evaluating the eligibility of Bid</w:t>
      </w:r>
    </w:p>
    <w:p w14:paraId="708C654F">
      <w:pPr>
        <w:spacing w:before="120" w:after="120" w:line="240" w:lineRule="auto"/>
        <w:ind w:firstLine="284"/>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1.1. Checking eligibility of the Bid</w:t>
      </w:r>
    </w:p>
    <w:p w14:paraId="708C6550">
      <w:pPr>
        <w:shd w:val="clear" w:color="auto" w:fill="FFFFFF"/>
        <w:tabs>
          <w:tab w:val="left" w:pos="851"/>
        </w:tabs>
        <w:spacing w:before="120" w:after="0" w:line="240" w:lineRule="auto"/>
        <w:ind w:left="851" w:hanging="567"/>
        <w:jc w:val="both"/>
        <w:rPr>
          <w:sz w:val="26"/>
          <w:szCs w:val="26"/>
        </w:rPr>
      </w:pPr>
      <w:r>
        <w:rPr>
          <w:color w:val="000000" w:themeColor="text1"/>
          <w:sz w:val="26"/>
          <w:szCs w:val="26"/>
          <w14:textFill>
            <w14:solidFill>
              <w14:schemeClr w14:val="tx1"/>
            </w14:solidFill>
          </w14:textFill>
        </w:rPr>
        <w:t>a)</w:t>
      </w:r>
      <w:r>
        <w:rPr>
          <w:color w:val="000000" w:themeColor="text1"/>
          <w:sz w:val="26"/>
          <w:szCs w:val="26"/>
          <w14:textFill>
            <w14:solidFill>
              <w14:schemeClr w14:val="tx1"/>
            </w14:solidFill>
          </w14:textFill>
        </w:rPr>
        <w:tab/>
      </w:r>
      <w:r>
        <w:rPr>
          <w:sz w:val="26"/>
          <w:szCs w:val="26"/>
        </w:rPr>
        <w:t>Checking the number of original and copies of the Bid;</w:t>
      </w:r>
    </w:p>
    <w:p w14:paraId="708C6551">
      <w:pPr>
        <w:shd w:val="clear" w:color="auto" w:fill="FFFFFF"/>
        <w:tabs>
          <w:tab w:val="left" w:pos="851"/>
        </w:tabs>
        <w:spacing w:before="120" w:after="0" w:line="240" w:lineRule="auto"/>
        <w:ind w:left="851" w:hanging="567"/>
        <w:jc w:val="both"/>
        <w:rPr>
          <w:sz w:val="26"/>
          <w:szCs w:val="26"/>
        </w:rPr>
      </w:pPr>
      <w:r>
        <w:rPr>
          <w:sz w:val="26"/>
          <w:szCs w:val="26"/>
        </w:rPr>
        <w:t xml:space="preserve">b) </w:t>
      </w:r>
      <w:r>
        <w:rPr>
          <w:sz w:val="26"/>
          <w:szCs w:val="26"/>
        </w:rPr>
        <w:tab/>
      </w:r>
      <w:r>
        <w:rPr>
          <w:sz w:val="26"/>
          <w:szCs w:val="26"/>
        </w:rPr>
        <w:t>Checking the components original of the Bids, including: letter of the Bid, Consortium agreement (if any), documents proving the eligibility of the person signing the submission letter (if any); bid security, documents proving eligibility; documents proving qualifications and experience; technical proposal and other components of the Bid as required in ITB 10;</w:t>
      </w:r>
    </w:p>
    <w:p w14:paraId="708C6552">
      <w:pPr>
        <w:shd w:val="clear" w:color="auto" w:fill="FFFFFF"/>
        <w:tabs>
          <w:tab w:val="left" w:pos="851"/>
        </w:tabs>
        <w:spacing w:before="120" w:after="0" w:line="240" w:lineRule="auto"/>
        <w:ind w:left="851" w:hanging="567"/>
        <w:jc w:val="both"/>
        <w:rPr>
          <w:sz w:val="26"/>
          <w:szCs w:val="26"/>
        </w:rPr>
      </w:pPr>
      <w:r>
        <w:rPr>
          <w:sz w:val="26"/>
          <w:szCs w:val="26"/>
        </w:rPr>
        <w:t>c)</w:t>
      </w:r>
      <w:r>
        <w:rPr>
          <w:sz w:val="26"/>
          <w:szCs w:val="26"/>
        </w:rPr>
        <w:tab/>
      </w:r>
      <w:r>
        <w:rPr>
          <w:sz w:val="26"/>
          <w:szCs w:val="26"/>
        </w:rPr>
        <w:t>Checking the consistency in contents of the original and copies for the detail evaluation of the Bid.</w:t>
      </w:r>
    </w:p>
    <w:p w14:paraId="708C6553">
      <w:pPr>
        <w:shd w:val="clear" w:color="auto" w:fill="FFFFFF"/>
        <w:tabs>
          <w:tab w:val="left" w:pos="851"/>
        </w:tabs>
        <w:spacing w:before="120" w:after="0" w:line="240" w:lineRule="auto"/>
        <w:ind w:left="851"/>
        <w:jc w:val="both"/>
        <w:rPr>
          <w:sz w:val="26"/>
          <w:szCs w:val="26"/>
        </w:rPr>
      </w:pPr>
      <w:r>
        <w:rPr>
          <w:sz w:val="26"/>
          <w:szCs w:val="26"/>
        </w:rPr>
        <w:t>Checking the eligibility of the Bid is not a reason to reject the Bid.</w:t>
      </w:r>
    </w:p>
    <w:p w14:paraId="708C6554">
      <w:pPr>
        <w:tabs>
          <w:tab w:val="left" w:pos="851"/>
        </w:tabs>
        <w:spacing w:before="120" w:after="120" w:line="240" w:lineRule="auto"/>
        <w:ind w:left="851" w:hanging="567"/>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1.2. Evaluating eligibility of the Bid</w:t>
      </w:r>
    </w:p>
    <w:p w14:paraId="708C6555">
      <w:pPr>
        <w:shd w:val="clear" w:color="auto" w:fill="FFFFFF"/>
        <w:spacing w:before="120" w:after="0" w:line="240" w:lineRule="auto"/>
        <w:ind w:left="284"/>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The </w:t>
      </w:r>
      <w:r>
        <w:rPr>
          <w:bCs/>
          <w:color w:val="000000" w:themeColor="text1"/>
          <w:sz w:val="26"/>
          <w:szCs w:val="26"/>
          <w14:textFill>
            <w14:solidFill>
              <w14:schemeClr w14:val="tx1"/>
            </w14:solidFill>
          </w14:textFill>
        </w:rPr>
        <w:t>Bid</w:t>
      </w:r>
      <w:r>
        <w:rPr>
          <w:color w:val="000000" w:themeColor="text1"/>
          <w:sz w:val="26"/>
          <w:szCs w:val="26"/>
          <w14:textFill>
            <w14:solidFill>
              <w14:schemeClr w14:val="tx1"/>
            </w14:solidFill>
          </w14:textFill>
        </w:rPr>
        <w:t xml:space="preserve"> is evaluated eligible when it fully meets the following: </w:t>
      </w:r>
    </w:p>
    <w:p w14:paraId="708C6556">
      <w:pPr>
        <w:shd w:val="clear" w:color="auto" w:fill="FFFFFF"/>
        <w:tabs>
          <w:tab w:val="left" w:pos="851"/>
        </w:tabs>
        <w:spacing w:before="120" w:after="0" w:line="240" w:lineRule="auto"/>
        <w:ind w:left="851" w:hanging="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w:t>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 xml:space="preserve">Including original of the Bid; </w:t>
      </w:r>
    </w:p>
    <w:p w14:paraId="708C6557">
      <w:pPr>
        <w:shd w:val="clear" w:color="auto" w:fill="FFFFFF"/>
        <w:tabs>
          <w:tab w:val="left" w:pos="851"/>
        </w:tabs>
        <w:spacing w:before="120" w:after="0" w:line="240" w:lineRule="auto"/>
        <w:ind w:left="851" w:hanging="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w:t>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 xml:space="preserve">Including Letter of Bid which is signed and stamped (if any) by legal representative of the Bidder; </w:t>
      </w:r>
      <w:r>
        <w:rPr>
          <w:sz w:val="26"/>
          <w:szCs w:val="26"/>
        </w:rPr>
        <w:t>the time for signing the Letter of Bid must be consistent with the time of starting the bidding selection</w:t>
      </w:r>
      <w:r>
        <w:rPr>
          <w:color w:val="000000" w:themeColor="text1"/>
          <w:sz w:val="26"/>
          <w:szCs w:val="26"/>
          <w14:textFill>
            <w14:solidFill>
              <w14:schemeClr w14:val="tx1"/>
            </w14:solidFill>
          </w14:textFill>
        </w:rPr>
        <w:t xml:space="preserve">; </w:t>
      </w:r>
      <w:bookmarkStart w:id="8" w:name="_Hlk196405433"/>
      <w:r>
        <w:rPr>
          <w:sz w:val="26"/>
          <w:szCs w:val="26"/>
        </w:rPr>
        <w:t xml:space="preserve">the Bid price quoted by the Bidder in the Letter of Bid must be specific, fixed in number, in words and the bid price in numbers or words must be logically and consistent with the total bid price stated in the summary of bid price, </w:t>
      </w:r>
      <w:r>
        <w:rPr>
          <w:color w:val="000000" w:themeColor="text1"/>
          <w:sz w:val="26"/>
          <w:szCs w:val="26"/>
          <w14:textFill>
            <w14:solidFill>
              <w14:schemeClr w14:val="tx1"/>
            </w14:solidFill>
          </w14:textFill>
        </w:rPr>
        <w:t xml:space="preserve">the Bidder does not offer various price proposal or it is accompanied with conditions which are unfavorable to the Purchaser. </w:t>
      </w:r>
      <w:bookmarkEnd w:id="8"/>
      <w:bookmarkStart w:id="9" w:name="_Hlk196405630"/>
      <w:r>
        <w:rPr>
          <w:color w:val="000000" w:themeColor="text1"/>
          <w:sz w:val="26"/>
          <w:szCs w:val="26"/>
          <w14:textFill>
            <w14:solidFill>
              <w14:schemeClr w14:val="tx1"/>
            </w14:solidFill>
          </w14:textFill>
        </w:rPr>
        <w:t xml:space="preserve">In case of consortium, the Letter of Bid shall be signed and stamped (if any) by legal representatives of all the members of consortium or an authorized representative of consortium under assignment in Consortium agreement.  </w:t>
      </w:r>
    </w:p>
    <w:bookmarkEnd w:id="9"/>
    <w:p w14:paraId="708C6558">
      <w:pPr>
        <w:widowControl w:val="0"/>
        <w:shd w:val="clear" w:color="auto" w:fill="FFFFFF"/>
        <w:tabs>
          <w:tab w:val="left" w:pos="882"/>
        </w:tabs>
        <w:spacing w:before="120" w:after="0" w:line="240" w:lineRule="auto"/>
        <w:ind w:left="882" w:hanging="598"/>
        <w:jc w:val="both"/>
        <w:rPr>
          <w:sz w:val="26"/>
          <w:szCs w:val="26"/>
        </w:rPr>
      </w:pPr>
      <w:r>
        <w:rPr>
          <w:color w:val="000000" w:themeColor="text1"/>
          <w:sz w:val="26"/>
          <w:szCs w:val="26"/>
          <w14:textFill>
            <w14:solidFill>
              <w14:schemeClr w14:val="tx1"/>
            </w14:solidFill>
          </w14:textFill>
        </w:rPr>
        <w:t>c)</w:t>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 xml:space="preserve">Validity period of Bid must satisfy requirements </w:t>
      </w:r>
      <w:r>
        <w:rPr>
          <w:sz w:val="26"/>
          <w:szCs w:val="26"/>
        </w:rPr>
        <w:t xml:space="preserve">as specified in ITB 17.1. </w:t>
      </w:r>
    </w:p>
    <w:p w14:paraId="708C6559">
      <w:pPr>
        <w:shd w:val="clear" w:color="auto" w:fill="FFFFFF"/>
        <w:tabs>
          <w:tab w:val="left" w:pos="851"/>
        </w:tabs>
        <w:spacing w:before="120" w:after="0" w:line="240" w:lineRule="auto"/>
        <w:ind w:left="851" w:hanging="567"/>
        <w:jc w:val="both"/>
        <w:rPr>
          <w:sz w:val="26"/>
          <w:szCs w:val="26"/>
        </w:rPr>
      </w:pPr>
      <w:r>
        <w:rPr>
          <w:color w:val="000000" w:themeColor="text1"/>
          <w:sz w:val="26"/>
          <w:szCs w:val="26"/>
          <w14:textFill>
            <w14:solidFill>
              <w14:schemeClr w14:val="tx1"/>
            </w14:solidFill>
          </w14:textFill>
        </w:rPr>
        <w:t>d)</w:t>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 xml:space="preserve">Bid security satisfies all provisions specified in ITB 18.3. </w:t>
      </w:r>
      <w:r>
        <w:rPr>
          <w:sz w:val="26"/>
          <w:szCs w:val="26"/>
        </w:rPr>
        <w:t xml:space="preserve">The bid security must be signed and stamped (if any) by a legal representative of a domestic credit institution or foreign bank branch established under Vietnamese law, </w:t>
      </w:r>
      <w:r>
        <w:rPr>
          <w:color w:val="000000" w:themeColor="text1"/>
          <w:sz w:val="26"/>
          <w:szCs w:val="26"/>
          <w14:textFill>
            <w14:solidFill>
              <w14:schemeClr w14:val="tx1"/>
            </w14:solidFill>
          </w14:textFill>
        </w:rPr>
        <w:t xml:space="preserve">a domestic non-life insurer or branch of a foreign non-life insurer duly established under the law of Vietnam </w:t>
      </w:r>
      <w:r>
        <w:rPr>
          <w:sz w:val="26"/>
          <w:szCs w:val="26"/>
        </w:rPr>
        <w:t xml:space="preserve">with the guarantee value, validity period and beneficiary as required by the BDs. The bid security or </w:t>
      </w:r>
      <w:r>
        <w:rPr>
          <w:color w:val="000000" w:themeColor="text1"/>
          <w:sz w:val="26"/>
          <w:szCs w:val="26"/>
          <w14:textFill>
            <w14:solidFill>
              <w14:schemeClr w14:val="tx1"/>
            </w14:solidFill>
          </w14:textFill>
        </w:rPr>
        <w:t xml:space="preserve">certificate of surety bond insurance </w:t>
      </w:r>
      <w:r>
        <w:rPr>
          <w:sz w:val="26"/>
          <w:szCs w:val="26"/>
        </w:rPr>
        <w:t>must not be signed before the Purchaser issues the BDs; must not be signed before the time of signing the consortium agreement in the case of the consortium; must not be accompanied by conditions that are unfavorable to the Investor, the Purchaser (including failure to fully meet the commitments as prescribed in Form No. 4(a), Form No. 4(b) Section IV).</w:t>
      </w:r>
    </w:p>
    <w:p w14:paraId="708C655A">
      <w:pPr>
        <w:shd w:val="clear" w:color="auto" w:fill="FFFFFF"/>
        <w:tabs>
          <w:tab w:val="left" w:pos="851"/>
        </w:tabs>
        <w:spacing w:before="120" w:after="0" w:line="240" w:lineRule="auto"/>
        <w:ind w:left="851" w:hanging="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e)</w:t>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The Bidder shall not participate in two or more Bids as an independent bidder or member of consortium. In case the bidding package is divided into many independent lots, the Bidder shall not participate in two or more Bids in one lot as an independent bidder or member of a consortium.</w:t>
      </w:r>
    </w:p>
    <w:p w14:paraId="708C655B">
      <w:pPr>
        <w:shd w:val="clear" w:color="auto" w:fill="FFFFFF"/>
        <w:tabs>
          <w:tab w:val="left" w:pos="851"/>
        </w:tabs>
        <w:spacing w:before="120" w:after="0" w:line="240" w:lineRule="auto"/>
        <w:ind w:left="851" w:hanging="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f)     Consortium agreement (in case of consortium) shall be signed and stamped (if any) by legal representative of each consortium member; consortium agreement shall explicitly state specific scope and estimated value that each consortium member will perform according to Form 3 Section IV – Bidding Forms of the BDs. The division of work in Consortium must be based on the items stated in the bid price list or according to the work in the production process of the items in the bid price list. Do not divide tasks that do not belong to these items or do not belong to the production process of these items; </w:t>
      </w:r>
    </w:p>
    <w:p w14:paraId="708C655C">
      <w:pPr>
        <w:shd w:val="clear" w:color="auto" w:fill="FFFFFF"/>
        <w:tabs>
          <w:tab w:val="left" w:pos="851"/>
        </w:tabs>
        <w:spacing w:before="120" w:after="0" w:line="240" w:lineRule="auto"/>
        <w:ind w:left="851" w:hanging="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g)</w:t>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The Bidder shall satisfy provisions in ITB 5 of the BDs.</w:t>
      </w:r>
    </w:p>
    <w:p w14:paraId="708C655D">
      <w:pPr>
        <w:shd w:val="clear" w:color="auto" w:fill="FFFFFF"/>
        <w:tabs>
          <w:tab w:val="left" w:pos="851"/>
        </w:tabs>
        <w:spacing w:before="120" w:after="0" w:line="240" w:lineRule="auto"/>
        <w:ind w:left="851" w:hanging="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h)</w:t>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Within an interval of 3 years before the deadline for bid submission, none of personnel of the Bidder (personnel signed in labor contract with the Bidder at time that such personnel committed violations) was convicted of violations of bidding provisions result in serious consequence as specified in Criminal law the purpose of which is to support the Bidder to win bidding package.</w:t>
      </w:r>
    </w:p>
    <w:p w14:paraId="708C655E">
      <w:pPr>
        <w:shd w:val="clear" w:color="auto" w:fill="FFFFFF"/>
        <w:tabs>
          <w:tab w:val="left" w:pos="567"/>
        </w:tabs>
        <w:spacing w:before="120" w:after="0" w:line="240" w:lineRule="auto"/>
        <w:ind w:left="426" w:hanging="142"/>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The Bidder with eligibility Bid will be evaluated further qualification and experience.</w:t>
      </w:r>
    </w:p>
    <w:p w14:paraId="708C655F">
      <w:pPr>
        <w:pStyle w:val="71"/>
        <w:widowControl w:val="0"/>
        <w:tabs>
          <w:tab w:val="clear" w:pos="9000"/>
        </w:tabs>
        <w:suppressAutoHyphens w:val="0"/>
        <w:spacing w:before="120" w:after="120"/>
        <w:ind w:left="0" w:right="0" w:firstLine="284"/>
        <w:outlineLvl w:val="2"/>
        <w:rPr>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 xml:space="preserve">2. Evaluation criteria for </w:t>
      </w:r>
      <w:r>
        <w:rPr>
          <w:color w:val="000000" w:themeColor="text1"/>
          <w:sz w:val="26"/>
          <w:szCs w:val="26"/>
          <w14:textFill>
            <w14:solidFill>
              <w14:schemeClr w14:val="tx1"/>
            </w14:solidFill>
          </w14:textFill>
        </w:rPr>
        <w:t>qualification and experience</w:t>
      </w:r>
    </w:p>
    <w:p w14:paraId="708C6560">
      <w:pPr>
        <w:tabs>
          <w:tab w:val="left" w:pos="567"/>
        </w:tabs>
        <w:spacing w:before="120" w:after="120" w:line="240" w:lineRule="auto"/>
        <w:ind w:left="567"/>
        <w:jc w:val="both"/>
        <w:rPr>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 xml:space="preserve">Evaluation criteria for </w:t>
      </w:r>
      <w:r>
        <w:rPr>
          <w:color w:val="000000" w:themeColor="text1"/>
          <w:sz w:val="26"/>
          <w:szCs w:val="26"/>
          <w14:textFill>
            <w14:solidFill>
              <w14:schemeClr w14:val="tx1"/>
            </w14:solidFill>
          </w14:textFill>
        </w:rPr>
        <w:t>qualification and experience shall comply with the provisions of Table No. 01 (for bidders who are not manufacturers of goods offered in this package) or Table No. 02 (for the bidder who is the manufacturer</w:t>
      </w:r>
      <w:r>
        <w:rPr>
          <w:color w:val="000000" w:themeColor="text1"/>
          <w:sz w:val="26"/>
          <w:szCs w:val="26"/>
          <w:vertAlign w:val="superscript"/>
          <w14:textFill>
            <w14:solidFill>
              <w14:schemeClr w14:val="tx1"/>
            </w14:solidFill>
          </w14:textFill>
        </w:rPr>
        <w:t xml:space="preserve"> </w:t>
      </w:r>
      <w:r>
        <w:rPr>
          <w:color w:val="000000" w:themeColor="text1"/>
          <w:sz w:val="26"/>
          <w:szCs w:val="26"/>
          <w14:textFill>
            <w14:solidFill>
              <w14:schemeClr w14:val="tx1"/>
            </w14:solidFill>
          </w14:textFill>
        </w:rPr>
        <w:t>of the goods offered), the bidder is evaluated to comply the qualification and experience when meets all evaluation criteria. The qualifications and experience of subcontractors will not be considered when evaluating the bidder's Bid. The bidder itself must meet the evaluation criteria for qualification and experience.</w:t>
      </w:r>
    </w:p>
    <w:p w14:paraId="708C6561">
      <w:pPr>
        <w:pStyle w:val="97"/>
        <w:widowControl w:val="0"/>
        <w:shd w:val="clear" w:color="auto" w:fill="FFFFFF"/>
        <w:spacing w:before="120"/>
        <w:ind w:left="567"/>
        <w:rPr>
          <w:rStyle w:val="640"/>
          <w:color w:val="FF0000"/>
          <w:lang w:eastAsia="vi-VN"/>
        </w:rPr>
      </w:pPr>
      <w:r>
        <w:rPr>
          <w:color w:val="000000" w:themeColor="text1"/>
          <w:spacing w:val="3"/>
          <w:sz w:val="26"/>
          <w:szCs w:val="26"/>
          <w14:textFill>
            <w14:solidFill>
              <w14:schemeClr w14:val="tx1"/>
            </w14:solidFill>
          </w14:textFill>
        </w:rPr>
        <w:t>Preference f</w:t>
      </w:r>
      <w:r>
        <w:rPr>
          <w:color w:val="000000" w:themeColor="text1"/>
          <w:sz w:val="26"/>
          <w:szCs w:val="26"/>
          <w14:textFill>
            <w14:solidFill>
              <w14:schemeClr w14:val="tx1"/>
            </w14:solidFill>
          </w14:textFill>
        </w:rPr>
        <w:t>or the domestic enterprises that start up creative business, the domestic Bidders that are transferred technology for manufacturing products originating in Vietnam, the dome</w:t>
      </w:r>
      <w:r>
        <w:rPr>
          <w:color w:val="000000" w:themeColor="text1"/>
          <w:sz w:val="26"/>
          <w:szCs w:val="26"/>
          <w:highlight w:val="none"/>
          <w14:textFill>
            <w14:solidFill>
              <w14:schemeClr w14:val="tx1"/>
            </w14:solidFill>
          </w14:textFill>
        </w:rPr>
        <w:t>stic bidders that manufacture goods originating in Vietnam shall be applied as specified in Clause 9 and 10 Decree No. 214/2025/ND-CP dated 04/8/2025</w:t>
      </w:r>
      <w:r>
        <w:rPr>
          <w:color w:val="FF0000"/>
          <w:sz w:val="26"/>
          <w:szCs w:val="26"/>
          <w:highlight w:val="none"/>
        </w:rPr>
        <w:t xml:space="preserve">. </w:t>
      </w:r>
      <w:r>
        <w:rPr>
          <w:color w:val="000000" w:themeColor="text1"/>
          <w:sz w:val="26"/>
          <w:szCs w:val="26"/>
          <w:highlight w:val="none"/>
          <w14:textFill>
            <w14:solidFill>
              <w14:schemeClr w14:val="tx1"/>
            </w14:solidFill>
          </w14:textFill>
        </w:rPr>
        <w:t xml:space="preserve">If </w:t>
      </w:r>
      <w:r>
        <w:rPr>
          <w:color w:val="000000" w:themeColor="text1"/>
          <w:spacing w:val="3"/>
          <w:sz w:val="26"/>
          <w:szCs w:val="26"/>
          <w:highlight w:val="none"/>
          <w14:textFill>
            <w14:solidFill>
              <w14:schemeClr w14:val="tx1"/>
            </w14:solidFill>
          </w14:textFill>
        </w:rPr>
        <w:t xml:space="preserve">Preference </w:t>
      </w:r>
      <w:r>
        <w:rPr>
          <w:color w:val="000000" w:themeColor="text1"/>
          <w:sz w:val="26"/>
          <w:szCs w:val="26"/>
          <w:highlight w:val="none"/>
          <w14:textFill>
            <w14:solidFill>
              <w14:schemeClr w14:val="tx1"/>
            </w14:solidFill>
          </w14:textFill>
        </w:rPr>
        <w:t>under Article 10 of Decree 214 are applied</w:t>
      </w:r>
      <w:r>
        <w:rPr>
          <w:rStyle w:val="640"/>
          <w:color w:val="000000" w:themeColor="text1"/>
          <w:highlight w:val="none"/>
          <w:lang w:eastAsia="vi-VN"/>
          <w14:textFill>
            <w14:solidFill>
              <w14:schemeClr w14:val="tx1"/>
            </w14:solidFill>
          </w14:textFill>
        </w:rPr>
        <w:t>, the Purchaser can make additio</w:t>
      </w:r>
      <w:r>
        <w:rPr>
          <w:rStyle w:val="640"/>
          <w:color w:val="000000" w:themeColor="text1"/>
          <w:lang w:eastAsia="vi-VN"/>
          <w14:textFill>
            <w14:solidFill>
              <w14:schemeClr w14:val="tx1"/>
            </w14:solidFill>
          </w14:textFill>
        </w:rPr>
        <w:t xml:space="preserve">nal requests to bidders receiving </w:t>
      </w:r>
      <w:r>
        <w:rPr>
          <w:color w:val="000000" w:themeColor="text1"/>
          <w:spacing w:val="3"/>
          <w:sz w:val="26"/>
          <w:szCs w:val="26"/>
          <w14:textFill>
            <w14:solidFill>
              <w14:schemeClr w14:val="tx1"/>
            </w14:solidFill>
          </w14:textFill>
        </w:rPr>
        <w:t>Preference</w:t>
      </w:r>
      <w:r>
        <w:rPr>
          <w:rStyle w:val="640"/>
          <w:color w:val="000000" w:themeColor="text1"/>
          <w:lang w:eastAsia="vi-VN"/>
          <w14:textFill>
            <w14:solidFill>
              <w14:schemeClr w14:val="tx1"/>
            </w14:solidFill>
          </w14:textFill>
        </w:rPr>
        <w:t xml:space="preserve">, such as: </w:t>
      </w:r>
      <w:r>
        <w:rPr>
          <w:color w:val="000000" w:themeColor="text1"/>
          <w:sz w:val="26"/>
          <w:szCs w:val="26"/>
          <w:lang w:eastAsia="vi-VN"/>
          <w14:textFill>
            <w14:solidFill>
              <w14:schemeClr w14:val="tx1"/>
            </w14:solidFill>
          </w14:textFill>
        </w:rPr>
        <w:t>increasing the warranty period (the warranty period will be increased for 3 years more compared to the period required by BDs</w:t>
      </w:r>
      <w:r>
        <w:rPr>
          <w:rStyle w:val="640"/>
          <w:color w:val="FF0000"/>
          <w:lang w:eastAsia="vi-VN"/>
        </w:rPr>
        <w:t xml:space="preserve">. </w:t>
      </w:r>
    </w:p>
    <w:p w14:paraId="708C6562">
      <w:pPr>
        <w:widowControl w:val="0"/>
        <w:shd w:val="clear" w:color="auto" w:fill="FFFFFF"/>
        <w:spacing w:before="120" w:after="0" w:line="240" w:lineRule="auto"/>
        <w:ind w:left="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For annual revenue or information on the bidder's financial situation during the year, source of exchange rate shall be made at the selling rate published by Bank for Foreign Trade of Vietnam (Vietcombank) on the last day of the fiscal year.</w:t>
      </w:r>
    </w:p>
    <w:p w14:paraId="708C6563">
      <w:pPr>
        <w:widowControl w:val="0"/>
        <w:shd w:val="clear" w:color="auto" w:fill="FFFFFF"/>
        <w:spacing w:before="120" w:after="0" w:line="240" w:lineRule="auto"/>
        <w:ind w:left="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For the value of similar contracts: Source of exchange rate shall be made at the selling rate published by Bank for Foreign Trade of Vietnam (Vietcombank) on the date of signing similar contracts.</w:t>
      </w:r>
    </w:p>
    <w:p w14:paraId="708C6564">
      <w:pPr>
        <w:pStyle w:val="97"/>
        <w:widowControl w:val="0"/>
        <w:shd w:val="clear" w:color="auto" w:fill="FFFFFF"/>
        <w:spacing w:before="120"/>
        <w:ind w:left="567"/>
        <w:rPr>
          <w:rStyle w:val="640"/>
          <w:color w:val="FF0000"/>
          <w:lang w:eastAsia="vi-VN"/>
        </w:rPr>
      </w:pPr>
    </w:p>
    <w:p w14:paraId="708C6565">
      <w:pPr>
        <w:pStyle w:val="97"/>
        <w:widowControl w:val="0"/>
        <w:shd w:val="clear" w:color="auto" w:fill="FFFFFF"/>
        <w:spacing w:before="120"/>
        <w:ind w:left="567"/>
        <w:rPr>
          <w:rStyle w:val="640"/>
          <w:b/>
          <w:color w:val="000000" w:themeColor="text1"/>
          <w14:textFill>
            <w14:solidFill>
              <w14:schemeClr w14:val="tx1"/>
            </w14:solidFill>
          </w14:textFill>
        </w:rPr>
      </w:pPr>
    </w:p>
    <w:p w14:paraId="708C6566">
      <w:pPr>
        <w:pStyle w:val="97"/>
        <w:widowControl w:val="0"/>
        <w:shd w:val="clear" w:color="auto" w:fill="FFFFFF"/>
        <w:spacing w:before="120"/>
        <w:ind w:left="567"/>
        <w:rPr>
          <w:color w:val="000000" w:themeColor="text1"/>
          <w:sz w:val="26"/>
          <w:szCs w:val="26"/>
          <w14:textFill>
            <w14:solidFill>
              <w14:schemeClr w14:val="tx1"/>
            </w14:solidFill>
          </w14:textFill>
        </w:rPr>
      </w:pPr>
    </w:p>
    <w:p w14:paraId="708C6567">
      <w:pPr>
        <w:tabs>
          <w:tab w:val="left" w:pos="567"/>
        </w:tabs>
        <w:spacing w:before="120" w:after="120" w:line="240" w:lineRule="auto"/>
        <w:jc w:val="both"/>
        <w:rPr>
          <w:color w:val="000000" w:themeColor="text1"/>
          <w:sz w:val="26"/>
          <w:szCs w:val="26"/>
          <w14:textFill>
            <w14:solidFill>
              <w14:schemeClr w14:val="tx1"/>
            </w14:solidFill>
          </w14:textFill>
        </w:rPr>
        <w:sectPr>
          <w:headerReference r:id="rId11" w:type="default"/>
          <w:footerReference r:id="rId13" w:type="default"/>
          <w:headerReference r:id="rId12" w:type="even"/>
          <w:footnotePr>
            <w:numRestart w:val="eachPage"/>
          </w:footnotePr>
          <w:pgSz w:w="11907" w:h="16840"/>
          <w:pgMar w:top="1134" w:right="1134" w:bottom="1134" w:left="1701" w:header="737" w:footer="737" w:gutter="0"/>
          <w:cols w:space="720" w:num="1"/>
        </w:sectPr>
      </w:pPr>
    </w:p>
    <w:p w14:paraId="708C6568">
      <w:pPr>
        <w:pStyle w:val="71"/>
        <w:widowControl w:val="0"/>
        <w:tabs>
          <w:tab w:val="clear" w:pos="9000"/>
        </w:tabs>
        <w:suppressAutoHyphens w:val="0"/>
        <w:spacing w:before="120" w:after="120"/>
        <w:ind w:left="0" w:right="0" w:firstLine="284"/>
        <w:outlineLvl w:val="2"/>
        <w:rPr>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 xml:space="preserve">2.1. Evaluation criteria for </w:t>
      </w:r>
      <w:r>
        <w:rPr>
          <w:color w:val="000000" w:themeColor="text1"/>
          <w:sz w:val="26"/>
          <w:szCs w:val="26"/>
          <w14:textFill>
            <w14:solidFill>
              <w14:schemeClr w14:val="tx1"/>
            </w14:solidFill>
          </w14:textFill>
        </w:rPr>
        <w:t>qualification and experience</w:t>
      </w:r>
    </w:p>
    <w:p w14:paraId="708C6569">
      <w:pPr>
        <w:pStyle w:val="103"/>
        <w:tabs>
          <w:tab w:val="left" w:leader="dot" w:pos="8424"/>
        </w:tabs>
        <w:spacing w:before="120" w:after="120" w:line="240" w:lineRule="auto"/>
        <w:ind w:firstLine="567"/>
        <w:jc w:val="both"/>
        <w:outlineLvl w:val="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Evaluation of qualification and experience is carried out according to the following table:</w:t>
      </w:r>
    </w:p>
    <w:p w14:paraId="708C656A">
      <w:pPr>
        <w:shd w:val="clear" w:color="auto" w:fill="FFFFFF"/>
        <w:spacing w:before="120" w:after="12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TABLE No.1: TABLE OF EVALUATION CRITERIA FOR QUALIFICATION AND EXPERIENCE</w:t>
      </w:r>
    </w:p>
    <w:p w14:paraId="708C656B">
      <w:pPr>
        <w:shd w:val="clear" w:color="auto" w:fill="FFFFFF"/>
        <w:spacing w:before="120" w:after="120" w:line="240" w:lineRule="auto"/>
        <w:jc w:val="center"/>
        <w:rPr>
          <w:b/>
          <w:i/>
          <w:color w:val="000000" w:themeColor="text1"/>
          <w:sz w:val="26"/>
          <w:szCs w:val="26"/>
          <w14:textFill>
            <w14:solidFill>
              <w14:schemeClr w14:val="tx1"/>
            </w14:solidFill>
          </w14:textFill>
        </w:rPr>
      </w:pPr>
      <w:r>
        <w:rPr>
          <w:b/>
          <w:i/>
          <w:color w:val="000000" w:themeColor="text1"/>
          <w:sz w:val="26"/>
          <w:szCs w:val="26"/>
          <w14:textFill>
            <w14:solidFill>
              <w14:schemeClr w14:val="tx1"/>
            </w14:solidFill>
          </w14:textFill>
        </w:rPr>
        <w:t>(For the bidder who is not the manufacturer</w:t>
      </w:r>
      <w:r>
        <w:rPr>
          <w:b/>
          <w:i/>
          <w:color w:val="000000" w:themeColor="text1"/>
          <w:sz w:val="26"/>
          <w:szCs w:val="26"/>
          <w:vertAlign w:val="superscript"/>
          <w14:textFill>
            <w14:solidFill>
              <w14:schemeClr w14:val="tx1"/>
            </w14:solidFill>
          </w14:textFill>
        </w:rPr>
        <w:t>(1)</w:t>
      </w:r>
      <w:r>
        <w:rPr>
          <w:b/>
          <w:i/>
          <w:color w:val="000000" w:themeColor="text1"/>
          <w:sz w:val="26"/>
          <w:szCs w:val="26"/>
          <w14:textFill>
            <w14:solidFill>
              <w14:schemeClr w14:val="tx1"/>
            </w14:solidFill>
          </w14:textFill>
        </w:rPr>
        <w:t xml:space="preserve"> of the goods offered)</w:t>
      </w:r>
    </w:p>
    <w:tbl>
      <w:tblPr>
        <w:tblStyle w:val="12"/>
        <w:tblW w:w="14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8"/>
        <w:gridCol w:w="3148"/>
        <w:gridCol w:w="4444"/>
        <w:gridCol w:w="1473"/>
        <w:gridCol w:w="1473"/>
        <w:gridCol w:w="1473"/>
        <w:gridCol w:w="1776"/>
      </w:tblGrid>
      <w:tr w14:paraId="708C6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620" w:type="dxa"/>
            <w:gridSpan w:val="3"/>
            <w:tcBorders>
              <w:bottom w:val="single" w:color="auto" w:sz="4" w:space="0"/>
            </w:tcBorders>
            <w:vAlign w:val="center"/>
          </w:tcPr>
          <w:p w14:paraId="708C656C">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Qualification and Experience Criteria</w:t>
            </w:r>
          </w:p>
        </w:tc>
        <w:tc>
          <w:tcPr>
            <w:tcW w:w="4419" w:type="dxa"/>
            <w:gridSpan w:val="3"/>
            <w:tcBorders>
              <w:bottom w:val="single" w:color="auto" w:sz="4" w:space="0"/>
            </w:tcBorders>
            <w:vAlign w:val="center"/>
          </w:tcPr>
          <w:p w14:paraId="708C656D">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Requirements</w:t>
            </w:r>
          </w:p>
        </w:tc>
        <w:tc>
          <w:tcPr>
            <w:tcW w:w="1776" w:type="dxa"/>
            <w:vMerge w:val="restart"/>
            <w:vAlign w:val="center"/>
          </w:tcPr>
          <w:p w14:paraId="708C656E">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Submission Requirements</w:t>
            </w:r>
          </w:p>
        </w:tc>
      </w:tr>
      <w:tr w14:paraId="708C6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8" w:type="dxa"/>
            <w:vMerge w:val="restart"/>
            <w:vAlign w:val="center"/>
          </w:tcPr>
          <w:p w14:paraId="708C6570">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No.</w:t>
            </w:r>
          </w:p>
        </w:tc>
        <w:tc>
          <w:tcPr>
            <w:tcW w:w="3148" w:type="dxa"/>
            <w:vMerge w:val="restart"/>
            <w:vAlign w:val="center"/>
          </w:tcPr>
          <w:p w14:paraId="708C6571">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Descriptions</w:t>
            </w:r>
          </w:p>
        </w:tc>
        <w:tc>
          <w:tcPr>
            <w:tcW w:w="4444" w:type="dxa"/>
            <w:vMerge w:val="restart"/>
            <w:vAlign w:val="center"/>
          </w:tcPr>
          <w:p w14:paraId="708C6572">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Requirement</w:t>
            </w:r>
          </w:p>
        </w:tc>
        <w:tc>
          <w:tcPr>
            <w:tcW w:w="1473" w:type="dxa"/>
            <w:vMerge w:val="restart"/>
            <w:vAlign w:val="center"/>
          </w:tcPr>
          <w:p w14:paraId="708C6573">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Single Entity</w:t>
            </w:r>
          </w:p>
        </w:tc>
        <w:tc>
          <w:tcPr>
            <w:tcW w:w="2946" w:type="dxa"/>
            <w:gridSpan w:val="2"/>
            <w:vAlign w:val="center"/>
          </w:tcPr>
          <w:p w14:paraId="708C6574">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Consortium</w:t>
            </w:r>
          </w:p>
        </w:tc>
        <w:tc>
          <w:tcPr>
            <w:tcW w:w="1776" w:type="dxa"/>
            <w:vMerge w:val="continue"/>
            <w:vAlign w:val="center"/>
          </w:tcPr>
          <w:p w14:paraId="708C6575">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p>
        </w:tc>
      </w:tr>
      <w:tr w14:paraId="708C6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8" w:type="dxa"/>
            <w:vMerge w:val="continue"/>
          </w:tcPr>
          <w:p w14:paraId="708C6577">
            <w:pPr>
              <w:pStyle w:val="103"/>
              <w:shd w:val="clear" w:color="auto" w:fill="FFFFFF"/>
              <w:tabs>
                <w:tab w:val="left" w:leader="dot" w:pos="8424"/>
              </w:tabs>
              <w:spacing w:before="60" w:after="60" w:line="240" w:lineRule="auto"/>
              <w:jc w:val="both"/>
              <w:outlineLvl w:val="0"/>
              <w:rPr>
                <w:b/>
                <w:color w:val="000000" w:themeColor="text1"/>
                <w:sz w:val="26"/>
                <w:szCs w:val="26"/>
                <w14:textFill>
                  <w14:solidFill>
                    <w14:schemeClr w14:val="tx1"/>
                  </w14:solidFill>
                </w14:textFill>
              </w:rPr>
            </w:pPr>
          </w:p>
        </w:tc>
        <w:tc>
          <w:tcPr>
            <w:tcW w:w="3148" w:type="dxa"/>
            <w:vMerge w:val="continue"/>
          </w:tcPr>
          <w:p w14:paraId="708C6578">
            <w:pPr>
              <w:pStyle w:val="103"/>
              <w:shd w:val="clear" w:color="auto" w:fill="FFFFFF"/>
              <w:tabs>
                <w:tab w:val="left" w:leader="dot" w:pos="8424"/>
              </w:tabs>
              <w:spacing w:before="60" w:after="60" w:line="240" w:lineRule="auto"/>
              <w:jc w:val="both"/>
              <w:outlineLvl w:val="0"/>
              <w:rPr>
                <w:b/>
                <w:color w:val="000000" w:themeColor="text1"/>
                <w:sz w:val="26"/>
                <w:szCs w:val="26"/>
                <w14:textFill>
                  <w14:solidFill>
                    <w14:schemeClr w14:val="tx1"/>
                  </w14:solidFill>
                </w14:textFill>
              </w:rPr>
            </w:pPr>
          </w:p>
        </w:tc>
        <w:tc>
          <w:tcPr>
            <w:tcW w:w="4444" w:type="dxa"/>
            <w:vMerge w:val="continue"/>
          </w:tcPr>
          <w:p w14:paraId="708C6579">
            <w:pPr>
              <w:pStyle w:val="103"/>
              <w:shd w:val="clear" w:color="auto" w:fill="FFFFFF"/>
              <w:tabs>
                <w:tab w:val="left" w:leader="dot" w:pos="8424"/>
              </w:tabs>
              <w:spacing w:before="60" w:after="60" w:line="240" w:lineRule="auto"/>
              <w:jc w:val="both"/>
              <w:outlineLvl w:val="0"/>
              <w:rPr>
                <w:b/>
                <w:color w:val="000000" w:themeColor="text1"/>
                <w:sz w:val="26"/>
                <w:szCs w:val="26"/>
                <w14:textFill>
                  <w14:solidFill>
                    <w14:schemeClr w14:val="tx1"/>
                  </w14:solidFill>
                </w14:textFill>
              </w:rPr>
            </w:pPr>
          </w:p>
        </w:tc>
        <w:tc>
          <w:tcPr>
            <w:tcW w:w="1473" w:type="dxa"/>
            <w:vMerge w:val="continue"/>
          </w:tcPr>
          <w:p w14:paraId="708C657A">
            <w:pPr>
              <w:pStyle w:val="103"/>
              <w:shd w:val="clear" w:color="auto" w:fill="FFFFFF"/>
              <w:tabs>
                <w:tab w:val="left" w:leader="dot" w:pos="8424"/>
              </w:tabs>
              <w:spacing w:before="60" w:after="60" w:line="240" w:lineRule="auto"/>
              <w:jc w:val="center"/>
              <w:outlineLvl w:val="0"/>
              <w:rPr>
                <w:b/>
                <w:color w:val="000000" w:themeColor="text1"/>
                <w:sz w:val="26"/>
                <w:szCs w:val="26"/>
                <w14:textFill>
                  <w14:solidFill>
                    <w14:schemeClr w14:val="tx1"/>
                  </w14:solidFill>
                </w14:textFill>
              </w:rPr>
            </w:pPr>
          </w:p>
        </w:tc>
        <w:tc>
          <w:tcPr>
            <w:tcW w:w="1473" w:type="dxa"/>
            <w:vAlign w:val="center"/>
          </w:tcPr>
          <w:p w14:paraId="708C657B">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All </w:t>
            </w:r>
            <w:r>
              <w:rPr>
                <w:b/>
                <w:color w:val="000000" w:themeColor="text1"/>
                <w:sz w:val="26"/>
                <w:szCs w:val="26"/>
                <w:lang w:eastAsia="ja-JP"/>
                <w14:textFill>
                  <w14:solidFill>
                    <w14:schemeClr w14:val="tx1"/>
                  </w14:solidFill>
                </w14:textFill>
              </w:rPr>
              <w:t>Parties</w:t>
            </w:r>
            <w:r>
              <w:rPr>
                <w:b/>
                <w:color w:val="000000" w:themeColor="text1"/>
                <w:sz w:val="26"/>
                <w:szCs w:val="26"/>
                <w14:textFill>
                  <w14:solidFill>
                    <w14:schemeClr w14:val="tx1"/>
                  </w14:solidFill>
                </w14:textFill>
              </w:rPr>
              <w:t xml:space="preserve"> Combined</w:t>
            </w:r>
          </w:p>
        </w:tc>
        <w:tc>
          <w:tcPr>
            <w:tcW w:w="1473" w:type="dxa"/>
            <w:vAlign w:val="center"/>
          </w:tcPr>
          <w:p w14:paraId="708C657C">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Each </w:t>
            </w:r>
            <w:r>
              <w:rPr>
                <w:b/>
                <w:color w:val="000000" w:themeColor="text1"/>
                <w:sz w:val="26"/>
                <w:szCs w:val="26"/>
                <w:lang w:eastAsia="ja-JP"/>
                <w14:textFill>
                  <w14:solidFill>
                    <w14:schemeClr w14:val="tx1"/>
                  </w14:solidFill>
                </w14:textFill>
              </w:rPr>
              <w:t>Member</w:t>
            </w:r>
          </w:p>
        </w:tc>
        <w:tc>
          <w:tcPr>
            <w:tcW w:w="1776" w:type="dxa"/>
            <w:vMerge w:val="continue"/>
          </w:tcPr>
          <w:p w14:paraId="708C657D">
            <w:pPr>
              <w:pStyle w:val="103"/>
              <w:shd w:val="clear" w:color="auto" w:fill="FFFFFF"/>
              <w:tabs>
                <w:tab w:val="left" w:leader="dot" w:pos="8424"/>
              </w:tabs>
              <w:spacing w:before="60" w:after="60" w:line="240" w:lineRule="auto"/>
              <w:jc w:val="center"/>
              <w:outlineLvl w:val="0"/>
              <w:rPr>
                <w:b/>
                <w:color w:val="000000" w:themeColor="text1"/>
                <w:sz w:val="26"/>
                <w:szCs w:val="26"/>
                <w14:textFill>
                  <w14:solidFill>
                    <w14:schemeClr w14:val="tx1"/>
                  </w14:solidFill>
                </w14:textFill>
              </w:rPr>
            </w:pPr>
          </w:p>
        </w:tc>
      </w:tr>
      <w:tr w14:paraId="708C6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28" w:type="dxa"/>
          </w:tcPr>
          <w:p w14:paraId="708C657F">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1</w:t>
            </w:r>
          </w:p>
        </w:tc>
        <w:tc>
          <w:tcPr>
            <w:tcW w:w="3148" w:type="dxa"/>
          </w:tcPr>
          <w:p w14:paraId="708C6580">
            <w:pPr>
              <w:pStyle w:val="103"/>
              <w:shd w:val="clear" w:color="auto" w:fill="FFFFFF"/>
              <w:tabs>
                <w:tab w:val="left" w:leader="dot" w:pos="8424"/>
              </w:tabs>
              <w:spacing w:before="60" w:after="60" w:line="240" w:lineRule="auto"/>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History of Non-Performing Contracts due to bidder's fault</w:t>
            </w:r>
          </w:p>
        </w:tc>
        <w:tc>
          <w:tcPr>
            <w:tcW w:w="4444" w:type="dxa"/>
          </w:tcPr>
          <w:p w14:paraId="708C6581">
            <w:pPr>
              <w:pStyle w:val="103"/>
              <w:shd w:val="clear" w:color="auto" w:fill="FFFFFF"/>
              <w:tabs>
                <w:tab w:val="left" w:leader="dot" w:pos="8424"/>
              </w:tabs>
              <w:spacing w:before="60" w:after="60" w:line="240" w:lineRule="auto"/>
              <w:jc w:val="both"/>
              <w:rPr>
                <w:color w:val="000000" w:themeColor="text1"/>
                <w:sz w:val="26"/>
                <w:szCs w:val="26"/>
                <w14:textFill>
                  <w14:solidFill>
                    <w14:schemeClr w14:val="tx1"/>
                  </w14:solidFill>
                </w14:textFill>
              </w:rPr>
            </w:pPr>
            <w:r>
              <w:rPr>
                <w:sz w:val="26"/>
                <w:szCs w:val="26"/>
              </w:rPr>
              <w:t xml:space="preserve">Non-completion of the contract did not occur as a result of </w:t>
            </w:r>
            <w:r>
              <w:rPr>
                <w:sz w:val="26"/>
                <w:szCs w:val="26"/>
                <w:lang w:eastAsia="ja-JP"/>
              </w:rPr>
              <w:t>bidder</w:t>
            </w:r>
            <w:r>
              <w:rPr>
                <w:sz w:val="26"/>
                <w:szCs w:val="26"/>
              </w:rPr>
              <w:t>’s fault</w:t>
            </w:r>
            <w:r>
              <w:rPr>
                <w:sz w:val="26"/>
                <w:szCs w:val="26"/>
                <w:vertAlign w:val="superscript"/>
              </w:rPr>
              <w:t>(2)</w:t>
            </w:r>
            <w:r>
              <w:rPr>
                <w:sz w:val="26"/>
                <w:szCs w:val="26"/>
              </w:rPr>
              <w:t xml:space="preserve"> since 1</w:t>
            </w:r>
            <w:r>
              <w:rPr>
                <w:sz w:val="26"/>
                <w:szCs w:val="26"/>
                <w:vertAlign w:val="superscript"/>
              </w:rPr>
              <w:t>st</w:t>
            </w:r>
            <w:r>
              <w:rPr>
                <w:sz w:val="26"/>
                <w:szCs w:val="26"/>
              </w:rPr>
              <w:t xml:space="preserve"> January 2022</w:t>
            </w:r>
            <w:r>
              <w:rPr>
                <w:sz w:val="26"/>
                <w:szCs w:val="26"/>
                <w:vertAlign w:val="superscript"/>
              </w:rPr>
              <w:t>(3)</w:t>
            </w:r>
            <w:r>
              <w:rPr>
                <w:sz w:val="26"/>
                <w:szCs w:val="26"/>
              </w:rPr>
              <w:t xml:space="preserve"> to the deadline for submission of bid.</w:t>
            </w:r>
          </w:p>
        </w:tc>
        <w:tc>
          <w:tcPr>
            <w:tcW w:w="1473" w:type="dxa"/>
          </w:tcPr>
          <w:p w14:paraId="708C6582">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requirement</w:t>
            </w:r>
          </w:p>
        </w:tc>
        <w:tc>
          <w:tcPr>
            <w:tcW w:w="1473" w:type="dxa"/>
          </w:tcPr>
          <w:p w14:paraId="708C6583">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N/A</w:t>
            </w:r>
          </w:p>
        </w:tc>
        <w:tc>
          <w:tcPr>
            <w:tcW w:w="1473" w:type="dxa"/>
          </w:tcPr>
          <w:p w14:paraId="708C6584">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requirement</w:t>
            </w:r>
          </w:p>
        </w:tc>
        <w:tc>
          <w:tcPr>
            <w:tcW w:w="1776" w:type="dxa"/>
          </w:tcPr>
          <w:p w14:paraId="708C6585">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Form 11</w:t>
            </w:r>
          </w:p>
        </w:tc>
      </w:tr>
      <w:tr w14:paraId="708C6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28" w:type="dxa"/>
          </w:tcPr>
          <w:p w14:paraId="708C6587">
            <w:pPr>
              <w:pStyle w:val="103"/>
              <w:shd w:val="clear" w:color="auto" w:fill="FFFFFF"/>
              <w:tabs>
                <w:tab w:val="left" w:leader="dot" w:pos="8424"/>
              </w:tabs>
              <w:spacing w:before="60" w:after="60" w:line="240" w:lineRule="auto"/>
              <w:jc w:val="center"/>
              <w:rPr>
                <w:rFonts w:eastAsia="Calibri"/>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2</w:t>
            </w:r>
          </w:p>
        </w:tc>
        <w:tc>
          <w:tcPr>
            <w:tcW w:w="3148" w:type="dxa"/>
          </w:tcPr>
          <w:p w14:paraId="708C6588">
            <w:pPr>
              <w:pStyle w:val="103"/>
              <w:shd w:val="clear" w:color="auto" w:fill="FFFFFF"/>
              <w:tabs>
                <w:tab w:val="left" w:leader="dot" w:pos="8424"/>
              </w:tabs>
              <w:spacing w:before="60" w:after="60" w:line="240" w:lineRule="auto"/>
              <w:jc w:val="both"/>
              <w:rPr>
                <w:b/>
                <w:color w:val="000000" w:themeColor="text1"/>
                <w:sz w:val="26"/>
                <w:szCs w:val="26"/>
                <w:vertAlign w:val="superscript"/>
                <w14:textFill>
                  <w14:solidFill>
                    <w14:schemeClr w14:val="tx1"/>
                  </w14:solidFill>
                </w14:textFill>
              </w:rPr>
            </w:pPr>
            <w:r>
              <w:rPr>
                <w:b/>
                <w:color w:val="000000" w:themeColor="text1"/>
                <w:sz w:val="26"/>
                <w:szCs w:val="26"/>
                <w14:textFill>
                  <w14:solidFill>
                    <w14:schemeClr w14:val="tx1"/>
                  </w14:solidFill>
                </w14:textFill>
              </w:rPr>
              <w:t>Tax obligations</w:t>
            </w:r>
          </w:p>
        </w:tc>
        <w:tc>
          <w:tcPr>
            <w:tcW w:w="4444" w:type="dxa"/>
          </w:tcPr>
          <w:p w14:paraId="708C6589">
            <w:pPr>
              <w:pStyle w:val="103"/>
              <w:shd w:val="clear" w:color="auto" w:fill="FFFFFF"/>
              <w:tabs>
                <w:tab w:val="left" w:leader="dot" w:pos="8424"/>
              </w:tabs>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Has fulfilled tax obligations </w:t>
            </w:r>
            <w:r>
              <w:rPr>
                <w:color w:val="000000" w:themeColor="text1"/>
                <w:sz w:val="26"/>
                <w:szCs w:val="26"/>
                <w:vertAlign w:val="superscript"/>
                <w14:textFill>
                  <w14:solidFill>
                    <w14:schemeClr w14:val="tx1"/>
                  </w14:solidFill>
                </w14:textFill>
              </w:rPr>
              <w:t>(4)</w:t>
            </w:r>
            <w:r>
              <w:rPr>
                <w:color w:val="000000" w:themeColor="text1"/>
                <w:sz w:val="26"/>
                <w:szCs w:val="26"/>
                <w14:textFill>
                  <w14:solidFill>
                    <w14:schemeClr w14:val="tx1"/>
                  </w14:solidFill>
                </w14:textFill>
              </w:rPr>
              <w:t xml:space="preserve"> of the latest fiscal year compared to the deadline for submission of bid.</w:t>
            </w:r>
          </w:p>
        </w:tc>
        <w:tc>
          <w:tcPr>
            <w:tcW w:w="1473" w:type="dxa"/>
          </w:tcPr>
          <w:p w14:paraId="708C658A">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requirement</w:t>
            </w:r>
          </w:p>
        </w:tc>
        <w:tc>
          <w:tcPr>
            <w:tcW w:w="1473" w:type="dxa"/>
          </w:tcPr>
          <w:p w14:paraId="708C658B">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N/A</w:t>
            </w:r>
          </w:p>
        </w:tc>
        <w:tc>
          <w:tcPr>
            <w:tcW w:w="1473" w:type="dxa"/>
          </w:tcPr>
          <w:p w14:paraId="708C658C">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requirement</w:t>
            </w:r>
          </w:p>
        </w:tc>
        <w:tc>
          <w:tcPr>
            <w:tcW w:w="1776" w:type="dxa"/>
          </w:tcPr>
          <w:p w14:paraId="708C658D">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Commitment in Letter of bid</w:t>
            </w:r>
          </w:p>
        </w:tc>
      </w:tr>
      <w:tr w14:paraId="708C6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76" w:type="dxa"/>
          <w:trHeight w:val="189" w:hRule="atLeast"/>
          <w:jc w:val="center"/>
        </w:trPr>
        <w:tc>
          <w:tcPr>
            <w:tcW w:w="1028" w:type="dxa"/>
          </w:tcPr>
          <w:p w14:paraId="708C658F">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3</w:t>
            </w:r>
          </w:p>
        </w:tc>
        <w:tc>
          <w:tcPr>
            <w:tcW w:w="12011" w:type="dxa"/>
            <w:gridSpan w:val="5"/>
          </w:tcPr>
          <w:p w14:paraId="708C6590">
            <w:pPr>
              <w:pStyle w:val="103"/>
              <w:shd w:val="clear" w:color="auto" w:fill="FFFFFF"/>
              <w:tabs>
                <w:tab w:val="left" w:leader="dot" w:pos="8424"/>
              </w:tabs>
              <w:spacing w:before="60" w:after="60" w:line="240" w:lineRule="auto"/>
              <w:jc w:val="both"/>
              <w:rPr>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Financial Capacity</w:t>
            </w:r>
          </w:p>
        </w:tc>
      </w:tr>
      <w:tr w14:paraId="708C6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1028" w:type="dxa"/>
          </w:tcPr>
          <w:p w14:paraId="708C6592">
            <w:pPr>
              <w:pStyle w:val="103"/>
              <w:shd w:val="clear" w:color="auto" w:fill="FFFFFF"/>
              <w:tabs>
                <w:tab w:val="left" w:leader="dot" w:pos="8424"/>
              </w:tabs>
              <w:spacing w:before="60" w:after="60" w:line="240" w:lineRule="auto"/>
              <w:jc w:val="center"/>
              <w:rPr>
                <w:rFonts w:eastAsia="Calibri"/>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3.1</w:t>
            </w:r>
          </w:p>
        </w:tc>
        <w:tc>
          <w:tcPr>
            <w:tcW w:w="3148" w:type="dxa"/>
          </w:tcPr>
          <w:p w14:paraId="708C6593">
            <w:pPr>
              <w:pStyle w:val="103"/>
              <w:shd w:val="clear" w:color="auto" w:fill="FFFFFF"/>
              <w:tabs>
                <w:tab w:val="left" w:leader="dot" w:pos="8424"/>
              </w:tabs>
              <w:spacing w:before="60" w:after="60" w:line="240" w:lineRule="auto"/>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Financial Outcome</w:t>
            </w:r>
          </w:p>
        </w:tc>
        <w:tc>
          <w:tcPr>
            <w:tcW w:w="4444" w:type="dxa"/>
          </w:tcPr>
          <w:p w14:paraId="708C6594">
            <w:pPr>
              <w:pStyle w:val="103"/>
              <w:shd w:val="clear" w:color="auto" w:fill="FFFFFF"/>
              <w:tabs>
                <w:tab w:val="left" w:leader="dot" w:pos="8424"/>
              </w:tabs>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bidder's net worth in the latest financial year compared to the deadline for submission of bid must be positive.</w:t>
            </w:r>
          </w:p>
          <w:p w14:paraId="708C6595">
            <w:pPr>
              <w:pStyle w:val="103"/>
              <w:shd w:val="clear" w:color="auto" w:fill="FFFFFF"/>
              <w:tabs>
                <w:tab w:val="left" w:leader="dot" w:pos="8424"/>
              </w:tabs>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(Net Worth = Total Assets - Total Liabilities)</w:t>
            </w:r>
          </w:p>
        </w:tc>
        <w:tc>
          <w:tcPr>
            <w:tcW w:w="1473" w:type="dxa"/>
          </w:tcPr>
          <w:p w14:paraId="708C6596">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requirement</w:t>
            </w:r>
          </w:p>
        </w:tc>
        <w:tc>
          <w:tcPr>
            <w:tcW w:w="1473" w:type="dxa"/>
          </w:tcPr>
          <w:p w14:paraId="708C6597">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N/A</w:t>
            </w:r>
          </w:p>
        </w:tc>
        <w:tc>
          <w:tcPr>
            <w:tcW w:w="1473" w:type="dxa"/>
          </w:tcPr>
          <w:p w14:paraId="708C6598">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requirement</w:t>
            </w:r>
          </w:p>
        </w:tc>
        <w:tc>
          <w:tcPr>
            <w:tcW w:w="1776" w:type="dxa"/>
          </w:tcPr>
          <w:p w14:paraId="708C6599">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Form 12</w:t>
            </w:r>
          </w:p>
        </w:tc>
      </w:tr>
      <w:tr w14:paraId="708C6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28" w:type="dxa"/>
          </w:tcPr>
          <w:p w14:paraId="708C659B">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rFonts w:eastAsia="Calibri"/>
                <w:b/>
                <w:color w:val="000000" w:themeColor="text1"/>
                <w:sz w:val="26"/>
                <w:szCs w:val="26"/>
                <w14:textFill>
                  <w14:solidFill>
                    <w14:schemeClr w14:val="tx1"/>
                  </w14:solidFill>
                </w14:textFill>
              </w:rPr>
              <w:t>3.2</w:t>
            </w:r>
          </w:p>
        </w:tc>
        <w:tc>
          <w:tcPr>
            <w:tcW w:w="3148" w:type="dxa"/>
          </w:tcPr>
          <w:p w14:paraId="708C659C">
            <w:pPr>
              <w:pStyle w:val="103"/>
              <w:shd w:val="clear" w:color="auto" w:fill="FFFFFF"/>
              <w:tabs>
                <w:tab w:val="left" w:leader="dot" w:pos="8424"/>
              </w:tabs>
              <w:spacing w:before="60" w:after="60" w:line="240" w:lineRule="auto"/>
              <w:jc w:val="both"/>
              <w:rPr>
                <w:b/>
                <w:color w:val="000000" w:themeColor="text1"/>
                <w:sz w:val="26"/>
                <w:szCs w:val="26"/>
                <w14:textFill>
                  <w14:solidFill>
                    <w14:schemeClr w14:val="tx1"/>
                  </w14:solidFill>
                </w14:textFill>
              </w:rPr>
            </w:pPr>
            <w:r>
              <w:rPr>
                <w:b/>
                <w:color w:val="000000" w:themeColor="text1"/>
                <w:sz w:val="26"/>
                <w:szCs w:val="26"/>
                <w:lang w:val="en-GB"/>
                <w14:textFill>
                  <w14:solidFill>
                    <w14:schemeClr w14:val="tx1"/>
                  </w14:solidFill>
                </w14:textFill>
              </w:rPr>
              <w:t xml:space="preserve">Annual average revenue </w:t>
            </w:r>
            <w:r>
              <w:rPr>
                <w:b/>
                <w:color w:val="000000" w:themeColor="text1"/>
                <w:sz w:val="26"/>
                <w:szCs w:val="26"/>
                <w14:textFill>
                  <w14:solidFill>
                    <w14:schemeClr w14:val="tx1"/>
                  </w14:solidFill>
                </w14:textFill>
              </w:rPr>
              <w:t>(excluding VAT)</w:t>
            </w:r>
          </w:p>
        </w:tc>
        <w:tc>
          <w:tcPr>
            <w:tcW w:w="4444" w:type="dxa"/>
          </w:tcPr>
          <w:p w14:paraId="708C659D">
            <w:pPr>
              <w:pStyle w:val="15"/>
              <w:widowControl w:val="0"/>
              <w:shd w:val="clear" w:color="auto" w:fill="FFFFFF"/>
              <w:spacing w:before="120" w:line="264" w:lineRule="auto"/>
              <w:ind w:right="75"/>
              <w:jc w:val="both"/>
              <w:rPr>
                <w:color w:val="000000" w:themeColor="text1"/>
                <w:sz w:val="26"/>
                <w:szCs w:val="26"/>
                <w:vertAlign w:val="superscript"/>
                <w14:textFill>
                  <w14:solidFill>
                    <w14:schemeClr w14:val="tx1"/>
                  </w14:solidFill>
                </w14:textFill>
              </w:rPr>
            </w:pPr>
            <w:r>
              <w:rPr>
                <w:color w:val="000000" w:themeColor="text1"/>
                <w:sz w:val="26"/>
                <w:szCs w:val="26"/>
                <w14:textFill>
                  <w14:solidFill>
                    <w14:schemeClr w14:val="tx1"/>
                  </w14:solidFill>
                </w14:textFill>
              </w:rPr>
              <w:t>Minimum annual average revenue</w:t>
            </w:r>
            <w:r>
              <w:rPr>
                <w:rFonts w:eastAsia="Times New Roman"/>
                <w:color w:val="000000" w:themeColor="text1"/>
                <w:sz w:val="26"/>
                <w:szCs w:val="26"/>
                <w14:textFill>
                  <w14:solidFill>
                    <w14:schemeClr w14:val="tx1"/>
                  </w14:solidFill>
                </w14:textFill>
              </w:rPr>
              <w:t xml:space="preserve"> (excluding VAT) </w:t>
            </w:r>
            <w:r>
              <w:rPr>
                <w:color w:val="auto"/>
                <w:sz w:val="26"/>
                <w:szCs w:val="26"/>
              </w:rPr>
              <w:t xml:space="preserve">of at least </w:t>
            </w:r>
            <w:r>
              <w:rPr>
                <w:b/>
                <w:bCs/>
                <w:color w:val="auto"/>
                <w:sz w:val="26"/>
                <w:szCs w:val="26"/>
              </w:rPr>
              <w:t xml:space="preserve">USD 7,195,000 </w:t>
            </w:r>
            <w:r>
              <w:rPr>
                <w:color w:val="auto"/>
                <w:sz w:val="26"/>
                <w:szCs w:val="26"/>
              </w:rPr>
              <w:t xml:space="preserve">(equivalent to </w:t>
            </w:r>
            <w:r>
              <w:rPr>
                <w:b/>
                <w:color w:val="auto"/>
                <w:sz w:val="26"/>
                <w:szCs w:val="26"/>
              </w:rPr>
              <w:t>VND 190,440,000,000</w:t>
            </w:r>
            <w:r>
              <w:rPr>
                <w:color w:val="auto"/>
                <w:sz w:val="26"/>
                <w:szCs w:val="26"/>
              </w:rPr>
              <w:t>)</w:t>
            </w:r>
            <w:r>
              <w:rPr>
                <w:color w:val="auto"/>
                <w:sz w:val="26"/>
                <w:szCs w:val="26"/>
                <w:vertAlign w:val="superscript"/>
              </w:rPr>
              <w:t>(5)</w:t>
            </w:r>
            <w:r>
              <w:rPr>
                <w:color w:val="auto"/>
                <w:sz w:val="26"/>
                <w:szCs w:val="26"/>
              </w:rPr>
              <w:t xml:space="preserve"> for</w:t>
            </w:r>
            <w:r>
              <w:rPr>
                <w:color w:val="000000" w:themeColor="text1"/>
                <w:sz w:val="26"/>
                <w:szCs w:val="26"/>
                <w14:textFill>
                  <w14:solidFill>
                    <w14:schemeClr w14:val="tx1"/>
                  </w14:solidFill>
                </w14:textFill>
              </w:rPr>
              <w:t xml:space="preserve"> the last three (03) years</w:t>
            </w:r>
            <w:r>
              <w:rPr>
                <w:rFonts w:eastAsia="Times New Roman"/>
                <w:color w:val="000000" w:themeColor="text1"/>
                <w:sz w:val="26"/>
                <w:szCs w:val="26"/>
                <w:vertAlign w:val="superscript"/>
                <w14:textFill>
                  <w14:solidFill>
                    <w14:schemeClr w14:val="tx1"/>
                  </w14:solidFill>
                </w14:textFill>
              </w:rPr>
              <w:t xml:space="preserve"> (6)</w:t>
            </w:r>
            <w:r>
              <w:rPr>
                <w:rFonts w:eastAsia="Times New Roman"/>
                <w:color w:val="000000" w:themeColor="text1"/>
                <w:sz w:val="26"/>
                <w:szCs w:val="26"/>
                <w14:textFill>
                  <w14:solidFill>
                    <w14:schemeClr w14:val="tx1"/>
                  </w14:solidFill>
                </w14:textFill>
              </w:rPr>
              <w:t xml:space="preserve"> </w:t>
            </w:r>
            <w:r>
              <w:rPr>
                <w:color w:val="000000" w:themeColor="text1"/>
                <w:sz w:val="26"/>
                <w:szCs w:val="26"/>
                <w14:textFill>
                  <w14:solidFill>
                    <w14:schemeClr w14:val="tx1"/>
                  </w14:solidFill>
                </w14:textFill>
              </w:rPr>
              <w:t xml:space="preserve">compared to the deadline for submission of bid </w:t>
            </w:r>
          </w:p>
        </w:tc>
        <w:tc>
          <w:tcPr>
            <w:tcW w:w="1473" w:type="dxa"/>
          </w:tcPr>
          <w:p w14:paraId="708C659E">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requirement</w:t>
            </w:r>
          </w:p>
        </w:tc>
        <w:tc>
          <w:tcPr>
            <w:tcW w:w="1473" w:type="dxa"/>
          </w:tcPr>
          <w:p w14:paraId="708C659F">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requirement</w:t>
            </w:r>
          </w:p>
        </w:tc>
        <w:tc>
          <w:tcPr>
            <w:tcW w:w="1473" w:type="dxa"/>
          </w:tcPr>
          <w:p w14:paraId="708C65A0">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N/A</w:t>
            </w:r>
          </w:p>
        </w:tc>
        <w:tc>
          <w:tcPr>
            <w:tcW w:w="1776" w:type="dxa"/>
          </w:tcPr>
          <w:p w14:paraId="708C65A1">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Form 12</w:t>
            </w:r>
          </w:p>
        </w:tc>
      </w:tr>
      <w:tr w14:paraId="708C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28" w:type="dxa"/>
          </w:tcPr>
          <w:p w14:paraId="708C65A3">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4</w:t>
            </w:r>
          </w:p>
        </w:tc>
        <w:tc>
          <w:tcPr>
            <w:tcW w:w="3148" w:type="dxa"/>
          </w:tcPr>
          <w:p w14:paraId="708C65A4">
            <w:pPr>
              <w:pStyle w:val="103"/>
              <w:shd w:val="clear" w:color="auto" w:fill="FFFFFF"/>
              <w:tabs>
                <w:tab w:val="left" w:leader="dot" w:pos="8424"/>
              </w:tabs>
              <w:spacing w:before="60" w:after="60" w:line="240" w:lineRule="auto"/>
              <w:jc w:val="both"/>
              <w:rPr>
                <w:b/>
                <w:color w:val="000000" w:themeColor="text1"/>
                <w:sz w:val="26"/>
                <w:szCs w:val="26"/>
                <w14:textFill>
                  <w14:solidFill>
                    <w14:schemeClr w14:val="tx1"/>
                  </w14:solidFill>
                </w14:textFill>
              </w:rPr>
            </w:pPr>
            <w:r>
              <w:rPr>
                <w:rFonts w:eastAsia="Calibri"/>
                <w:b/>
                <w:bCs/>
                <w:iCs/>
                <w:color w:val="000000" w:themeColor="text1"/>
                <w:sz w:val="26"/>
                <w:szCs w:val="26"/>
                <w14:textFill>
                  <w14:solidFill>
                    <w14:schemeClr w14:val="tx1"/>
                  </w14:solidFill>
                </w14:textFill>
              </w:rPr>
              <w:t>Experience for similar contract performance</w:t>
            </w:r>
          </w:p>
        </w:tc>
        <w:tc>
          <w:tcPr>
            <w:tcW w:w="4444" w:type="dxa"/>
          </w:tcPr>
          <w:p w14:paraId="708C65A5">
            <w:pPr>
              <w:spacing w:after="0" w:line="240" w:lineRule="auto"/>
              <w:jc w:val="both"/>
              <w:rPr>
                <w:rStyle w:val="331"/>
                <w:rFonts w:ascii="Times New Roman" w:hAnsi="Times New Roman"/>
                <w:color w:val="auto"/>
              </w:rPr>
            </w:pPr>
            <w:r>
              <w:rPr>
                <w:rStyle w:val="331"/>
                <w:rFonts w:ascii="Times New Roman" w:hAnsi="Times New Roman"/>
                <w:color w:val="auto"/>
              </w:rPr>
              <w:t xml:space="preserve">The bidder has completed at least 01 similar contract as the bidder (single entity or member of consortium) or subcontractor </w:t>
            </w:r>
            <w:r>
              <w:rPr>
                <w:rStyle w:val="331"/>
                <w:rFonts w:ascii="Times New Roman" w:hAnsi="Times New Roman"/>
                <w:color w:val="auto"/>
                <w:vertAlign w:val="superscript"/>
              </w:rPr>
              <w:t xml:space="preserve">(7) </w:t>
            </w:r>
            <w:r>
              <w:rPr>
                <w:rStyle w:val="331"/>
                <w:rFonts w:ascii="Times New Roman" w:hAnsi="Times New Roman"/>
                <w:color w:val="auto"/>
              </w:rPr>
              <w:t>within the interval of date from 01/01/</w:t>
            </w:r>
            <w:r>
              <w:rPr>
                <w:rStyle w:val="331"/>
                <w:color w:val="auto"/>
              </w:rPr>
              <w:t xml:space="preserve">2020 </w:t>
            </w:r>
            <w:r>
              <w:rPr>
                <w:rStyle w:val="331"/>
                <w:rFonts w:ascii="Times New Roman" w:hAnsi="Times New Roman"/>
                <w:color w:val="auto"/>
              </w:rPr>
              <w:t xml:space="preserve">to </w:t>
            </w:r>
            <w:r>
              <w:rPr>
                <w:color w:val="auto"/>
                <w:sz w:val="26"/>
                <w:szCs w:val="26"/>
              </w:rPr>
              <w:t>the deadline for submission of bids</w:t>
            </w:r>
            <w:r>
              <w:rPr>
                <w:rStyle w:val="331"/>
                <w:rFonts w:ascii="Times New Roman" w:hAnsi="Times New Roman"/>
                <w:color w:val="auto"/>
              </w:rPr>
              <w:t>.</w:t>
            </w:r>
          </w:p>
          <w:p w14:paraId="708C65A6">
            <w:pPr>
              <w:spacing w:after="0" w:line="240" w:lineRule="auto"/>
              <w:jc w:val="both"/>
              <w:rPr>
                <w:color w:val="auto"/>
                <w:sz w:val="26"/>
                <w:szCs w:val="26"/>
                <w:shd w:val="clear" w:color="auto" w:fill="FFFFFF"/>
              </w:rPr>
            </w:pPr>
            <w:r>
              <w:rPr>
                <w:color w:val="auto"/>
                <w:sz w:val="26"/>
                <w:szCs w:val="26"/>
                <w:shd w:val="clear" w:color="auto" w:fill="FFFFFF"/>
              </w:rPr>
              <w:t xml:space="preserve">In which, similar contract is: </w:t>
            </w:r>
          </w:p>
          <w:p w14:paraId="708C65A7">
            <w:pPr>
              <w:spacing w:after="0" w:line="240" w:lineRule="auto"/>
              <w:jc w:val="both"/>
              <w:rPr>
                <w:color w:val="auto"/>
                <w:sz w:val="26"/>
                <w:szCs w:val="26"/>
                <w:shd w:val="clear" w:color="auto" w:fill="FFFFFF"/>
              </w:rPr>
            </w:pPr>
            <w:r>
              <w:rPr>
                <w:color w:val="auto"/>
                <w:sz w:val="26"/>
                <w:szCs w:val="26"/>
                <w:shd w:val="clear" w:color="auto" w:fill="FFFFFF"/>
              </w:rPr>
              <w:t>- Similar in nature</w:t>
            </w:r>
            <w:r>
              <w:rPr>
                <w:color w:val="auto"/>
                <w:sz w:val="26"/>
                <w:szCs w:val="26"/>
                <w:shd w:val="clear" w:color="auto" w:fill="FFFFFF"/>
                <w:vertAlign w:val="superscript"/>
              </w:rPr>
              <w:t>(8)</w:t>
            </w:r>
            <w:r>
              <w:rPr>
                <w:color w:val="auto"/>
                <w:sz w:val="26"/>
                <w:szCs w:val="26"/>
                <w:shd w:val="clear" w:color="auto" w:fill="FFFFFF"/>
              </w:rPr>
              <w:t xml:space="preserve">: </w:t>
            </w:r>
            <w:r>
              <w:rPr>
                <w:color w:val="auto"/>
                <w:sz w:val="26"/>
                <w:szCs w:val="26"/>
              </w:rPr>
              <w:t>contracted goods with HS cod</w:t>
            </w:r>
            <w:r>
              <w:rPr>
                <w:color w:val="auto"/>
                <w:sz w:val="26"/>
                <w:szCs w:val="26"/>
                <w:highlight w:val="none"/>
              </w:rPr>
              <w:t>e:</w:t>
            </w:r>
            <w:r>
              <w:rPr>
                <w:color w:val="auto"/>
                <w:sz w:val="26"/>
                <w:szCs w:val="26"/>
                <w:highlight w:val="none"/>
              </w:rPr>
              <w:t xml:space="preserve"> </w:t>
            </w:r>
            <w:r>
              <w:rPr>
                <w:color w:val="auto"/>
                <w:sz w:val="26"/>
                <w:szCs w:val="26"/>
                <w:highlight w:val="none"/>
                <w:shd w:val="clear" w:color="FFFFFF" w:fill="D9D9D9"/>
              </w:rPr>
              <w:t>8535xxxx</w:t>
            </w:r>
            <w:r>
              <w:rPr>
                <w:color w:val="auto"/>
                <w:sz w:val="26"/>
                <w:szCs w:val="26"/>
                <w:highlight w:val="none"/>
              </w:rPr>
              <w:t xml:space="preserve">; </w:t>
            </w:r>
            <w:r>
              <w:rPr>
                <w:color w:val="auto"/>
                <w:sz w:val="26"/>
                <w:szCs w:val="26"/>
                <w:highlight w:val="none"/>
                <w:shd w:val="clear" w:color="FFFFFF" w:fill="D9D9D9"/>
              </w:rPr>
              <w:t xml:space="preserve">8504xxxx; 8546xxxx; 7616xxxx; 7614xxxx </w:t>
            </w:r>
            <w:r>
              <w:rPr>
                <w:color w:val="auto"/>
                <w:sz w:val="26"/>
                <w:szCs w:val="26"/>
                <w:highlight w:val="none"/>
              </w:rPr>
              <w:t xml:space="preserve"> (HS – Harmonized Commodity Description and Coding System)</w:t>
            </w:r>
            <w:r>
              <w:rPr>
                <w:color w:val="auto"/>
                <w:sz w:val="26"/>
                <w:szCs w:val="26"/>
                <w:highlight w:val="none"/>
                <w:shd w:val="clear" w:color="auto" w:fill="FFFFFF"/>
              </w:rPr>
              <w:t xml:space="preserve">. HS code is stipulated in </w:t>
            </w:r>
            <w:r>
              <w:rPr>
                <w:color w:val="auto"/>
                <w:sz w:val="26"/>
                <w:szCs w:val="26"/>
                <w:highlight w:val="none"/>
              </w:rPr>
              <w:t>Circular No</w:t>
            </w:r>
            <w:r>
              <w:rPr>
                <w:color w:val="auto"/>
                <w:sz w:val="26"/>
                <w:szCs w:val="26"/>
              </w:rPr>
              <w:t>. 31/2022/TT-BTC dated on June 08</w:t>
            </w:r>
            <w:r>
              <w:rPr>
                <w:color w:val="auto"/>
                <w:sz w:val="26"/>
                <w:szCs w:val="26"/>
                <w:vertAlign w:val="superscript"/>
              </w:rPr>
              <w:t>th</w:t>
            </w:r>
            <w:r>
              <w:rPr>
                <w:color w:val="auto"/>
                <w:sz w:val="26"/>
                <w:szCs w:val="26"/>
              </w:rPr>
              <w:t xml:space="preserve"> 2022 issued by the Ministry of Finance </w:t>
            </w:r>
            <w:r>
              <w:rPr>
                <w:color w:val="auto"/>
                <w:sz w:val="26"/>
                <w:szCs w:val="26"/>
                <w:shd w:val="clear" w:color="auto" w:fill="FFFFFF"/>
              </w:rPr>
              <w:t xml:space="preserve">(posted by the General Department of Customs on its website: https://www.customs.gov.vn). </w:t>
            </w:r>
          </w:p>
          <w:p w14:paraId="708C65A8">
            <w:pPr>
              <w:spacing w:after="0" w:line="240" w:lineRule="auto"/>
              <w:jc w:val="both"/>
              <w:rPr>
                <w:color w:val="auto"/>
                <w:sz w:val="26"/>
                <w:szCs w:val="26"/>
                <w:shd w:val="clear" w:color="auto" w:fill="FFFFFF"/>
              </w:rPr>
            </w:pPr>
            <w:r>
              <w:rPr>
                <w:color w:val="auto"/>
                <w:sz w:val="26"/>
                <w:szCs w:val="26"/>
                <w:shd w:val="clear" w:color="auto" w:fill="FFFFFF"/>
              </w:rPr>
              <w:t xml:space="preserve">- Completed with a minimum value of </w:t>
            </w:r>
            <w:r>
              <w:rPr>
                <w:b/>
                <w:color w:val="auto"/>
                <w:sz w:val="26"/>
                <w:szCs w:val="26"/>
                <w:shd w:val="clear" w:color="auto" w:fill="FFFFFF"/>
              </w:rPr>
              <w:t>USD</w:t>
            </w:r>
            <w:r>
              <w:rPr>
                <w:color w:val="auto"/>
                <w:sz w:val="26"/>
                <w:szCs w:val="26"/>
                <w:shd w:val="clear" w:color="auto" w:fill="FFFFFF"/>
              </w:rPr>
              <w:t xml:space="preserve"> </w:t>
            </w:r>
            <w:r>
              <w:rPr>
                <w:b/>
                <w:bCs/>
                <w:color w:val="auto"/>
                <w:sz w:val="26"/>
                <w:szCs w:val="26"/>
                <w:shd w:val="clear" w:color="auto" w:fill="FFFFFF"/>
              </w:rPr>
              <w:t xml:space="preserve">3,693,000 </w:t>
            </w:r>
            <w:r>
              <w:rPr>
                <w:color w:val="auto"/>
                <w:sz w:val="26"/>
                <w:szCs w:val="26"/>
                <w:shd w:val="clear" w:color="auto" w:fill="FFFFFF"/>
                <w:vertAlign w:val="superscript"/>
              </w:rPr>
              <w:t>(9)</w:t>
            </w:r>
            <w:r>
              <w:rPr>
                <w:color w:val="auto"/>
                <w:sz w:val="26"/>
                <w:szCs w:val="26"/>
                <w:shd w:val="clear" w:color="auto" w:fill="FFFFFF"/>
              </w:rPr>
              <w:t>.</w:t>
            </w:r>
          </w:p>
        </w:tc>
        <w:tc>
          <w:tcPr>
            <w:tcW w:w="1473" w:type="dxa"/>
          </w:tcPr>
          <w:p w14:paraId="708C65A9">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requirement</w:t>
            </w:r>
          </w:p>
        </w:tc>
        <w:tc>
          <w:tcPr>
            <w:tcW w:w="1473" w:type="dxa"/>
          </w:tcPr>
          <w:p w14:paraId="708C65AA">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requirement</w:t>
            </w:r>
          </w:p>
        </w:tc>
        <w:tc>
          <w:tcPr>
            <w:tcW w:w="1473" w:type="dxa"/>
          </w:tcPr>
          <w:p w14:paraId="708C65AB">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requirement (equivalent to the assigned work’s scope)</w:t>
            </w:r>
          </w:p>
        </w:tc>
        <w:tc>
          <w:tcPr>
            <w:tcW w:w="1776" w:type="dxa"/>
          </w:tcPr>
          <w:p w14:paraId="708C65AC">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Form 9(a)</w:t>
            </w:r>
          </w:p>
        </w:tc>
      </w:tr>
      <w:tr w14:paraId="708C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28" w:type="dxa"/>
          </w:tcPr>
          <w:p w14:paraId="708C65AE">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5</w:t>
            </w:r>
          </w:p>
        </w:tc>
        <w:tc>
          <w:tcPr>
            <w:tcW w:w="3148" w:type="dxa"/>
          </w:tcPr>
          <w:p w14:paraId="708C65AF">
            <w:pPr>
              <w:pStyle w:val="103"/>
              <w:shd w:val="clear" w:color="auto" w:fill="FFFFFF"/>
              <w:tabs>
                <w:tab w:val="left" w:leader="dot" w:pos="8424"/>
              </w:tabs>
              <w:spacing w:before="60" w:after="60" w:line="240" w:lineRule="auto"/>
              <w:jc w:val="both"/>
              <w:rPr>
                <w:b/>
                <w:color w:val="000000" w:themeColor="text1"/>
                <w:sz w:val="26"/>
                <w:szCs w:val="26"/>
                <w:vertAlign w:val="superscript"/>
                <w14:textFill>
                  <w14:solidFill>
                    <w14:schemeClr w14:val="tx1"/>
                  </w14:solidFill>
                </w14:textFill>
              </w:rPr>
            </w:pPr>
            <w:r>
              <w:rPr>
                <w:b/>
                <w:bCs/>
                <w:color w:val="000000" w:themeColor="text1"/>
                <w:sz w:val="26"/>
                <w:szCs w:val="26"/>
                <w:lang w:val="en-GB"/>
                <w14:textFill>
                  <w14:solidFill>
                    <w14:schemeClr w14:val="tx1"/>
                  </w14:solidFill>
                </w14:textFill>
              </w:rPr>
              <w:t>Qualification of warranty, maintenance, repair, supply of spare parts or other after-sale services</w:t>
            </w:r>
            <w:r>
              <w:rPr>
                <w:color w:val="000000" w:themeColor="text1"/>
                <w:sz w:val="26"/>
                <w:szCs w:val="26"/>
                <w:vertAlign w:val="superscript"/>
                <w14:textFill>
                  <w14:solidFill>
                    <w14:schemeClr w14:val="tx1"/>
                  </w14:solidFill>
                </w14:textFill>
              </w:rPr>
              <w:t>(8)</w:t>
            </w:r>
          </w:p>
        </w:tc>
        <w:tc>
          <w:tcPr>
            <w:tcW w:w="4444" w:type="dxa"/>
          </w:tcPr>
          <w:p w14:paraId="708C65B0">
            <w:pPr>
              <w:shd w:val="clear" w:color="auto" w:fill="FFFFFF"/>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Bidder must demonstrate its ability to perform its warranty, maintenance, servicing, repair, spare parts, or after-sale services obligations by one of the following methods:</w:t>
            </w:r>
          </w:p>
          <w:p w14:paraId="708C65B1">
            <w:pPr>
              <w:shd w:val="clear" w:color="auto" w:fill="FFFFFF"/>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The Bidder commits to be capable of performing the obligations of warranty, maintenance, servicing, repair, supply of spare parts or provide after-sales services as required by BDs.</w:t>
            </w:r>
          </w:p>
          <w:p w14:paraId="708C65B2">
            <w:pPr>
              <w:shd w:val="clear" w:color="auto" w:fill="FFFFFF"/>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The Bidder shall sign a principle contract with a company that is capable of performing warranty, maintenance, repair, spare parts supply or after-sales services according to requirements of the BDs.</w:t>
            </w:r>
          </w:p>
        </w:tc>
        <w:tc>
          <w:tcPr>
            <w:tcW w:w="1473" w:type="dxa"/>
          </w:tcPr>
          <w:p w14:paraId="708C65B3">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all requirement</w:t>
            </w:r>
          </w:p>
        </w:tc>
        <w:tc>
          <w:tcPr>
            <w:tcW w:w="1473" w:type="dxa"/>
          </w:tcPr>
          <w:p w14:paraId="708C65B4">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all requirement</w:t>
            </w:r>
          </w:p>
        </w:tc>
        <w:tc>
          <w:tcPr>
            <w:tcW w:w="1473" w:type="dxa"/>
          </w:tcPr>
          <w:p w14:paraId="708C65B5">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NA</w:t>
            </w:r>
          </w:p>
          <w:p w14:paraId="708C65B6">
            <w:pPr>
              <w:pStyle w:val="103"/>
              <w:shd w:val="clear" w:color="auto" w:fill="FFFFFF"/>
              <w:tabs>
                <w:tab w:val="left" w:leader="dot" w:pos="8424"/>
              </w:tabs>
              <w:spacing w:before="60" w:after="60" w:line="240" w:lineRule="auto"/>
              <w:rPr>
                <w:strike/>
                <w:color w:val="000000" w:themeColor="text1"/>
                <w:sz w:val="26"/>
                <w:szCs w:val="26"/>
                <w14:textFill>
                  <w14:solidFill>
                    <w14:schemeClr w14:val="tx1"/>
                  </w14:solidFill>
                </w14:textFill>
              </w:rPr>
            </w:pPr>
          </w:p>
        </w:tc>
        <w:tc>
          <w:tcPr>
            <w:tcW w:w="1776" w:type="dxa"/>
          </w:tcPr>
          <w:p w14:paraId="708C65B7">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Bidder's commitment or principle contracts</w:t>
            </w:r>
          </w:p>
        </w:tc>
      </w:tr>
    </w:tbl>
    <w:p w14:paraId="708C65B9">
      <w:pPr>
        <w:shd w:val="clear" w:color="auto" w:fill="FFFFFF"/>
        <w:spacing w:before="120" w:after="0" w:line="240" w:lineRule="auto"/>
        <w:jc w:val="both"/>
        <w:rPr>
          <w:b/>
          <w:sz w:val="26"/>
          <w:szCs w:val="26"/>
          <w:u w:val="single"/>
          <w:lang w:val="nl-NL"/>
        </w:rPr>
      </w:pPr>
      <w:r>
        <w:rPr>
          <w:b/>
          <w:sz w:val="26"/>
          <w:szCs w:val="26"/>
          <w:u w:val="single"/>
          <w:lang w:val="nl-NL"/>
        </w:rPr>
        <w:t>Note:</w:t>
      </w:r>
    </w:p>
    <w:p w14:paraId="708C65BA">
      <w:pPr>
        <w:widowControl w:val="0"/>
        <w:numPr>
          <w:ilvl w:val="0"/>
          <w:numId w:val="39"/>
        </w:numPr>
        <w:shd w:val="clear" w:color="auto" w:fill="FFFFFF"/>
        <w:spacing w:before="120" w:after="0" w:line="240" w:lineRule="auto"/>
        <w:jc w:val="both"/>
        <w:rPr>
          <w:sz w:val="26"/>
          <w:szCs w:val="26"/>
        </w:rPr>
      </w:pPr>
      <w:r>
        <w:rPr>
          <w:sz w:val="26"/>
          <w:szCs w:val="26"/>
        </w:rPr>
        <w:t>The manufacturer is understood as a manufacturing plant or a subsidiary, the parent company is in charge of the distribution and consumption of products manufactured by the parent company, other subsidiaries in the Group or the Corporation.</w:t>
      </w:r>
    </w:p>
    <w:p w14:paraId="708C65BB">
      <w:pPr>
        <w:widowControl w:val="0"/>
        <w:numPr>
          <w:ilvl w:val="0"/>
          <w:numId w:val="39"/>
        </w:numPr>
        <w:shd w:val="clear" w:color="auto" w:fill="FFFFFF"/>
        <w:spacing w:before="120" w:after="0" w:line="240" w:lineRule="auto"/>
        <w:jc w:val="both"/>
        <w:rPr>
          <w:sz w:val="26"/>
          <w:szCs w:val="26"/>
        </w:rPr>
      </w:pPr>
      <w:r>
        <w:rPr>
          <w:sz w:val="26"/>
          <w:szCs w:val="26"/>
        </w:rPr>
        <w:t>The contract is not completed due to the bidder’s fault including:</w:t>
      </w:r>
    </w:p>
    <w:p w14:paraId="708C65BC">
      <w:pPr>
        <w:spacing w:before="120" w:after="0" w:line="240" w:lineRule="auto"/>
        <w:ind w:left="851" w:right="43"/>
        <w:jc w:val="both"/>
        <w:rPr>
          <w:sz w:val="26"/>
          <w:szCs w:val="26"/>
        </w:rPr>
      </w:pPr>
      <w:r>
        <w:rPr>
          <w:sz w:val="26"/>
          <w:szCs w:val="26"/>
        </w:rPr>
        <w:t>- Unfinished contracts concluded by the Investor without objection of the Bidder;</w:t>
      </w:r>
    </w:p>
    <w:p w14:paraId="708C65BD">
      <w:pPr>
        <w:spacing w:before="120" w:after="0" w:line="240" w:lineRule="auto"/>
        <w:ind w:left="851" w:right="43"/>
        <w:jc w:val="both"/>
        <w:rPr>
          <w:sz w:val="26"/>
          <w:szCs w:val="26"/>
        </w:rPr>
      </w:pPr>
      <w:r>
        <w:rPr>
          <w:sz w:val="26"/>
          <w:szCs w:val="26"/>
        </w:rPr>
        <w:t>- Unfinished contracts concluded by the Investor with objection of the Bidder but the Bidder loses in the lawsuit under conclusion by an arbitrator or a court.</w:t>
      </w:r>
    </w:p>
    <w:p w14:paraId="708C65BE">
      <w:pPr>
        <w:widowControl w:val="0"/>
        <w:shd w:val="clear" w:color="auto" w:fill="FFFFFF"/>
        <w:spacing w:before="120" w:after="0" w:line="240" w:lineRule="auto"/>
        <w:ind w:left="284" w:firstLine="481"/>
        <w:jc w:val="both"/>
        <w:rPr>
          <w:sz w:val="26"/>
          <w:szCs w:val="26"/>
        </w:rPr>
      </w:pPr>
      <w:r>
        <w:rPr>
          <w:sz w:val="26"/>
          <w:szCs w:val="26"/>
        </w:rPr>
        <w:t>Unfinished contracts shall not include contracts that the Investor’s decisions are rejected by settlement of disputes. Unfinished contracts shall be determined according to all information about disputes or lawsuits that are settled in conformity with the terms of settlement of disputes as mentioned in the corresponding contracts and when the bidder has exhausted all opportunity to complain. For contracts that are delayed due to the fault of the bidder but still complete the contract, it is not considered as unfinished contract.</w:t>
      </w:r>
    </w:p>
    <w:p w14:paraId="708C65BF">
      <w:pPr>
        <w:widowControl w:val="0"/>
        <w:numPr>
          <w:ilvl w:val="0"/>
          <w:numId w:val="39"/>
        </w:numPr>
        <w:shd w:val="clear" w:color="auto" w:fill="FFFFFF"/>
        <w:spacing w:before="120" w:after="0" w:line="240" w:lineRule="auto"/>
        <w:jc w:val="both"/>
        <w:rPr>
          <w:sz w:val="26"/>
          <w:szCs w:val="26"/>
        </w:rPr>
      </w:pPr>
      <w:r>
        <w:rPr>
          <w:sz w:val="26"/>
          <w:szCs w:val="26"/>
        </w:rPr>
        <w:t>Insert number of years, usually between 3 and 5 years prior the year having the deadline for submission of bid</w:t>
      </w:r>
    </w:p>
    <w:p w14:paraId="708C65C0">
      <w:pPr>
        <w:widowControl w:val="0"/>
        <w:numPr>
          <w:ilvl w:val="0"/>
          <w:numId w:val="39"/>
        </w:numPr>
        <w:shd w:val="clear" w:color="auto" w:fill="FFFFFF"/>
        <w:spacing w:before="120" w:after="0" w:line="240" w:lineRule="auto"/>
        <w:jc w:val="both"/>
        <w:rPr>
          <w:sz w:val="26"/>
          <w:szCs w:val="26"/>
        </w:rPr>
      </w:pPr>
      <w:r>
        <w:rPr>
          <w:sz w:val="26"/>
          <w:szCs w:val="26"/>
        </w:rPr>
        <w:t>Documents proving the fulfillment of tax obligations of the latest fiscal year compared to the deadline for submission of bid</w:t>
      </w:r>
    </w:p>
    <w:p w14:paraId="708C65C1">
      <w:pPr>
        <w:widowControl w:val="0"/>
        <w:numPr>
          <w:ilvl w:val="0"/>
          <w:numId w:val="39"/>
        </w:numPr>
        <w:shd w:val="clear" w:color="auto" w:fill="FFFFFF"/>
        <w:spacing w:before="120" w:after="0" w:line="240" w:lineRule="auto"/>
        <w:jc w:val="both"/>
        <w:rPr>
          <w:sz w:val="26"/>
          <w:szCs w:val="26"/>
        </w:rPr>
      </w:pPr>
      <w:r>
        <w:rPr>
          <w:sz w:val="26"/>
          <w:szCs w:val="26"/>
        </w:rPr>
        <w:t>Insert number of years, usually between 3 and 5 years prior the year having the deadline for submission of bid</w:t>
      </w:r>
    </w:p>
    <w:p w14:paraId="708C65C2">
      <w:pPr>
        <w:widowControl w:val="0"/>
        <w:shd w:val="clear" w:color="auto" w:fill="FFFFFF"/>
        <w:spacing w:before="120" w:after="0" w:line="240" w:lineRule="auto"/>
        <w:ind w:left="765"/>
        <w:jc w:val="both"/>
        <w:rPr>
          <w:sz w:val="26"/>
          <w:szCs w:val="26"/>
        </w:rPr>
      </w:pPr>
      <w:r>
        <w:rPr>
          <w:sz w:val="26"/>
          <w:szCs w:val="26"/>
        </w:rPr>
        <w:t>In case the bidder has less than the number of years of establishment as required by the BDs, the average annual turnover (excluding VAT) is calculated on the number of years that the contractor was established. In this case, if the average annual turnover (excluding VAT) of the bidder meets the requirements on the value of the Bidding Documents, the bidder will still be evaluated without being disqualified.</w:t>
      </w:r>
    </w:p>
    <w:p w14:paraId="708C65C3">
      <w:pPr>
        <w:numPr>
          <w:ilvl w:val="0"/>
          <w:numId w:val="39"/>
        </w:numPr>
        <w:spacing w:before="120" w:after="0" w:line="240" w:lineRule="auto"/>
        <w:ind w:right="43"/>
        <w:rPr>
          <w:sz w:val="26"/>
          <w:szCs w:val="26"/>
        </w:rPr>
      </w:pPr>
      <w:r>
        <w:rPr>
          <w:sz w:val="26"/>
          <w:szCs w:val="26"/>
        </w:rPr>
        <w:t xml:space="preserve">Common formula of annual average revenue (excluding VAT): </w:t>
      </w:r>
    </w:p>
    <w:p w14:paraId="708C65C4">
      <w:pPr>
        <w:numPr>
          <w:ilvl w:val="0"/>
          <w:numId w:val="40"/>
        </w:numPr>
        <w:spacing w:before="120" w:after="0" w:line="240" w:lineRule="auto"/>
        <w:ind w:right="43"/>
        <w:rPr>
          <w:i/>
          <w:sz w:val="26"/>
          <w:szCs w:val="26"/>
        </w:rPr>
      </w:pPr>
      <w:r>
        <w:rPr>
          <w:i/>
          <w:sz w:val="26"/>
          <w:szCs w:val="26"/>
        </w:rPr>
        <w:t xml:space="preserve">If the time of contract performance is 12 months or more, the revenue shall be determined as follows </w:t>
      </w:r>
    </w:p>
    <w:p w14:paraId="708C65C5">
      <w:pPr>
        <w:spacing w:before="120" w:after="0" w:line="240" w:lineRule="auto"/>
        <w:ind w:left="765" w:right="43"/>
        <w:rPr>
          <w:i/>
          <w:sz w:val="26"/>
          <w:szCs w:val="26"/>
        </w:rPr>
      </w:pPr>
      <w:r>
        <w:rPr>
          <w:i/>
          <w:sz w:val="26"/>
          <w:szCs w:val="26"/>
        </w:rPr>
        <w:t xml:space="preserve">Minimum annual average revenue (excluding VAT) = [(Price of contract- VAT)/ Time of contract performance in year)] x k. </w:t>
      </w:r>
    </w:p>
    <w:p w14:paraId="708C65C6">
      <w:pPr>
        <w:spacing w:before="120" w:after="0" w:line="240" w:lineRule="auto"/>
        <w:ind w:left="765" w:right="43"/>
        <w:rPr>
          <w:i/>
          <w:sz w:val="26"/>
          <w:szCs w:val="26"/>
        </w:rPr>
      </w:pPr>
      <w:r>
        <w:rPr>
          <w:i/>
          <w:sz w:val="26"/>
          <w:szCs w:val="26"/>
        </w:rPr>
        <w:t>k is often between 1.5 and 2.</w:t>
      </w:r>
    </w:p>
    <w:p w14:paraId="708C65C7">
      <w:pPr>
        <w:spacing w:before="120" w:after="0" w:line="240" w:lineRule="auto"/>
        <w:ind w:left="765" w:right="43"/>
        <w:rPr>
          <w:i/>
          <w:sz w:val="26"/>
          <w:szCs w:val="26"/>
        </w:rPr>
      </w:pPr>
      <w:r>
        <w:rPr>
          <w:i/>
          <w:sz w:val="26"/>
          <w:szCs w:val="26"/>
        </w:rPr>
        <w:t xml:space="preserve">b) If the time of contract performance is below 12 months, the revenue shall be determined as follows: </w:t>
      </w:r>
    </w:p>
    <w:p w14:paraId="708C65C8">
      <w:pPr>
        <w:spacing w:before="120" w:after="0" w:line="240" w:lineRule="auto"/>
        <w:ind w:left="709" w:right="43"/>
        <w:rPr>
          <w:i/>
          <w:sz w:val="26"/>
          <w:szCs w:val="26"/>
        </w:rPr>
      </w:pPr>
      <w:r>
        <w:rPr>
          <w:i/>
          <w:sz w:val="26"/>
          <w:szCs w:val="26"/>
        </w:rPr>
        <w:t>Minimum annual average revenue (excluding VAT) = (Contract price – VAT) x k</w:t>
      </w:r>
    </w:p>
    <w:p w14:paraId="708C65C9">
      <w:pPr>
        <w:spacing w:before="120" w:after="0" w:line="240" w:lineRule="auto"/>
        <w:ind w:left="709" w:right="43"/>
        <w:rPr>
          <w:i/>
          <w:sz w:val="26"/>
          <w:szCs w:val="26"/>
        </w:rPr>
      </w:pPr>
      <w:r>
        <w:rPr>
          <w:i/>
          <w:sz w:val="26"/>
          <w:szCs w:val="26"/>
        </w:rPr>
        <w:t>k is often 1.5.</w:t>
      </w:r>
    </w:p>
    <w:p w14:paraId="708C65CA">
      <w:pPr>
        <w:numPr>
          <w:ilvl w:val="0"/>
          <w:numId w:val="39"/>
        </w:numPr>
        <w:spacing w:before="120" w:after="0" w:line="240" w:lineRule="auto"/>
        <w:ind w:right="43"/>
        <w:rPr>
          <w:sz w:val="26"/>
          <w:szCs w:val="26"/>
        </w:rPr>
      </w:pPr>
      <w:r>
        <w:rPr>
          <w:sz w:val="26"/>
          <w:szCs w:val="26"/>
        </w:rPr>
        <w:t>For contracts in which the bidder has participated into as a member of a consortium or a sub-contractor, only the value of the work performed by the bidder shall be counted.</w:t>
      </w:r>
    </w:p>
    <w:p w14:paraId="708C65CB">
      <w:pPr>
        <w:widowControl w:val="0"/>
        <w:numPr>
          <w:ilvl w:val="0"/>
          <w:numId w:val="39"/>
        </w:numPr>
        <w:shd w:val="clear" w:color="auto" w:fill="FFFFFF"/>
        <w:spacing w:before="120" w:after="0" w:line="240" w:lineRule="auto"/>
        <w:jc w:val="both"/>
        <w:rPr>
          <w:sz w:val="26"/>
          <w:szCs w:val="26"/>
        </w:rPr>
      </w:pPr>
      <w:r>
        <w:rPr>
          <w:sz w:val="26"/>
          <w:szCs w:val="26"/>
        </w:rPr>
        <w:t>Insert number of years, usually between 3 and 5 years prior the year having the deadline for submission of bid</w:t>
      </w:r>
    </w:p>
    <w:p w14:paraId="708C65CC">
      <w:pPr>
        <w:widowControl w:val="0"/>
        <w:numPr>
          <w:ilvl w:val="0"/>
          <w:numId w:val="39"/>
        </w:numPr>
        <w:shd w:val="clear" w:color="auto" w:fill="FFFFFF"/>
        <w:spacing w:before="120" w:after="0" w:line="240" w:lineRule="auto"/>
        <w:jc w:val="both"/>
        <w:rPr>
          <w:sz w:val="26"/>
          <w:szCs w:val="26"/>
        </w:rPr>
      </w:pPr>
      <w:r>
        <w:rPr>
          <w:color w:val="000000"/>
          <w:sz w:val="26"/>
          <w:szCs w:val="26"/>
        </w:rPr>
        <w:t>Similar in nature: Based on the scale and nature of the package, the Purchaser choose one of the two following methods to determine similar contracts in nature:</w:t>
      </w:r>
    </w:p>
    <w:p w14:paraId="708C65CD">
      <w:pPr>
        <w:widowControl w:val="0"/>
        <w:shd w:val="clear" w:color="auto" w:fill="FFFFFF"/>
        <w:spacing w:before="120" w:after="0" w:line="240" w:lineRule="auto"/>
        <w:ind w:left="765"/>
        <w:jc w:val="both"/>
        <w:rPr>
          <w:color w:val="000000"/>
          <w:sz w:val="26"/>
          <w:szCs w:val="26"/>
        </w:rPr>
      </w:pPr>
      <w:r>
        <w:rPr>
          <w:sz w:val="26"/>
          <w:szCs w:val="26"/>
        </w:rPr>
        <w:t xml:space="preserve">Method 1: A contract of similar nature is a contract for the supply of goods of the same type, similar in technical characteristics and usage features to the goods of the package under </w:t>
      </w:r>
      <w:r>
        <w:rPr>
          <w:color w:val="000000"/>
          <w:sz w:val="26"/>
          <w:szCs w:val="26"/>
        </w:rPr>
        <w:t>evaluation.</w:t>
      </w:r>
    </w:p>
    <w:p w14:paraId="708C65CE">
      <w:pPr>
        <w:widowControl w:val="0"/>
        <w:shd w:val="clear" w:color="auto" w:fill="FFFFFF"/>
        <w:spacing w:before="120" w:after="0" w:line="240" w:lineRule="auto"/>
        <w:ind w:left="765"/>
        <w:jc w:val="both"/>
        <w:rPr>
          <w:sz w:val="26"/>
          <w:szCs w:val="26"/>
        </w:rPr>
      </w:pPr>
      <w:r>
        <w:rPr>
          <w:color w:val="000000"/>
          <w:sz w:val="26"/>
          <w:szCs w:val="26"/>
        </w:rPr>
        <w:t xml:space="preserve">Method 2: A similar contract in nature is a contract for the supply of goods with the same Chapter code and Group code (corresponding to the first 4 digits of the code set) in the Harmonized Commodity Description and Coding System (HS) according to the Commodity Classification System issued by the World Customs Organization WCO (collectively referred to as HS code). </w:t>
      </w:r>
      <w:r>
        <w:rPr>
          <w:sz w:val="26"/>
          <w:szCs w:val="26"/>
        </w:rPr>
        <w:t xml:space="preserve">HS code is stipulated in Circular No. </w:t>
      </w:r>
      <w:r>
        <w:rPr>
          <w:color w:val="000000"/>
          <w:sz w:val="26"/>
          <w:szCs w:val="26"/>
        </w:rPr>
        <w:t xml:space="preserve">31/2022/TT-BTC dated June 08, 2022 </w:t>
      </w:r>
      <w:r>
        <w:rPr>
          <w:sz w:val="26"/>
          <w:szCs w:val="26"/>
        </w:rPr>
        <w:t xml:space="preserve">issued by the Ministry of Finance (posted by the General Department of Customs on its website: </w:t>
      </w:r>
      <w:r>
        <w:fldChar w:fldCharType="begin"/>
      </w:r>
      <w:r>
        <w:instrText xml:space="preserve"> HYPERLINK "https://www.customs.gov.vn" </w:instrText>
      </w:r>
      <w:r>
        <w:fldChar w:fldCharType="separate"/>
      </w:r>
      <w:r>
        <w:rPr>
          <w:rStyle w:val="36"/>
          <w:sz w:val="26"/>
          <w:szCs w:val="26"/>
        </w:rPr>
        <w:t>https://www.customs.gov.vn</w:t>
      </w:r>
      <w:r>
        <w:rPr>
          <w:rStyle w:val="36"/>
          <w:sz w:val="26"/>
          <w:szCs w:val="26"/>
        </w:rPr>
        <w:fldChar w:fldCharType="end"/>
      </w:r>
      <w:r>
        <w:rPr>
          <w:sz w:val="26"/>
          <w:szCs w:val="26"/>
        </w:rPr>
        <w:t>);</w:t>
      </w:r>
    </w:p>
    <w:p w14:paraId="708C65CF">
      <w:pPr>
        <w:pStyle w:val="97"/>
        <w:widowControl w:val="0"/>
        <w:shd w:val="clear" w:color="auto" w:fill="FFFFFF"/>
        <w:spacing w:before="120"/>
        <w:ind w:left="567" w:firstLine="198"/>
        <w:rPr>
          <w:color w:val="000000"/>
          <w:sz w:val="26"/>
          <w:szCs w:val="26"/>
        </w:rPr>
      </w:pPr>
      <w:r>
        <w:rPr>
          <w:color w:val="000000"/>
          <w:sz w:val="26"/>
          <w:szCs w:val="26"/>
        </w:rPr>
        <w:t>In case the package has many items, it is possible to specify HS codes for the main items of the package.</w:t>
      </w:r>
    </w:p>
    <w:p w14:paraId="708C65D0">
      <w:pPr>
        <w:widowControl w:val="0"/>
        <w:numPr>
          <w:ilvl w:val="0"/>
          <w:numId w:val="39"/>
        </w:numPr>
        <w:shd w:val="clear" w:color="auto" w:fill="FFFFFF"/>
        <w:spacing w:before="120" w:after="0" w:line="240" w:lineRule="auto"/>
        <w:jc w:val="both"/>
        <w:rPr>
          <w:sz w:val="26"/>
          <w:szCs w:val="26"/>
        </w:rPr>
      </w:pPr>
      <w:r>
        <w:rPr>
          <w:sz w:val="26"/>
          <w:szCs w:val="26"/>
        </w:rPr>
        <w:t>Similar in scope: the value of the contract Y = 70% of value of the considered package.</w:t>
      </w:r>
    </w:p>
    <w:p w14:paraId="708C65D1">
      <w:pPr>
        <w:widowControl w:val="0"/>
        <w:shd w:val="clear" w:color="auto" w:fill="FFFFFF"/>
        <w:spacing w:before="120" w:after="0" w:line="240" w:lineRule="auto"/>
        <w:ind w:left="765"/>
        <w:jc w:val="both"/>
        <w:rPr>
          <w:sz w:val="26"/>
          <w:szCs w:val="26"/>
        </w:rPr>
      </w:pPr>
      <w:r>
        <w:rPr>
          <w:sz w:val="26"/>
          <w:szCs w:val="26"/>
        </w:rPr>
        <w:t xml:space="preserve">      </w:t>
      </w:r>
      <w:r>
        <w:rPr>
          <w:color w:val="000000"/>
          <w:sz w:val="26"/>
          <w:szCs w:val="26"/>
        </w:rPr>
        <w:t>Evaluation of scope of similar contracts shall be based on value of completion, which is accepted as follows</w:t>
      </w:r>
    </w:p>
    <w:p w14:paraId="708C65D2">
      <w:pPr>
        <w:pStyle w:val="97"/>
        <w:widowControl w:val="0"/>
        <w:numPr>
          <w:ilvl w:val="0"/>
          <w:numId w:val="41"/>
        </w:numPr>
        <w:shd w:val="clear" w:color="auto" w:fill="FFFFFF"/>
        <w:spacing w:before="120"/>
        <w:ind w:hanging="513"/>
        <w:rPr>
          <w:bCs/>
          <w:color w:val="000000"/>
          <w:sz w:val="26"/>
          <w:szCs w:val="26"/>
        </w:rPr>
      </w:pPr>
      <w:r>
        <w:rPr>
          <w:color w:val="000000"/>
          <w:sz w:val="26"/>
          <w:szCs w:val="26"/>
        </w:rPr>
        <w:t xml:space="preserve">The Bidder shall has completed at least 1 contract for the supply of all similar goods with minimum value of at least </w:t>
      </w:r>
      <w:r>
        <w:rPr>
          <w:b/>
          <w:color w:val="000000"/>
          <w:sz w:val="26"/>
          <w:szCs w:val="26"/>
          <w:shd w:val="clear" w:color="auto" w:fill="FFFFFF"/>
        </w:rPr>
        <w:t>Y</w:t>
      </w:r>
      <w:bookmarkStart w:id="10" w:name="_Hlk188438188"/>
      <w:r>
        <w:rPr>
          <w:b/>
          <w:color w:val="000000"/>
          <w:sz w:val="26"/>
          <w:szCs w:val="26"/>
          <w:shd w:val="clear" w:color="auto" w:fill="FFFFFF"/>
        </w:rPr>
        <w:t xml:space="preserve"> = USD 3,693,000 </w:t>
      </w:r>
      <w:r>
        <w:rPr>
          <w:bCs/>
          <w:color w:val="000000"/>
          <w:sz w:val="26"/>
          <w:szCs w:val="26"/>
          <w:shd w:val="clear" w:color="auto" w:fill="FFFFFF"/>
        </w:rPr>
        <w:t>or;</w:t>
      </w:r>
    </w:p>
    <w:p w14:paraId="708C65D3">
      <w:pPr>
        <w:pStyle w:val="97"/>
        <w:widowControl w:val="0"/>
        <w:numPr>
          <w:ilvl w:val="0"/>
          <w:numId w:val="41"/>
        </w:numPr>
        <w:shd w:val="clear" w:color="auto" w:fill="FFFFFF"/>
        <w:spacing w:before="240"/>
        <w:ind w:left="1134" w:hanging="567"/>
        <w:rPr>
          <w:iCs/>
          <w:color w:val="000000"/>
          <w:sz w:val="26"/>
          <w:szCs w:val="26"/>
        </w:rPr>
      </w:pPr>
      <w:r>
        <w:rPr>
          <w:color w:val="000000"/>
          <w:sz w:val="26"/>
          <w:szCs w:val="26"/>
        </w:rPr>
        <w:t>The Bidder has supplied similar goods in different contracts (contracts may be completed or in progress, not yet commissioned or liquidated) but ensure that the value of each similar goods item performed meets at least</w:t>
      </w:r>
      <w:r>
        <w:rPr>
          <w:b/>
          <w:bCs/>
          <w:color w:val="000000"/>
          <w:sz w:val="26"/>
          <w:szCs w:val="26"/>
        </w:rPr>
        <w:t xml:space="preserve"> </w:t>
      </w:r>
      <w:r>
        <w:rPr>
          <w:b/>
          <w:bCs/>
          <w:color w:val="auto"/>
          <w:sz w:val="26"/>
          <w:szCs w:val="26"/>
        </w:rPr>
        <w:t>70%</w:t>
      </w:r>
      <w:r>
        <w:rPr>
          <w:color w:val="auto"/>
          <w:sz w:val="26"/>
          <w:szCs w:val="26"/>
        </w:rPr>
        <w:t xml:space="preserve"> o</w:t>
      </w:r>
      <w:r>
        <w:rPr>
          <w:color w:val="000000"/>
          <w:sz w:val="26"/>
          <w:szCs w:val="26"/>
        </w:rPr>
        <w:t xml:space="preserve">f the value of each goods item in the package under evaluation and the total value of the goods items performed must meet at least Y. </w:t>
      </w:r>
      <w:bookmarkEnd w:id="10"/>
      <w:r>
        <w:rPr>
          <w:iCs/>
          <w:color w:val="000000"/>
          <w:sz w:val="26"/>
          <w:szCs w:val="26"/>
        </w:rPr>
        <w:t>In which:</w:t>
      </w:r>
    </w:p>
    <w:p w14:paraId="708C65D4">
      <w:pPr>
        <w:pStyle w:val="97"/>
        <w:widowControl w:val="0"/>
        <w:shd w:val="clear" w:color="auto" w:fill="FFFFFF"/>
        <w:tabs>
          <w:tab w:val="left" w:pos="1400"/>
        </w:tabs>
        <w:spacing w:before="240"/>
        <w:ind w:left="1080"/>
        <w:rPr>
          <w:iCs/>
          <w:color w:val="auto"/>
          <w:sz w:val="26"/>
          <w:szCs w:val="26"/>
        </w:rPr>
      </w:pPr>
      <w:r>
        <w:rPr>
          <w:color w:val="auto"/>
          <w:sz w:val="26"/>
          <w:szCs w:val="26"/>
          <w:shd w:val="clear" w:color="FFFFFF" w:fill="D9D9D9"/>
        </w:rPr>
        <w:t xml:space="preserve">8535xxxx = </w:t>
      </w:r>
      <w:r>
        <w:rPr>
          <w:color w:val="auto"/>
          <w:sz w:val="26"/>
          <w:szCs w:val="26"/>
        </w:rPr>
        <w:t>USD 688,287;</w:t>
      </w:r>
    </w:p>
    <w:p w14:paraId="708C65D5">
      <w:pPr>
        <w:pStyle w:val="97"/>
        <w:widowControl w:val="0"/>
        <w:shd w:val="clear" w:color="auto" w:fill="FFFFFF"/>
        <w:tabs>
          <w:tab w:val="left" w:pos="1400"/>
        </w:tabs>
        <w:spacing w:before="240"/>
        <w:ind w:left="1080"/>
        <w:rPr>
          <w:iCs/>
          <w:color w:val="auto"/>
          <w:sz w:val="26"/>
          <w:szCs w:val="26"/>
        </w:rPr>
      </w:pPr>
      <w:r>
        <w:rPr>
          <w:color w:val="auto"/>
          <w:sz w:val="26"/>
          <w:szCs w:val="26"/>
          <w:shd w:val="clear" w:color="FFFFFF" w:fill="D9D9D9"/>
        </w:rPr>
        <w:t>8504xxxx = USD 1,281,121;</w:t>
      </w:r>
    </w:p>
    <w:p w14:paraId="708C65D6">
      <w:pPr>
        <w:pStyle w:val="97"/>
        <w:widowControl w:val="0"/>
        <w:shd w:val="clear" w:color="auto" w:fill="FFFFFF"/>
        <w:tabs>
          <w:tab w:val="left" w:pos="1400"/>
        </w:tabs>
        <w:spacing w:before="240"/>
        <w:ind w:left="1080"/>
        <w:rPr>
          <w:iCs/>
          <w:color w:val="auto"/>
          <w:sz w:val="26"/>
          <w:szCs w:val="26"/>
        </w:rPr>
      </w:pPr>
      <w:r>
        <w:rPr>
          <w:color w:val="auto"/>
          <w:sz w:val="26"/>
          <w:szCs w:val="26"/>
          <w:shd w:val="clear" w:color="FFFFFF" w:fill="D9D9D9"/>
        </w:rPr>
        <w:t>8546xxxx= USD 134,879;</w:t>
      </w:r>
    </w:p>
    <w:p w14:paraId="708C65D7">
      <w:pPr>
        <w:pStyle w:val="97"/>
        <w:widowControl w:val="0"/>
        <w:shd w:val="clear" w:color="auto" w:fill="FFFFFF"/>
        <w:tabs>
          <w:tab w:val="left" w:pos="1400"/>
        </w:tabs>
        <w:spacing w:before="240"/>
        <w:ind w:left="1080"/>
        <w:rPr>
          <w:color w:val="auto"/>
          <w:sz w:val="26"/>
          <w:szCs w:val="26"/>
          <w:shd w:val="clear" w:color="FFFFFF" w:fill="D9D9D9"/>
        </w:rPr>
      </w:pPr>
      <w:r>
        <w:rPr>
          <w:color w:val="auto"/>
          <w:sz w:val="26"/>
          <w:szCs w:val="26"/>
          <w:shd w:val="clear" w:color="FFFFFF" w:fill="D9D9D9"/>
        </w:rPr>
        <w:t xml:space="preserve">7616xxxx = USD 78,540; </w:t>
      </w:r>
    </w:p>
    <w:p w14:paraId="708C65D8">
      <w:pPr>
        <w:pStyle w:val="97"/>
        <w:widowControl w:val="0"/>
        <w:shd w:val="clear" w:color="auto" w:fill="FFFFFF"/>
        <w:tabs>
          <w:tab w:val="left" w:pos="1400"/>
        </w:tabs>
        <w:spacing w:before="240"/>
        <w:ind w:left="1080"/>
        <w:rPr>
          <w:iCs/>
          <w:color w:val="auto"/>
          <w:sz w:val="26"/>
          <w:szCs w:val="26"/>
        </w:rPr>
      </w:pPr>
      <w:r>
        <w:rPr>
          <w:color w:val="auto"/>
          <w:sz w:val="26"/>
          <w:szCs w:val="26"/>
          <w:shd w:val="clear" w:color="FFFFFF" w:fill="D9D9D9"/>
        </w:rPr>
        <w:t>7614xxxx = USD 81,921.</w:t>
      </w:r>
    </w:p>
    <w:p w14:paraId="708C65D9">
      <w:pPr>
        <w:shd w:val="clear" w:color="auto" w:fill="FFFFFF"/>
        <w:spacing w:before="240" w:after="0" w:line="240" w:lineRule="auto"/>
        <w:ind w:left="993"/>
        <w:jc w:val="both"/>
        <w:rPr>
          <w:iCs/>
          <w:color w:val="000000"/>
          <w:sz w:val="26"/>
          <w:szCs w:val="26"/>
        </w:rPr>
      </w:pPr>
      <w:r>
        <w:rPr>
          <w:iCs/>
          <w:color w:val="000000"/>
          <w:sz w:val="26"/>
          <w:szCs w:val="26"/>
        </w:rPr>
        <w:t>+ The completed goods item is a part or the entire volume of goods in the item that has been accepted within a specified period of time without regard to the time of contract signing. The time of confirmation of goods items that have been performed to determine similar goods items is the time of goods acceptance, not based on the time of contract signing.</w:t>
      </w:r>
    </w:p>
    <w:p w14:paraId="708C65DA">
      <w:pPr>
        <w:shd w:val="clear" w:color="auto" w:fill="FFFFFF"/>
        <w:spacing w:before="240" w:after="0" w:line="240" w:lineRule="auto"/>
        <w:ind w:left="993"/>
        <w:jc w:val="both"/>
        <w:rPr>
          <w:iCs/>
          <w:color w:val="000000"/>
          <w:sz w:val="26"/>
          <w:szCs w:val="26"/>
        </w:rPr>
      </w:pPr>
      <w:r>
        <w:rPr>
          <w:iCs/>
          <w:color w:val="000000"/>
          <w:sz w:val="26"/>
          <w:szCs w:val="26"/>
        </w:rPr>
        <w:t>+ The completed contract is a contract in which all goods have been accepted or the contract has been liquidated. Time of confirmation of contract completion to determine a similar contract is the time of acceptance of the goods, not based on the time of contract signing.</w:t>
      </w:r>
    </w:p>
    <w:p w14:paraId="708C65DB">
      <w:pPr>
        <w:widowControl w:val="0"/>
        <w:shd w:val="clear" w:color="auto" w:fill="FFFFFF"/>
        <w:spacing w:before="120" w:after="0" w:line="240" w:lineRule="auto"/>
        <w:ind w:left="993"/>
        <w:jc w:val="both"/>
        <w:rPr>
          <w:color w:val="000000"/>
          <w:sz w:val="26"/>
          <w:szCs w:val="26"/>
        </w:rPr>
      </w:pPr>
      <w:r>
        <w:rPr>
          <w:color w:val="000000"/>
          <w:sz w:val="26"/>
          <w:szCs w:val="26"/>
        </w:rPr>
        <w:t>In case the Bidder is both the manufacturer and the Supplier (some goods or part of the volume of goods offered in Bid are manufactured by the Bidder, some other goods or part of the volume of goods are purchased by the Bidder from the other manufacturers, Suppliers), in addition to declare experience for similar contract performance, the Bidder must also declare production capacity in Item 4-Table No. 02. Evaluation of the Bidder's experience will be made on the basis of contracts for supply of similar goods (corresponding to the goods which are purchased by the Bidder from the other manufacturers, Suppliers) and production capacity of the Bidder (corresponding to the goods that are manufactured by the Bidder).</w:t>
      </w:r>
    </w:p>
    <w:p w14:paraId="708C65DC">
      <w:pPr>
        <w:widowControl w:val="0"/>
        <w:numPr>
          <w:ilvl w:val="0"/>
          <w:numId w:val="39"/>
        </w:numPr>
        <w:shd w:val="clear" w:color="auto" w:fill="FFFFFF"/>
        <w:tabs>
          <w:tab w:val="left" w:pos="993"/>
        </w:tabs>
        <w:spacing w:before="120" w:after="0" w:line="240" w:lineRule="auto"/>
        <w:ind w:left="993" w:hanging="633"/>
        <w:jc w:val="both"/>
        <w:rPr>
          <w:sz w:val="26"/>
          <w:szCs w:val="26"/>
        </w:rPr>
      </w:pPr>
      <w:r>
        <w:rPr>
          <w:sz w:val="26"/>
          <w:szCs w:val="26"/>
        </w:rPr>
        <w:t>In case the bidder lacks the commitment, it will be supplemented during the evaluation of the Bids. In case the bidder fails to supplement the commitment within a reasonable period of time at the request of the Purchaser, the Bid will be deemed to have failed to meet the requirements for warranty, maintenance, repair and guarantee capability, repair, supply spare parts or provide other after-sales services and be rejected</w:t>
      </w:r>
    </w:p>
    <w:p w14:paraId="708C65DD">
      <w:pPr>
        <w:spacing w:after="0" w:line="240" w:lineRule="auto"/>
        <w:ind w:left="426"/>
        <w:jc w:val="center"/>
        <w:rPr>
          <w:b/>
          <w:color w:val="000000" w:themeColor="text1"/>
          <w:sz w:val="26"/>
          <w:szCs w:val="26"/>
          <w14:textFill>
            <w14:solidFill>
              <w14:schemeClr w14:val="tx1"/>
            </w14:solidFill>
          </w14:textFill>
        </w:rPr>
      </w:pPr>
    </w:p>
    <w:p w14:paraId="708C65DE">
      <w:pPr>
        <w:spacing w:after="0" w:line="240" w:lineRule="auto"/>
        <w:ind w:left="426"/>
        <w:jc w:val="center"/>
        <w:rPr>
          <w:b/>
          <w:color w:val="000000" w:themeColor="text1"/>
          <w:sz w:val="26"/>
          <w:szCs w:val="26"/>
          <w14:textFill>
            <w14:solidFill>
              <w14:schemeClr w14:val="tx1"/>
            </w14:solidFill>
          </w14:textFill>
        </w:rPr>
      </w:pPr>
    </w:p>
    <w:p w14:paraId="708C65DF">
      <w:pPr>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TABLE No.2: TABLE OF EVALUATION CRITERIA FOR QUALIFICATION AND EXPERIENCE</w:t>
      </w:r>
    </w:p>
    <w:p w14:paraId="708C65E0">
      <w:pPr>
        <w:shd w:val="clear" w:color="auto" w:fill="FFFFFF"/>
        <w:spacing w:before="120" w:after="120" w:line="240" w:lineRule="auto"/>
        <w:jc w:val="center"/>
        <w:rPr>
          <w:b/>
          <w:i/>
          <w:color w:val="000000" w:themeColor="text1"/>
          <w:sz w:val="26"/>
          <w:szCs w:val="26"/>
          <w14:textFill>
            <w14:solidFill>
              <w14:schemeClr w14:val="tx1"/>
            </w14:solidFill>
          </w14:textFill>
        </w:rPr>
      </w:pPr>
      <w:r>
        <w:rPr>
          <w:b/>
          <w:i/>
          <w:color w:val="000000" w:themeColor="text1"/>
          <w:sz w:val="26"/>
          <w:szCs w:val="26"/>
          <w14:textFill>
            <w14:solidFill>
              <w14:schemeClr w14:val="tx1"/>
            </w14:solidFill>
          </w14:textFill>
        </w:rPr>
        <w:t>(For the Bidder who is manufacturer</w:t>
      </w:r>
      <w:r>
        <w:rPr>
          <w:b/>
          <w:i/>
          <w:color w:val="000000" w:themeColor="text1"/>
          <w:sz w:val="26"/>
          <w:szCs w:val="26"/>
          <w:vertAlign w:val="superscript"/>
          <w14:textFill>
            <w14:solidFill>
              <w14:schemeClr w14:val="tx1"/>
            </w14:solidFill>
          </w14:textFill>
        </w:rPr>
        <w:t>(1)</w:t>
      </w:r>
      <w:r>
        <w:rPr>
          <w:b/>
          <w:i/>
          <w:color w:val="000000" w:themeColor="text1"/>
          <w:sz w:val="26"/>
          <w:szCs w:val="26"/>
          <w14:textFill>
            <w14:solidFill>
              <w14:schemeClr w14:val="tx1"/>
            </w14:solidFill>
          </w14:textFill>
        </w:rPr>
        <w:t xml:space="preserve"> of offered goods)</w:t>
      </w:r>
    </w:p>
    <w:tbl>
      <w:tblPr>
        <w:tblStyle w:val="12"/>
        <w:tblW w:w="14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2495"/>
        <w:gridCol w:w="5397"/>
        <w:gridCol w:w="1473"/>
        <w:gridCol w:w="1473"/>
        <w:gridCol w:w="1473"/>
        <w:gridCol w:w="1776"/>
      </w:tblGrid>
      <w:tr w14:paraId="708C6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729" w:type="dxa"/>
            <w:gridSpan w:val="3"/>
            <w:tcBorders>
              <w:bottom w:val="single" w:color="auto" w:sz="4" w:space="0"/>
            </w:tcBorders>
            <w:vAlign w:val="center"/>
          </w:tcPr>
          <w:p w14:paraId="708C65E1">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Qualification and Experience Criteria</w:t>
            </w:r>
          </w:p>
        </w:tc>
        <w:tc>
          <w:tcPr>
            <w:tcW w:w="4419" w:type="dxa"/>
            <w:gridSpan w:val="3"/>
            <w:tcBorders>
              <w:bottom w:val="single" w:color="auto" w:sz="4" w:space="0"/>
            </w:tcBorders>
            <w:vAlign w:val="center"/>
          </w:tcPr>
          <w:p w14:paraId="708C65E2">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Requirements</w:t>
            </w:r>
          </w:p>
        </w:tc>
        <w:tc>
          <w:tcPr>
            <w:tcW w:w="1776" w:type="dxa"/>
            <w:vMerge w:val="restart"/>
            <w:vAlign w:val="center"/>
          </w:tcPr>
          <w:p w14:paraId="708C65E3">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Submission Requirements</w:t>
            </w:r>
          </w:p>
        </w:tc>
      </w:tr>
      <w:tr w14:paraId="708C6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38" w:type="dxa"/>
            <w:vMerge w:val="restart"/>
            <w:vAlign w:val="center"/>
          </w:tcPr>
          <w:p w14:paraId="708C65E5">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No.</w:t>
            </w:r>
          </w:p>
        </w:tc>
        <w:tc>
          <w:tcPr>
            <w:tcW w:w="3186" w:type="dxa"/>
            <w:vMerge w:val="restart"/>
            <w:vAlign w:val="center"/>
          </w:tcPr>
          <w:p w14:paraId="708C65E6">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Descriptions</w:t>
            </w:r>
          </w:p>
        </w:tc>
        <w:tc>
          <w:tcPr>
            <w:tcW w:w="4505" w:type="dxa"/>
            <w:vMerge w:val="restart"/>
            <w:vAlign w:val="center"/>
          </w:tcPr>
          <w:p w14:paraId="708C65E7">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Requirement</w:t>
            </w:r>
          </w:p>
        </w:tc>
        <w:tc>
          <w:tcPr>
            <w:tcW w:w="1473" w:type="dxa"/>
            <w:vMerge w:val="restart"/>
            <w:vAlign w:val="center"/>
          </w:tcPr>
          <w:p w14:paraId="708C65E8">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Single Entity</w:t>
            </w:r>
          </w:p>
        </w:tc>
        <w:tc>
          <w:tcPr>
            <w:tcW w:w="2946" w:type="dxa"/>
            <w:gridSpan w:val="2"/>
            <w:vAlign w:val="center"/>
          </w:tcPr>
          <w:p w14:paraId="708C65E9">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Consortium</w:t>
            </w:r>
          </w:p>
        </w:tc>
        <w:tc>
          <w:tcPr>
            <w:tcW w:w="1776" w:type="dxa"/>
            <w:vMerge w:val="continue"/>
            <w:vAlign w:val="center"/>
          </w:tcPr>
          <w:p w14:paraId="708C65EA">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p>
        </w:tc>
      </w:tr>
      <w:tr w14:paraId="708C6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38" w:type="dxa"/>
            <w:vMerge w:val="continue"/>
          </w:tcPr>
          <w:p w14:paraId="708C65EC">
            <w:pPr>
              <w:pStyle w:val="103"/>
              <w:shd w:val="clear" w:color="auto" w:fill="FFFFFF"/>
              <w:tabs>
                <w:tab w:val="left" w:leader="dot" w:pos="8424"/>
              </w:tabs>
              <w:spacing w:before="60" w:after="60" w:line="240" w:lineRule="auto"/>
              <w:jc w:val="both"/>
              <w:outlineLvl w:val="0"/>
              <w:rPr>
                <w:b/>
                <w:color w:val="000000" w:themeColor="text1"/>
                <w:sz w:val="26"/>
                <w:szCs w:val="26"/>
                <w14:textFill>
                  <w14:solidFill>
                    <w14:schemeClr w14:val="tx1"/>
                  </w14:solidFill>
                </w14:textFill>
              </w:rPr>
            </w:pPr>
          </w:p>
        </w:tc>
        <w:tc>
          <w:tcPr>
            <w:tcW w:w="3186" w:type="dxa"/>
            <w:vMerge w:val="continue"/>
          </w:tcPr>
          <w:p w14:paraId="708C65ED">
            <w:pPr>
              <w:pStyle w:val="103"/>
              <w:shd w:val="clear" w:color="auto" w:fill="FFFFFF"/>
              <w:tabs>
                <w:tab w:val="left" w:leader="dot" w:pos="8424"/>
              </w:tabs>
              <w:spacing w:before="60" w:after="60" w:line="240" w:lineRule="auto"/>
              <w:jc w:val="both"/>
              <w:outlineLvl w:val="0"/>
              <w:rPr>
                <w:b/>
                <w:color w:val="000000" w:themeColor="text1"/>
                <w:sz w:val="26"/>
                <w:szCs w:val="26"/>
                <w14:textFill>
                  <w14:solidFill>
                    <w14:schemeClr w14:val="tx1"/>
                  </w14:solidFill>
                </w14:textFill>
              </w:rPr>
            </w:pPr>
          </w:p>
        </w:tc>
        <w:tc>
          <w:tcPr>
            <w:tcW w:w="4505" w:type="dxa"/>
            <w:vMerge w:val="continue"/>
          </w:tcPr>
          <w:p w14:paraId="708C65EE">
            <w:pPr>
              <w:pStyle w:val="103"/>
              <w:shd w:val="clear" w:color="auto" w:fill="FFFFFF"/>
              <w:tabs>
                <w:tab w:val="left" w:leader="dot" w:pos="8424"/>
              </w:tabs>
              <w:spacing w:before="60" w:after="60" w:line="240" w:lineRule="auto"/>
              <w:jc w:val="both"/>
              <w:outlineLvl w:val="0"/>
              <w:rPr>
                <w:b/>
                <w:color w:val="000000" w:themeColor="text1"/>
                <w:sz w:val="26"/>
                <w:szCs w:val="26"/>
                <w14:textFill>
                  <w14:solidFill>
                    <w14:schemeClr w14:val="tx1"/>
                  </w14:solidFill>
                </w14:textFill>
              </w:rPr>
            </w:pPr>
          </w:p>
        </w:tc>
        <w:tc>
          <w:tcPr>
            <w:tcW w:w="1473" w:type="dxa"/>
            <w:vMerge w:val="continue"/>
          </w:tcPr>
          <w:p w14:paraId="708C65EF">
            <w:pPr>
              <w:pStyle w:val="103"/>
              <w:shd w:val="clear" w:color="auto" w:fill="FFFFFF"/>
              <w:tabs>
                <w:tab w:val="left" w:leader="dot" w:pos="8424"/>
              </w:tabs>
              <w:spacing w:before="60" w:after="60" w:line="240" w:lineRule="auto"/>
              <w:jc w:val="center"/>
              <w:outlineLvl w:val="0"/>
              <w:rPr>
                <w:b/>
                <w:color w:val="000000" w:themeColor="text1"/>
                <w:sz w:val="26"/>
                <w:szCs w:val="26"/>
                <w14:textFill>
                  <w14:solidFill>
                    <w14:schemeClr w14:val="tx1"/>
                  </w14:solidFill>
                </w14:textFill>
              </w:rPr>
            </w:pPr>
          </w:p>
        </w:tc>
        <w:tc>
          <w:tcPr>
            <w:tcW w:w="1473" w:type="dxa"/>
            <w:vAlign w:val="center"/>
          </w:tcPr>
          <w:p w14:paraId="708C65F0">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All </w:t>
            </w:r>
            <w:r>
              <w:rPr>
                <w:b/>
                <w:color w:val="000000" w:themeColor="text1"/>
                <w:sz w:val="26"/>
                <w:szCs w:val="26"/>
                <w:lang w:eastAsia="ja-JP"/>
                <w14:textFill>
                  <w14:solidFill>
                    <w14:schemeClr w14:val="tx1"/>
                  </w14:solidFill>
                </w14:textFill>
              </w:rPr>
              <w:t>Parties</w:t>
            </w:r>
            <w:r>
              <w:rPr>
                <w:b/>
                <w:color w:val="000000" w:themeColor="text1"/>
                <w:sz w:val="26"/>
                <w:szCs w:val="26"/>
                <w14:textFill>
                  <w14:solidFill>
                    <w14:schemeClr w14:val="tx1"/>
                  </w14:solidFill>
                </w14:textFill>
              </w:rPr>
              <w:t xml:space="preserve"> Combined</w:t>
            </w:r>
          </w:p>
        </w:tc>
        <w:tc>
          <w:tcPr>
            <w:tcW w:w="1473" w:type="dxa"/>
            <w:vAlign w:val="center"/>
          </w:tcPr>
          <w:p w14:paraId="708C65F1">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Each </w:t>
            </w:r>
            <w:r>
              <w:rPr>
                <w:b/>
                <w:color w:val="000000" w:themeColor="text1"/>
                <w:sz w:val="26"/>
                <w:szCs w:val="26"/>
                <w:lang w:eastAsia="ja-JP"/>
                <w14:textFill>
                  <w14:solidFill>
                    <w14:schemeClr w14:val="tx1"/>
                  </w14:solidFill>
                </w14:textFill>
              </w:rPr>
              <w:t>Member</w:t>
            </w:r>
          </w:p>
        </w:tc>
        <w:tc>
          <w:tcPr>
            <w:tcW w:w="1776" w:type="dxa"/>
            <w:vMerge w:val="continue"/>
          </w:tcPr>
          <w:p w14:paraId="708C65F2">
            <w:pPr>
              <w:pStyle w:val="103"/>
              <w:shd w:val="clear" w:color="auto" w:fill="FFFFFF"/>
              <w:tabs>
                <w:tab w:val="left" w:leader="dot" w:pos="8424"/>
              </w:tabs>
              <w:spacing w:before="60" w:after="60" w:line="240" w:lineRule="auto"/>
              <w:jc w:val="center"/>
              <w:outlineLvl w:val="0"/>
              <w:rPr>
                <w:b/>
                <w:color w:val="000000" w:themeColor="text1"/>
                <w:sz w:val="26"/>
                <w:szCs w:val="26"/>
                <w14:textFill>
                  <w14:solidFill>
                    <w14:schemeClr w14:val="tx1"/>
                  </w14:solidFill>
                </w14:textFill>
              </w:rPr>
            </w:pPr>
          </w:p>
        </w:tc>
      </w:tr>
      <w:tr w14:paraId="708C6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38" w:type="dxa"/>
          </w:tcPr>
          <w:p w14:paraId="708C65F4">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1</w:t>
            </w:r>
          </w:p>
        </w:tc>
        <w:tc>
          <w:tcPr>
            <w:tcW w:w="3186" w:type="dxa"/>
          </w:tcPr>
          <w:p w14:paraId="708C65F5">
            <w:pPr>
              <w:pStyle w:val="103"/>
              <w:shd w:val="clear" w:color="auto" w:fill="FFFFFF"/>
              <w:tabs>
                <w:tab w:val="left" w:leader="dot" w:pos="8424"/>
              </w:tabs>
              <w:spacing w:before="60" w:after="60" w:line="240" w:lineRule="auto"/>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History of Non-Performing Contracts due to bidder's fault</w:t>
            </w:r>
          </w:p>
        </w:tc>
        <w:tc>
          <w:tcPr>
            <w:tcW w:w="4505" w:type="dxa"/>
          </w:tcPr>
          <w:p w14:paraId="708C65F6">
            <w:pPr>
              <w:pStyle w:val="103"/>
              <w:shd w:val="clear" w:color="auto" w:fill="FFFFFF"/>
              <w:tabs>
                <w:tab w:val="left" w:leader="dot" w:pos="8424"/>
              </w:tabs>
              <w:spacing w:before="60" w:after="60" w:line="240" w:lineRule="auto"/>
              <w:jc w:val="both"/>
              <w:rPr>
                <w:color w:val="000000" w:themeColor="text1"/>
                <w:sz w:val="26"/>
                <w:szCs w:val="26"/>
                <w14:textFill>
                  <w14:solidFill>
                    <w14:schemeClr w14:val="tx1"/>
                  </w14:solidFill>
                </w14:textFill>
              </w:rPr>
            </w:pPr>
            <w:r>
              <w:rPr>
                <w:sz w:val="26"/>
                <w:szCs w:val="26"/>
              </w:rPr>
              <w:t xml:space="preserve">Non-completion of the contract did not occur as a result of </w:t>
            </w:r>
            <w:r>
              <w:rPr>
                <w:sz w:val="26"/>
                <w:szCs w:val="26"/>
                <w:lang w:eastAsia="ja-JP"/>
              </w:rPr>
              <w:t>bidder</w:t>
            </w:r>
            <w:r>
              <w:rPr>
                <w:sz w:val="26"/>
                <w:szCs w:val="26"/>
              </w:rPr>
              <w:t>’s fault</w:t>
            </w:r>
            <w:r>
              <w:rPr>
                <w:sz w:val="26"/>
                <w:szCs w:val="26"/>
                <w:vertAlign w:val="superscript"/>
              </w:rPr>
              <w:t>(2)</w:t>
            </w:r>
            <w:r>
              <w:rPr>
                <w:sz w:val="26"/>
                <w:szCs w:val="26"/>
              </w:rPr>
              <w:t xml:space="preserve"> since 1</w:t>
            </w:r>
            <w:r>
              <w:rPr>
                <w:sz w:val="26"/>
                <w:szCs w:val="26"/>
                <w:vertAlign w:val="superscript"/>
              </w:rPr>
              <w:t>st</w:t>
            </w:r>
            <w:r>
              <w:rPr>
                <w:sz w:val="26"/>
                <w:szCs w:val="26"/>
              </w:rPr>
              <w:t xml:space="preserve"> January 2022</w:t>
            </w:r>
            <w:r>
              <w:rPr>
                <w:sz w:val="26"/>
                <w:szCs w:val="26"/>
                <w:vertAlign w:val="superscript"/>
              </w:rPr>
              <w:t>3)</w:t>
            </w:r>
            <w:r>
              <w:rPr>
                <w:sz w:val="26"/>
                <w:szCs w:val="26"/>
              </w:rPr>
              <w:t xml:space="preserve"> to the deadline for submission of bid.</w:t>
            </w:r>
          </w:p>
        </w:tc>
        <w:tc>
          <w:tcPr>
            <w:tcW w:w="1473" w:type="dxa"/>
          </w:tcPr>
          <w:p w14:paraId="708C65F7">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requirement</w:t>
            </w:r>
          </w:p>
        </w:tc>
        <w:tc>
          <w:tcPr>
            <w:tcW w:w="1473" w:type="dxa"/>
          </w:tcPr>
          <w:p w14:paraId="708C65F8">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N/A</w:t>
            </w:r>
          </w:p>
        </w:tc>
        <w:tc>
          <w:tcPr>
            <w:tcW w:w="1473" w:type="dxa"/>
          </w:tcPr>
          <w:p w14:paraId="708C65F9">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requirement</w:t>
            </w:r>
          </w:p>
        </w:tc>
        <w:tc>
          <w:tcPr>
            <w:tcW w:w="1776" w:type="dxa"/>
          </w:tcPr>
          <w:p w14:paraId="708C65FA">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Form 11</w:t>
            </w:r>
          </w:p>
        </w:tc>
      </w:tr>
      <w:tr w14:paraId="708C6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38" w:type="dxa"/>
          </w:tcPr>
          <w:p w14:paraId="708C65FC">
            <w:pPr>
              <w:pStyle w:val="103"/>
              <w:shd w:val="clear" w:color="auto" w:fill="FFFFFF"/>
              <w:tabs>
                <w:tab w:val="left" w:leader="dot" w:pos="8424"/>
              </w:tabs>
              <w:spacing w:before="60" w:after="60" w:line="240" w:lineRule="auto"/>
              <w:jc w:val="center"/>
              <w:rPr>
                <w:rFonts w:eastAsia="Calibri"/>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2</w:t>
            </w:r>
          </w:p>
        </w:tc>
        <w:tc>
          <w:tcPr>
            <w:tcW w:w="3186" w:type="dxa"/>
          </w:tcPr>
          <w:p w14:paraId="708C65FD">
            <w:pPr>
              <w:pStyle w:val="103"/>
              <w:shd w:val="clear" w:color="auto" w:fill="FFFFFF"/>
              <w:tabs>
                <w:tab w:val="left" w:leader="dot" w:pos="8424"/>
              </w:tabs>
              <w:spacing w:before="60" w:after="60" w:line="240" w:lineRule="auto"/>
              <w:jc w:val="both"/>
              <w:rPr>
                <w:b/>
                <w:color w:val="000000" w:themeColor="text1"/>
                <w:sz w:val="26"/>
                <w:szCs w:val="26"/>
                <w:vertAlign w:val="superscript"/>
                <w14:textFill>
                  <w14:solidFill>
                    <w14:schemeClr w14:val="tx1"/>
                  </w14:solidFill>
                </w14:textFill>
              </w:rPr>
            </w:pPr>
            <w:r>
              <w:rPr>
                <w:b/>
                <w:color w:val="000000" w:themeColor="text1"/>
                <w:sz w:val="26"/>
                <w:szCs w:val="26"/>
                <w14:textFill>
                  <w14:solidFill>
                    <w14:schemeClr w14:val="tx1"/>
                  </w14:solidFill>
                </w14:textFill>
              </w:rPr>
              <w:t>Tax obligations</w:t>
            </w:r>
          </w:p>
        </w:tc>
        <w:tc>
          <w:tcPr>
            <w:tcW w:w="4505" w:type="dxa"/>
          </w:tcPr>
          <w:p w14:paraId="708C65FE">
            <w:pPr>
              <w:pStyle w:val="103"/>
              <w:shd w:val="clear" w:color="auto" w:fill="FFFFFF"/>
              <w:tabs>
                <w:tab w:val="left" w:leader="dot" w:pos="8424"/>
              </w:tabs>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Has fulfilled tax obligations</w:t>
            </w:r>
            <w:r>
              <w:rPr>
                <w:color w:val="000000" w:themeColor="text1"/>
                <w:sz w:val="26"/>
                <w:szCs w:val="26"/>
                <w:vertAlign w:val="superscript"/>
                <w14:textFill>
                  <w14:solidFill>
                    <w14:schemeClr w14:val="tx1"/>
                  </w14:solidFill>
                </w14:textFill>
              </w:rPr>
              <w:t>(4)</w:t>
            </w:r>
            <w:r>
              <w:rPr>
                <w:color w:val="000000" w:themeColor="text1"/>
                <w:sz w:val="26"/>
                <w:szCs w:val="26"/>
                <w14:textFill>
                  <w14:solidFill>
                    <w14:schemeClr w14:val="tx1"/>
                  </w14:solidFill>
                </w14:textFill>
              </w:rPr>
              <w:t xml:space="preserve"> of the latest fiscal year compared to the deadline for submission of bid.</w:t>
            </w:r>
          </w:p>
        </w:tc>
        <w:tc>
          <w:tcPr>
            <w:tcW w:w="1473" w:type="dxa"/>
          </w:tcPr>
          <w:p w14:paraId="708C65FF">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requirement</w:t>
            </w:r>
          </w:p>
        </w:tc>
        <w:tc>
          <w:tcPr>
            <w:tcW w:w="1473" w:type="dxa"/>
          </w:tcPr>
          <w:p w14:paraId="708C6600">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N/A</w:t>
            </w:r>
          </w:p>
        </w:tc>
        <w:tc>
          <w:tcPr>
            <w:tcW w:w="1473" w:type="dxa"/>
          </w:tcPr>
          <w:p w14:paraId="708C6601">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requirement</w:t>
            </w:r>
          </w:p>
        </w:tc>
        <w:tc>
          <w:tcPr>
            <w:tcW w:w="1776" w:type="dxa"/>
          </w:tcPr>
          <w:p w14:paraId="708C6602">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Commitment in Letter of bid</w:t>
            </w:r>
          </w:p>
        </w:tc>
      </w:tr>
      <w:tr w14:paraId="708C6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76" w:type="dxa"/>
          <w:trHeight w:val="189" w:hRule="atLeast"/>
          <w:jc w:val="center"/>
        </w:trPr>
        <w:tc>
          <w:tcPr>
            <w:tcW w:w="1038" w:type="dxa"/>
          </w:tcPr>
          <w:p w14:paraId="708C6604">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3</w:t>
            </w:r>
          </w:p>
        </w:tc>
        <w:tc>
          <w:tcPr>
            <w:tcW w:w="12110" w:type="dxa"/>
            <w:gridSpan w:val="5"/>
          </w:tcPr>
          <w:p w14:paraId="708C6605">
            <w:pPr>
              <w:pStyle w:val="103"/>
              <w:shd w:val="clear" w:color="auto" w:fill="FFFFFF"/>
              <w:tabs>
                <w:tab w:val="left" w:leader="dot" w:pos="8424"/>
              </w:tabs>
              <w:spacing w:before="60" w:after="60" w:line="240" w:lineRule="auto"/>
              <w:jc w:val="both"/>
              <w:rPr>
                <w:color w:val="000000" w:themeColor="text1"/>
                <w:sz w:val="26"/>
                <w:szCs w:val="26"/>
                <w:vertAlign w:val="superscript"/>
                <w14:textFill>
                  <w14:solidFill>
                    <w14:schemeClr w14:val="tx1"/>
                  </w14:solidFill>
                </w14:textFill>
              </w:rPr>
            </w:pPr>
            <w:r>
              <w:rPr>
                <w:b/>
                <w:color w:val="000000" w:themeColor="text1"/>
                <w:sz w:val="26"/>
                <w:szCs w:val="26"/>
                <w14:textFill>
                  <w14:solidFill>
                    <w14:schemeClr w14:val="tx1"/>
                  </w14:solidFill>
                </w14:textFill>
              </w:rPr>
              <w:t>Financial Capacity</w:t>
            </w:r>
          </w:p>
        </w:tc>
      </w:tr>
      <w:tr w14:paraId="708C6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1038" w:type="dxa"/>
          </w:tcPr>
          <w:p w14:paraId="708C6607">
            <w:pPr>
              <w:pStyle w:val="103"/>
              <w:shd w:val="clear" w:color="auto" w:fill="FFFFFF"/>
              <w:tabs>
                <w:tab w:val="left" w:leader="dot" w:pos="8424"/>
              </w:tabs>
              <w:spacing w:before="60" w:after="60" w:line="240" w:lineRule="auto"/>
              <w:jc w:val="center"/>
              <w:rPr>
                <w:rFonts w:eastAsia="Calibri"/>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3.1</w:t>
            </w:r>
          </w:p>
        </w:tc>
        <w:tc>
          <w:tcPr>
            <w:tcW w:w="3186" w:type="dxa"/>
          </w:tcPr>
          <w:p w14:paraId="708C6608">
            <w:pPr>
              <w:pStyle w:val="103"/>
              <w:shd w:val="clear" w:color="auto" w:fill="FFFFFF"/>
              <w:tabs>
                <w:tab w:val="left" w:leader="dot" w:pos="8424"/>
              </w:tabs>
              <w:spacing w:before="60" w:after="60" w:line="240" w:lineRule="auto"/>
              <w:jc w:val="both"/>
              <w:rPr>
                <w:b/>
                <w:color w:val="000000" w:themeColor="text1"/>
                <w:sz w:val="26"/>
                <w:szCs w:val="26"/>
                <w:vertAlign w:val="superscript"/>
                <w14:textFill>
                  <w14:solidFill>
                    <w14:schemeClr w14:val="tx1"/>
                  </w14:solidFill>
                </w14:textFill>
              </w:rPr>
            </w:pPr>
            <w:r>
              <w:rPr>
                <w:b/>
                <w:color w:val="000000" w:themeColor="text1"/>
                <w:sz w:val="26"/>
                <w:szCs w:val="26"/>
                <w14:textFill>
                  <w14:solidFill>
                    <w14:schemeClr w14:val="tx1"/>
                  </w14:solidFill>
                </w14:textFill>
              </w:rPr>
              <w:t>Financial Outcome</w:t>
            </w:r>
          </w:p>
        </w:tc>
        <w:tc>
          <w:tcPr>
            <w:tcW w:w="4505" w:type="dxa"/>
          </w:tcPr>
          <w:p w14:paraId="708C6609">
            <w:pPr>
              <w:pStyle w:val="103"/>
              <w:shd w:val="clear" w:color="auto" w:fill="FFFFFF"/>
              <w:tabs>
                <w:tab w:val="left" w:leader="dot" w:pos="8424"/>
              </w:tabs>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bidder's net asset worth in the latest financial year compared to the deadline for submission of bid must be positive.</w:t>
            </w:r>
          </w:p>
          <w:p w14:paraId="708C660A">
            <w:pPr>
              <w:pStyle w:val="103"/>
              <w:shd w:val="clear" w:color="auto" w:fill="FFFFFF"/>
              <w:tabs>
                <w:tab w:val="left" w:leader="dot" w:pos="8424"/>
              </w:tabs>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(Net Worth = Total Assets - Total Liabilities)</w:t>
            </w:r>
          </w:p>
        </w:tc>
        <w:tc>
          <w:tcPr>
            <w:tcW w:w="1473" w:type="dxa"/>
          </w:tcPr>
          <w:p w14:paraId="708C660B">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requirement</w:t>
            </w:r>
          </w:p>
        </w:tc>
        <w:tc>
          <w:tcPr>
            <w:tcW w:w="1473" w:type="dxa"/>
          </w:tcPr>
          <w:p w14:paraId="708C660C">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N/A</w:t>
            </w:r>
          </w:p>
        </w:tc>
        <w:tc>
          <w:tcPr>
            <w:tcW w:w="1473" w:type="dxa"/>
          </w:tcPr>
          <w:p w14:paraId="708C660D">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requirement</w:t>
            </w:r>
          </w:p>
        </w:tc>
        <w:tc>
          <w:tcPr>
            <w:tcW w:w="1776" w:type="dxa"/>
          </w:tcPr>
          <w:p w14:paraId="708C660E">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Form 12</w:t>
            </w:r>
          </w:p>
        </w:tc>
      </w:tr>
      <w:tr w14:paraId="708C6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38" w:type="dxa"/>
          </w:tcPr>
          <w:p w14:paraId="708C6610">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rFonts w:eastAsia="Calibri"/>
                <w:b/>
                <w:color w:val="000000" w:themeColor="text1"/>
                <w:sz w:val="26"/>
                <w:szCs w:val="26"/>
                <w14:textFill>
                  <w14:solidFill>
                    <w14:schemeClr w14:val="tx1"/>
                  </w14:solidFill>
                </w14:textFill>
              </w:rPr>
              <w:t>3.2</w:t>
            </w:r>
          </w:p>
        </w:tc>
        <w:tc>
          <w:tcPr>
            <w:tcW w:w="3186" w:type="dxa"/>
          </w:tcPr>
          <w:p w14:paraId="708C6611">
            <w:pPr>
              <w:pStyle w:val="103"/>
              <w:shd w:val="clear" w:color="auto" w:fill="FFFFFF"/>
              <w:tabs>
                <w:tab w:val="left" w:leader="dot" w:pos="8424"/>
              </w:tabs>
              <w:spacing w:before="60" w:after="60" w:line="240" w:lineRule="auto"/>
              <w:jc w:val="both"/>
              <w:rPr>
                <w:b/>
                <w:color w:val="000000" w:themeColor="text1"/>
                <w:sz w:val="26"/>
                <w:szCs w:val="26"/>
                <w:vertAlign w:val="superscript"/>
                <w14:textFill>
                  <w14:solidFill>
                    <w14:schemeClr w14:val="tx1"/>
                  </w14:solidFill>
                </w14:textFill>
              </w:rPr>
            </w:pPr>
            <w:r>
              <w:rPr>
                <w:b/>
                <w:color w:val="000000" w:themeColor="text1"/>
                <w:sz w:val="26"/>
                <w:szCs w:val="26"/>
                <w14:textFill>
                  <w14:solidFill>
                    <w14:schemeClr w14:val="tx1"/>
                  </w14:solidFill>
                </w14:textFill>
              </w:rPr>
              <w:t>Average Annual Revenue (excluding VAT)</w:t>
            </w:r>
          </w:p>
        </w:tc>
        <w:tc>
          <w:tcPr>
            <w:tcW w:w="4505" w:type="dxa"/>
          </w:tcPr>
          <w:p w14:paraId="708C6612">
            <w:pPr>
              <w:pStyle w:val="15"/>
              <w:widowControl w:val="0"/>
              <w:shd w:val="clear" w:color="auto" w:fill="FFFFFF"/>
              <w:spacing w:before="120" w:line="264" w:lineRule="auto"/>
              <w:ind w:right="75"/>
              <w:jc w:val="both"/>
              <w:rPr>
                <w:color w:val="000000" w:themeColor="text1"/>
                <w:sz w:val="26"/>
                <w:szCs w:val="26"/>
                <w:vertAlign w:val="superscript"/>
                <w14:textFill>
                  <w14:solidFill>
                    <w14:schemeClr w14:val="tx1"/>
                  </w14:solidFill>
                </w14:textFill>
              </w:rPr>
            </w:pPr>
            <w:r>
              <w:rPr>
                <w:color w:val="000000" w:themeColor="text1"/>
                <w:sz w:val="26"/>
                <w:szCs w:val="26"/>
                <w14:textFill>
                  <w14:solidFill>
                    <w14:schemeClr w14:val="tx1"/>
                  </w14:solidFill>
                </w14:textFill>
              </w:rPr>
              <w:t>Minimum annual average revenue</w:t>
            </w:r>
            <w:r>
              <w:rPr>
                <w:rFonts w:eastAsia="Times New Roman"/>
                <w:color w:val="000000" w:themeColor="text1"/>
                <w:sz w:val="26"/>
                <w:szCs w:val="26"/>
                <w14:textFill>
                  <w14:solidFill>
                    <w14:schemeClr w14:val="tx1"/>
                  </w14:solidFill>
                </w14:textFill>
              </w:rPr>
              <w:t xml:space="preserve"> (excluding VAT) </w:t>
            </w:r>
            <w:r>
              <w:rPr>
                <w:color w:val="000000" w:themeColor="text1"/>
                <w:sz w:val="26"/>
                <w:szCs w:val="26"/>
                <w14:textFill>
                  <w14:solidFill>
                    <w14:schemeClr w14:val="tx1"/>
                  </w14:solidFill>
                </w14:textFill>
              </w:rPr>
              <w:t xml:space="preserve">of at least </w:t>
            </w:r>
            <w:r>
              <w:rPr>
                <w:b/>
                <w:bCs/>
                <w:color w:val="auto"/>
                <w:sz w:val="26"/>
                <w:szCs w:val="26"/>
              </w:rPr>
              <w:t xml:space="preserve">SD 7,195,000 </w:t>
            </w:r>
            <w:r>
              <w:rPr>
                <w:color w:val="auto"/>
                <w:sz w:val="26"/>
                <w:szCs w:val="26"/>
              </w:rPr>
              <w:t xml:space="preserve">(equivalent to </w:t>
            </w:r>
            <w:r>
              <w:rPr>
                <w:b/>
                <w:color w:val="auto"/>
                <w:sz w:val="26"/>
                <w:szCs w:val="26"/>
              </w:rPr>
              <w:t>VND 190,440,000,000</w:t>
            </w:r>
            <w:r>
              <w:rPr>
                <w:color w:val="auto"/>
                <w:sz w:val="26"/>
                <w:szCs w:val="26"/>
              </w:rPr>
              <w:t>)</w:t>
            </w:r>
            <w:r>
              <w:rPr>
                <w:color w:val="auto"/>
                <w:sz w:val="26"/>
                <w:szCs w:val="26"/>
                <w:vertAlign w:val="superscript"/>
              </w:rPr>
              <w:t>(5)</w:t>
            </w:r>
            <w:r>
              <w:rPr>
                <w:color w:val="auto"/>
                <w:sz w:val="26"/>
                <w:szCs w:val="26"/>
              </w:rPr>
              <w:t xml:space="preserve"> for the last three (03)</w:t>
            </w:r>
            <w:r>
              <w:rPr>
                <w:color w:val="auto"/>
                <w:sz w:val="26"/>
                <w:szCs w:val="26"/>
                <w:vertAlign w:val="superscript"/>
              </w:rPr>
              <w:t>(6)</w:t>
            </w:r>
            <w:r>
              <w:rPr>
                <w:color w:val="auto"/>
                <w:sz w:val="26"/>
                <w:szCs w:val="26"/>
              </w:rPr>
              <w:t xml:space="preserve"> years</w:t>
            </w:r>
            <w:r>
              <w:rPr>
                <w:rFonts w:eastAsia="Times New Roman"/>
                <w:color w:val="auto"/>
                <w:sz w:val="26"/>
                <w:szCs w:val="26"/>
                <w:vertAlign w:val="superscript"/>
              </w:rPr>
              <w:t xml:space="preserve"> </w:t>
            </w:r>
            <w:r>
              <w:rPr>
                <w:color w:val="auto"/>
                <w:sz w:val="26"/>
                <w:szCs w:val="26"/>
              </w:rPr>
              <w:t xml:space="preserve">compared to the deadline for submission of bid </w:t>
            </w:r>
          </w:p>
        </w:tc>
        <w:tc>
          <w:tcPr>
            <w:tcW w:w="1473" w:type="dxa"/>
          </w:tcPr>
          <w:p w14:paraId="708C6613">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requirement</w:t>
            </w:r>
          </w:p>
        </w:tc>
        <w:tc>
          <w:tcPr>
            <w:tcW w:w="1473" w:type="dxa"/>
          </w:tcPr>
          <w:p w14:paraId="708C6614">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requirement</w:t>
            </w:r>
          </w:p>
        </w:tc>
        <w:tc>
          <w:tcPr>
            <w:tcW w:w="1473" w:type="dxa"/>
          </w:tcPr>
          <w:p w14:paraId="708C6615">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N/A</w:t>
            </w:r>
          </w:p>
        </w:tc>
        <w:tc>
          <w:tcPr>
            <w:tcW w:w="1776" w:type="dxa"/>
          </w:tcPr>
          <w:p w14:paraId="708C6616">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Form 12</w:t>
            </w:r>
          </w:p>
        </w:tc>
      </w:tr>
      <w:tr w14:paraId="708C6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5" w:hRule="atLeast"/>
          <w:jc w:val="center"/>
        </w:trPr>
        <w:tc>
          <w:tcPr>
            <w:tcW w:w="1038" w:type="dxa"/>
          </w:tcPr>
          <w:p w14:paraId="708C6618">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4</w:t>
            </w:r>
          </w:p>
        </w:tc>
        <w:tc>
          <w:tcPr>
            <w:tcW w:w="3186" w:type="dxa"/>
          </w:tcPr>
          <w:p w14:paraId="708C6619">
            <w:pPr>
              <w:pStyle w:val="103"/>
              <w:shd w:val="clear" w:color="auto" w:fill="FFFFFF"/>
              <w:tabs>
                <w:tab w:val="left" w:leader="dot" w:pos="8424"/>
              </w:tabs>
              <w:spacing w:before="60" w:after="60" w:line="240" w:lineRule="auto"/>
              <w:jc w:val="both"/>
              <w:rPr>
                <w:b/>
                <w:color w:val="000000" w:themeColor="text1"/>
                <w:sz w:val="26"/>
                <w:szCs w:val="26"/>
                <w:vertAlign w:val="superscript"/>
                <w14:textFill>
                  <w14:solidFill>
                    <w14:schemeClr w14:val="tx1"/>
                  </w14:solidFill>
                </w14:textFill>
              </w:rPr>
            </w:pPr>
            <w:r>
              <w:rPr>
                <w:rFonts w:eastAsia="Calibri"/>
                <w:b/>
                <w:bCs/>
                <w:iCs/>
                <w:color w:val="000000" w:themeColor="text1"/>
                <w:sz w:val="26"/>
                <w:szCs w:val="26"/>
                <w14:textFill>
                  <w14:solidFill>
                    <w14:schemeClr w14:val="tx1"/>
                  </w14:solidFill>
                </w14:textFill>
              </w:rPr>
              <w:t>Production capacity</w:t>
            </w:r>
          </w:p>
        </w:tc>
        <w:tc>
          <w:tcPr>
            <w:tcW w:w="4505" w:type="dxa"/>
          </w:tcPr>
          <w:p w14:paraId="708C661A">
            <w:pPr>
              <w:spacing w:before="40" w:after="40" w:line="240" w:lineRule="auto"/>
              <w:jc w:val="both"/>
              <w:rPr>
                <w:rStyle w:val="331"/>
                <w:rFonts w:ascii="Times New Roman" w:hAnsi="Times New Roman"/>
                <w:iCs/>
                <w:color w:val="auto"/>
              </w:rPr>
            </w:pPr>
            <w:r>
              <w:rPr>
                <w:rStyle w:val="331"/>
                <w:rFonts w:ascii="Times New Roman" w:hAnsi="Times New Roman"/>
                <w:iCs/>
                <w:color w:val="auto"/>
              </w:rPr>
              <w:t>The bidder shall provide documents proving its capacity to produce Goods similar in nature to Goods in lot that satisfy the following output requirements:</w:t>
            </w:r>
          </w:p>
          <w:p w14:paraId="708C661B">
            <w:pPr>
              <w:spacing w:after="0" w:line="240" w:lineRule="auto"/>
              <w:jc w:val="both"/>
              <w:rPr>
                <w:rStyle w:val="331"/>
                <w:iCs/>
                <w:vertAlign w:val="superscript"/>
              </w:rPr>
            </w:pPr>
            <w:r>
              <w:rPr>
                <w:rStyle w:val="331"/>
                <w:iCs/>
              </w:rPr>
              <w:t xml:space="preserve">Average monthly output of Goods in the latest year compared to the deadline of bid submission shall be of at least: </w:t>
            </w:r>
            <w:r>
              <w:rPr>
                <w:rStyle w:val="331"/>
                <w:iCs/>
                <w:vertAlign w:val="superscript"/>
              </w:rPr>
              <w:t>(7)</w:t>
            </w:r>
          </w:p>
          <w:tbl>
            <w:tblPr>
              <w:tblStyle w:val="12"/>
              <w:tblW w:w="5176" w:type="dxa"/>
              <w:tblInd w:w="0" w:type="dxa"/>
              <w:tblLayout w:type="autofit"/>
              <w:tblCellMar>
                <w:top w:w="0" w:type="dxa"/>
                <w:left w:w="108" w:type="dxa"/>
                <w:bottom w:w="0" w:type="dxa"/>
                <w:right w:w="108" w:type="dxa"/>
              </w:tblCellMar>
            </w:tblPr>
            <w:tblGrid>
              <w:gridCol w:w="2709"/>
              <w:gridCol w:w="1371"/>
              <w:gridCol w:w="1096"/>
            </w:tblGrid>
            <w:tr w14:paraId="708C661F">
              <w:tblPrEx>
                <w:tblCellMar>
                  <w:top w:w="0" w:type="dxa"/>
                  <w:left w:w="108" w:type="dxa"/>
                  <w:bottom w:w="0" w:type="dxa"/>
                  <w:right w:w="108" w:type="dxa"/>
                </w:tblCellMar>
              </w:tblPrEx>
              <w:trPr>
                <w:trHeight w:val="300" w:hRule="atLeast"/>
              </w:trPr>
              <w:tc>
                <w:tcPr>
                  <w:tcW w:w="2709" w:type="dxa"/>
                  <w:tcBorders>
                    <w:top w:val="single" w:color="000000" w:sz="4" w:space="0"/>
                    <w:left w:val="single" w:color="000000" w:sz="4" w:space="0"/>
                    <w:bottom w:val="single" w:color="000000" w:sz="4" w:space="0"/>
                    <w:right w:val="single" w:color="000000" w:sz="4" w:space="0"/>
                  </w:tcBorders>
                  <w:noWrap/>
                  <w:vAlign w:val="center"/>
                </w:tcPr>
                <w:p w14:paraId="708C661C">
                  <w:pPr>
                    <w:jc w:val="center"/>
                    <w:textAlignment w:val="center"/>
                    <w:rPr>
                      <w:b/>
                      <w:bCs/>
                      <w:sz w:val="22"/>
                      <w:szCs w:val="22"/>
                    </w:rPr>
                  </w:pPr>
                  <w:r>
                    <w:rPr>
                      <w:rFonts w:eastAsia="SimSun"/>
                      <w:b/>
                      <w:bCs/>
                      <w:sz w:val="22"/>
                      <w:szCs w:val="22"/>
                      <w:lang w:eastAsia="zh-CN" w:bidi="ar"/>
                    </w:rPr>
                    <w:t>Description</w:t>
                  </w:r>
                </w:p>
              </w:tc>
              <w:tc>
                <w:tcPr>
                  <w:tcW w:w="1371" w:type="dxa"/>
                  <w:tcBorders>
                    <w:top w:val="single" w:color="000000" w:sz="4" w:space="0"/>
                    <w:left w:val="single" w:color="000000" w:sz="4" w:space="0"/>
                    <w:bottom w:val="single" w:color="000000" w:sz="4" w:space="0"/>
                    <w:right w:val="single" w:color="000000" w:sz="4" w:space="0"/>
                  </w:tcBorders>
                  <w:noWrap/>
                  <w:vAlign w:val="center"/>
                </w:tcPr>
                <w:p w14:paraId="708C661D">
                  <w:pPr>
                    <w:jc w:val="center"/>
                    <w:textAlignment w:val="center"/>
                    <w:rPr>
                      <w:b/>
                      <w:bCs/>
                      <w:sz w:val="22"/>
                      <w:szCs w:val="22"/>
                    </w:rPr>
                  </w:pPr>
                  <w:r>
                    <w:rPr>
                      <w:rFonts w:eastAsia="SimSun"/>
                      <w:b/>
                      <w:bCs/>
                      <w:sz w:val="22"/>
                      <w:szCs w:val="22"/>
                      <w:lang w:eastAsia="zh-CN" w:bidi="ar"/>
                    </w:rPr>
                    <w:t>Unit</w:t>
                  </w:r>
                </w:p>
              </w:tc>
              <w:tc>
                <w:tcPr>
                  <w:tcW w:w="1096" w:type="dxa"/>
                  <w:tcBorders>
                    <w:top w:val="single" w:color="000000" w:sz="4" w:space="0"/>
                    <w:left w:val="single" w:color="000000" w:sz="4" w:space="0"/>
                    <w:bottom w:val="single" w:color="000000" w:sz="4" w:space="0"/>
                    <w:right w:val="single" w:color="000000" w:sz="4" w:space="0"/>
                  </w:tcBorders>
                  <w:noWrap/>
                  <w:vAlign w:val="center"/>
                </w:tcPr>
                <w:p w14:paraId="708C661E">
                  <w:pPr>
                    <w:jc w:val="center"/>
                    <w:textAlignment w:val="center"/>
                    <w:rPr>
                      <w:b/>
                      <w:bCs/>
                      <w:sz w:val="22"/>
                      <w:szCs w:val="22"/>
                    </w:rPr>
                  </w:pPr>
                  <w:r>
                    <w:rPr>
                      <w:rFonts w:eastAsia="SimSun"/>
                      <w:b/>
                      <w:bCs/>
                      <w:sz w:val="22"/>
                      <w:szCs w:val="22"/>
                      <w:lang w:eastAsia="zh-CN" w:bidi="ar"/>
                    </w:rPr>
                    <w:t>Required capacity</w:t>
                  </w:r>
                </w:p>
              </w:tc>
            </w:tr>
            <w:tr w14:paraId="708C6623">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bottom"/>
                </w:tcPr>
                <w:p w14:paraId="708C6620">
                  <w:pPr>
                    <w:textAlignment w:val="bottom"/>
                    <w:rPr>
                      <w:sz w:val="22"/>
                      <w:szCs w:val="22"/>
                    </w:rPr>
                  </w:pPr>
                  <w:r>
                    <w:rPr>
                      <w:rFonts w:eastAsia="SimSun"/>
                      <w:sz w:val="22"/>
                      <w:szCs w:val="22"/>
                      <w:lang w:eastAsia="zh-CN" w:bidi="ar"/>
                    </w:rPr>
                    <w:t>500kV Circuit Breaker</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8C6621">
                  <w:pPr>
                    <w:jc w:val="center"/>
                    <w:textAlignment w:val="center"/>
                    <w:rPr>
                      <w:sz w:val="22"/>
                      <w:szCs w:val="22"/>
                    </w:rPr>
                  </w:pPr>
                  <w:r>
                    <w:rPr>
                      <w:rFonts w:eastAsia="SimSun"/>
                      <w:sz w:val="22"/>
                      <w:szCs w:val="22"/>
                      <w:lang w:eastAsia="zh-CN" w:bidi="ar"/>
                    </w:rPr>
                    <w:t xml:space="preserve">Three phases </w:t>
                  </w:r>
                </w:p>
              </w:tc>
              <w:tc>
                <w:tcPr>
                  <w:tcW w:w="1096" w:type="dxa"/>
                  <w:tcBorders>
                    <w:top w:val="single" w:color="000000" w:sz="4" w:space="0"/>
                    <w:left w:val="single" w:color="000000" w:sz="4" w:space="0"/>
                    <w:bottom w:val="single" w:color="000000" w:sz="4" w:space="0"/>
                    <w:right w:val="single" w:color="000000" w:sz="4" w:space="0"/>
                  </w:tcBorders>
                  <w:noWrap/>
                  <w:vAlign w:val="center"/>
                </w:tcPr>
                <w:p w14:paraId="708C6622">
                  <w:pPr>
                    <w:jc w:val="center"/>
                    <w:textAlignment w:val="center"/>
                    <w:rPr>
                      <w:color w:val="auto"/>
                      <w:sz w:val="22"/>
                      <w:szCs w:val="22"/>
                      <w:highlight w:val="yellow"/>
                    </w:rPr>
                  </w:pPr>
                  <w:r>
                    <w:rPr>
                      <w:rFonts w:eastAsia="SimSun"/>
                      <w:color w:val="auto"/>
                      <w:sz w:val="22"/>
                      <w:szCs w:val="22"/>
                      <w:lang w:eastAsia="zh-CN" w:bidi="ar"/>
                    </w:rPr>
                    <w:t xml:space="preserve"> 3 </w:t>
                  </w:r>
                </w:p>
              </w:tc>
            </w:tr>
            <w:tr w14:paraId="708C6627">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bottom"/>
                </w:tcPr>
                <w:p w14:paraId="708C6624">
                  <w:pPr>
                    <w:textAlignment w:val="bottom"/>
                    <w:rPr>
                      <w:color w:val="000000"/>
                      <w:sz w:val="22"/>
                      <w:szCs w:val="22"/>
                    </w:rPr>
                  </w:pPr>
                  <w:r>
                    <w:rPr>
                      <w:rFonts w:eastAsia="SimSun"/>
                      <w:color w:val="000000"/>
                      <w:sz w:val="22"/>
                      <w:szCs w:val="22"/>
                      <w:lang w:eastAsia="zh-CN" w:bidi="ar"/>
                    </w:rPr>
                    <w:t>220kV Circuit Breaker</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8C6625">
                  <w:pPr>
                    <w:jc w:val="center"/>
                    <w:textAlignment w:val="center"/>
                    <w:rPr>
                      <w:color w:val="000000"/>
                      <w:sz w:val="22"/>
                      <w:szCs w:val="22"/>
                    </w:rPr>
                  </w:pPr>
                  <w:r>
                    <w:rPr>
                      <w:rFonts w:eastAsia="SimSun"/>
                      <w:sz w:val="22"/>
                      <w:szCs w:val="22"/>
                      <w:lang w:eastAsia="zh-CN" w:bidi="ar"/>
                    </w:rPr>
                    <w:t>Three phases</w:t>
                  </w:r>
                </w:p>
              </w:tc>
              <w:tc>
                <w:tcPr>
                  <w:tcW w:w="1096" w:type="dxa"/>
                  <w:tcBorders>
                    <w:top w:val="single" w:color="000000" w:sz="4" w:space="0"/>
                    <w:left w:val="single" w:color="000000" w:sz="4" w:space="0"/>
                    <w:bottom w:val="single" w:color="000000" w:sz="4" w:space="0"/>
                    <w:right w:val="single" w:color="000000" w:sz="4" w:space="0"/>
                  </w:tcBorders>
                  <w:noWrap/>
                  <w:vAlign w:val="center"/>
                </w:tcPr>
                <w:p w14:paraId="708C6626">
                  <w:pPr>
                    <w:jc w:val="center"/>
                    <w:textAlignment w:val="center"/>
                    <w:rPr>
                      <w:color w:val="auto"/>
                      <w:sz w:val="22"/>
                      <w:szCs w:val="22"/>
                      <w:highlight w:val="yellow"/>
                    </w:rPr>
                  </w:pPr>
                  <w:r>
                    <w:rPr>
                      <w:rFonts w:eastAsia="SimSun"/>
                      <w:color w:val="auto"/>
                      <w:sz w:val="22"/>
                      <w:szCs w:val="22"/>
                      <w:lang w:eastAsia="zh-CN" w:bidi="ar"/>
                    </w:rPr>
                    <w:t xml:space="preserve"> 2 </w:t>
                  </w:r>
                </w:p>
              </w:tc>
            </w:tr>
            <w:tr w14:paraId="708C662C">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bottom"/>
                </w:tcPr>
                <w:p w14:paraId="708C6628">
                  <w:pPr>
                    <w:textAlignment w:val="bottom"/>
                    <w:rPr>
                      <w:rFonts w:eastAsia="SimSun"/>
                      <w:color w:val="000000"/>
                      <w:sz w:val="22"/>
                      <w:szCs w:val="22"/>
                      <w:lang w:eastAsia="zh-CN" w:bidi="ar"/>
                    </w:rPr>
                  </w:pPr>
                  <w:r>
                    <w:rPr>
                      <w:rFonts w:eastAsia="SimSun"/>
                      <w:color w:val="000000"/>
                      <w:sz w:val="22"/>
                      <w:szCs w:val="22"/>
                      <w:lang w:eastAsia="zh-CN" w:bidi="ar"/>
                    </w:rPr>
                    <w:t xml:space="preserve">DCL 500kV </w:t>
                  </w:r>
                </w:p>
                <w:p w14:paraId="708C6629">
                  <w:pPr>
                    <w:textAlignment w:val="bottom"/>
                    <w:rPr>
                      <w:color w:val="000000"/>
                      <w:sz w:val="22"/>
                      <w:szCs w:val="22"/>
                    </w:rPr>
                  </w:pPr>
                  <w:r>
                    <w:rPr>
                      <w:rFonts w:eastAsia="SimSun"/>
                      <w:color w:val="000000"/>
                      <w:sz w:val="22"/>
                      <w:szCs w:val="22"/>
                      <w:lang w:eastAsia="zh-CN" w:bidi="ar"/>
                    </w:rPr>
                    <w:t xml:space="preserve">Disconnecting Switch (DS) </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8C662A">
                  <w:pPr>
                    <w:jc w:val="center"/>
                    <w:textAlignment w:val="center"/>
                    <w:rPr>
                      <w:color w:val="000000"/>
                      <w:sz w:val="22"/>
                      <w:szCs w:val="22"/>
                    </w:rPr>
                  </w:pPr>
                  <w:r>
                    <w:rPr>
                      <w:rFonts w:eastAsia="SimSun"/>
                      <w:sz w:val="22"/>
                      <w:szCs w:val="22"/>
                      <w:lang w:eastAsia="zh-CN" w:bidi="ar"/>
                    </w:rPr>
                    <w:t>Three phases</w:t>
                  </w:r>
                </w:p>
              </w:tc>
              <w:tc>
                <w:tcPr>
                  <w:tcW w:w="1096" w:type="dxa"/>
                  <w:tcBorders>
                    <w:top w:val="single" w:color="000000" w:sz="4" w:space="0"/>
                    <w:left w:val="single" w:color="000000" w:sz="4" w:space="0"/>
                    <w:bottom w:val="single" w:color="000000" w:sz="4" w:space="0"/>
                    <w:right w:val="single" w:color="000000" w:sz="4" w:space="0"/>
                  </w:tcBorders>
                  <w:noWrap/>
                  <w:vAlign w:val="center"/>
                </w:tcPr>
                <w:p w14:paraId="708C662B">
                  <w:pPr>
                    <w:jc w:val="center"/>
                    <w:textAlignment w:val="center"/>
                    <w:rPr>
                      <w:color w:val="auto"/>
                      <w:sz w:val="22"/>
                      <w:szCs w:val="22"/>
                      <w:highlight w:val="yellow"/>
                    </w:rPr>
                  </w:pPr>
                  <w:r>
                    <w:rPr>
                      <w:rFonts w:eastAsia="SimSun"/>
                      <w:color w:val="auto"/>
                      <w:sz w:val="22"/>
                      <w:szCs w:val="22"/>
                      <w:lang w:eastAsia="zh-CN" w:bidi="ar"/>
                    </w:rPr>
                    <w:t xml:space="preserve"> 7 </w:t>
                  </w:r>
                </w:p>
              </w:tc>
            </w:tr>
            <w:tr w14:paraId="708C6630">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bottom"/>
                </w:tcPr>
                <w:p w14:paraId="708C662D">
                  <w:pPr>
                    <w:textAlignment w:val="bottom"/>
                    <w:rPr>
                      <w:color w:val="000000"/>
                      <w:sz w:val="22"/>
                      <w:szCs w:val="22"/>
                    </w:rPr>
                  </w:pPr>
                  <w:r>
                    <w:rPr>
                      <w:rFonts w:eastAsia="SimSun"/>
                      <w:color w:val="000000"/>
                      <w:sz w:val="22"/>
                      <w:szCs w:val="22"/>
                      <w:lang w:eastAsia="zh-CN" w:bidi="ar"/>
                    </w:rPr>
                    <w:t>220kV DS</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8C662E">
                  <w:pPr>
                    <w:jc w:val="center"/>
                    <w:textAlignment w:val="center"/>
                    <w:rPr>
                      <w:color w:val="000000"/>
                      <w:sz w:val="22"/>
                      <w:szCs w:val="22"/>
                    </w:rPr>
                  </w:pPr>
                  <w:r>
                    <w:rPr>
                      <w:rFonts w:eastAsia="SimSun"/>
                      <w:sz w:val="22"/>
                      <w:szCs w:val="22"/>
                      <w:lang w:eastAsia="zh-CN" w:bidi="ar"/>
                    </w:rPr>
                    <w:t>Three phases</w:t>
                  </w:r>
                </w:p>
              </w:tc>
              <w:tc>
                <w:tcPr>
                  <w:tcW w:w="1096" w:type="dxa"/>
                  <w:tcBorders>
                    <w:top w:val="single" w:color="000000" w:sz="4" w:space="0"/>
                    <w:left w:val="single" w:color="000000" w:sz="4" w:space="0"/>
                    <w:bottom w:val="single" w:color="000000" w:sz="4" w:space="0"/>
                    <w:right w:val="single" w:color="000000" w:sz="4" w:space="0"/>
                  </w:tcBorders>
                  <w:noWrap/>
                  <w:vAlign w:val="center"/>
                </w:tcPr>
                <w:p w14:paraId="708C662F">
                  <w:pPr>
                    <w:jc w:val="center"/>
                    <w:textAlignment w:val="center"/>
                    <w:rPr>
                      <w:color w:val="auto"/>
                      <w:sz w:val="22"/>
                      <w:szCs w:val="22"/>
                      <w:highlight w:val="yellow"/>
                    </w:rPr>
                  </w:pPr>
                  <w:r>
                    <w:rPr>
                      <w:rFonts w:eastAsia="SimSun"/>
                      <w:color w:val="auto"/>
                      <w:sz w:val="22"/>
                      <w:szCs w:val="22"/>
                      <w:lang w:eastAsia="zh-CN" w:bidi="ar"/>
                    </w:rPr>
                    <w:t xml:space="preserve"> 7 </w:t>
                  </w:r>
                </w:p>
              </w:tc>
            </w:tr>
            <w:tr w14:paraId="708C6634">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bottom"/>
                </w:tcPr>
                <w:p w14:paraId="708C6631">
                  <w:pPr>
                    <w:textAlignment w:val="bottom"/>
                    <w:rPr>
                      <w:color w:val="000000"/>
                      <w:sz w:val="22"/>
                      <w:szCs w:val="22"/>
                    </w:rPr>
                  </w:pPr>
                  <w:r>
                    <w:rPr>
                      <w:rFonts w:eastAsia="SimSun"/>
                      <w:color w:val="000000"/>
                      <w:sz w:val="22"/>
                      <w:szCs w:val="22"/>
                      <w:lang w:eastAsia="zh-CN" w:bidi="ar"/>
                    </w:rPr>
                    <w:t>110kV DS</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8C6632">
                  <w:pPr>
                    <w:jc w:val="center"/>
                    <w:textAlignment w:val="center"/>
                    <w:rPr>
                      <w:color w:val="000000"/>
                      <w:sz w:val="22"/>
                      <w:szCs w:val="22"/>
                    </w:rPr>
                  </w:pPr>
                  <w:r>
                    <w:rPr>
                      <w:rFonts w:eastAsia="SimSun"/>
                      <w:sz w:val="22"/>
                      <w:szCs w:val="22"/>
                      <w:lang w:eastAsia="zh-CN" w:bidi="ar"/>
                    </w:rPr>
                    <w:t>Three phases</w:t>
                  </w:r>
                  <w:r>
                    <w:rPr>
                      <w:rFonts w:eastAsia="SimSun"/>
                      <w:color w:val="000000"/>
                      <w:sz w:val="22"/>
                      <w:szCs w:val="22"/>
                      <w:lang w:eastAsia="zh-CN" w:bidi="ar"/>
                    </w:rPr>
                    <w:t xml:space="preserve"> </w:t>
                  </w:r>
                </w:p>
              </w:tc>
              <w:tc>
                <w:tcPr>
                  <w:tcW w:w="1096" w:type="dxa"/>
                  <w:tcBorders>
                    <w:top w:val="single" w:color="000000" w:sz="4" w:space="0"/>
                    <w:left w:val="single" w:color="000000" w:sz="4" w:space="0"/>
                    <w:bottom w:val="single" w:color="000000" w:sz="4" w:space="0"/>
                    <w:right w:val="single" w:color="000000" w:sz="4" w:space="0"/>
                  </w:tcBorders>
                  <w:noWrap/>
                  <w:vAlign w:val="center"/>
                </w:tcPr>
                <w:p w14:paraId="708C6633">
                  <w:pPr>
                    <w:jc w:val="center"/>
                    <w:textAlignment w:val="center"/>
                    <w:rPr>
                      <w:color w:val="auto"/>
                      <w:sz w:val="22"/>
                      <w:szCs w:val="22"/>
                      <w:highlight w:val="yellow"/>
                    </w:rPr>
                  </w:pPr>
                  <w:r>
                    <w:rPr>
                      <w:rFonts w:eastAsia="SimSun"/>
                      <w:color w:val="auto"/>
                      <w:sz w:val="22"/>
                      <w:szCs w:val="22"/>
                      <w:lang w:eastAsia="zh-CN" w:bidi="ar"/>
                    </w:rPr>
                    <w:t xml:space="preserve"> 1 </w:t>
                  </w:r>
                </w:p>
              </w:tc>
            </w:tr>
            <w:tr w14:paraId="708C6639">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bottom"/>
                </w:tcPr>
                <w:p w14:paraId="708C6635">
                  <w:pPr>
                    <w:textAlignment w:val="bottom"/>
                    <w:rPr>
                      <w:rFonts w:eastAsia="SimSun"/>
                      <w:color w:val="000000"/>
                      <w:sz w:val="22"/>
                      <w:szCs w:val="22"/>
                      <w:lang w:eastAsia="zh-CN" w:bidi="ar"/>
                    </w:rPr>
                  </w:pPr>
                  <w:r>
                    <w:rPr>
                      <w:rFonts w:eastAsia="SimSun"/>
                      <w:color w:val="000000"/>
                      <w:sz w:val="22"/>
                      <w:szCs w:val="22"/>
                      <w:lang w:eastAsia="zh-CN" w:bidi="ar"/>
                    </w:rPr>
                    <w:t xml:space="preserve">CT500kV Current </w:t>
                  </w:r>
                </w:p>
                <w:p w14:paraId="708C6636">
                  <w:pPr>
                    <w:textAlignment w:val="bottom"/>
                    <w:rPr>
                      <w:color w:val="000000"/>
                      <w:sz w:val="22"/>
                      <w:szCs w:val="22"/>
                    </w:rPr>
                  </w:pPr>
                  <w:r>
                    <w:rPr>
                      <w:rFonts w:eastAsia="SimSun"/>
                      <w:color w:val="000000"/>
                      <w:sz w:val="22"/>
                      <w:szCs w:val="22"/>
                      <w:lang w:eastAsia="zh-CN" w:bidi="ar"/>
                    </w:rPr>
                    <w:t>Transformer (CT)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8C6637">
                  <w:pPr>
                    <w:jc w:val="center"/>
                    <w:textAlignment w:val="center"/>
                    <w:rPr>
                      <w:color w:val="000000"/>
                      <w:sz w:val="22"/>
                      <w:szCs w:val="22"/>
                    </w:rPr>
                  </w:pPr>
                  <w:r>
                    <w:rPr>
                      <w:rFonts w:eastAsia="SimSun"/>
                      <w:color w:val="000000"/>
                      <w:sz w:val="22"/>
                      <w:szCs w:val="22"/>
                      <w:lang w:eastAsia="zh-CN" w:bidi="ar"/>
                    </w:rPr>
                    <w:t>Single phase</w:t>
                  </w:r>
                </w:p>
              </w:tc>
              <w:tc>
                <w:tcPr>
                  <w:tcW w:w="1096" w:type="dxa"/>
                  <w:tcBorders>
                    <w:top w:val="single" w:color="000000" w:sz="4" w:space="0"/>
                    <w:left w:val="single" w:color="000000" w:sz="4" w:space="0"/>
                    <w:bottom w:val="single" w:color="000000" w:sz="4" w:space="0"/>
                    <w:right w:val="single" w:color="000000" w:sz="4" w:space="0"/>
                  </w:tcBorders>
                  <w:noWrap/>
                  <w:vAlign w:val="center"/>
                </w:tcPr>
                <w:p w14:paraId="708C6638">
                  <w:pPr>
                    <w:jc w:val="center"/>
                    <w:textAlignment w:val="center"/>
                    <w:rPr>
                      <w:color w:val="auto"/>
                      <w:sz w:val="22"/>
                      <w:szCs w:val="22"/>
                      <w:highlight w:val="yellow"/>
                    </w:rPr>
                  </w:pPr>
                  <w:r>
                    <w:rPr>
                      <w:rFonts w:eastAsia="SimSun"/>
                      <w:color w:val="auto"/>
                      <w:sz w:val="22"/>
                      <w:szCs w:val="22"/>
                      <w:lang w:eastAsia="zh-CN" w:bidi="ar"/>
                    </w:rPr>
                    <w:t xml:space="preserve"> 8 </w:t>
                  </w:r>
                </w:p>
              </w:tc>
            </w:tr>
            <w:tr w14:paraId="708C663D">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bottom"/>
                </w:tcPr>
                <w:p w14:paraId="708C663A">
                  <w:pPr>
                    <w:textAlignment w:val="bottom"/>
                    <w:rPr>
                      <w:color w:val="000000"/>
                      <w:sz w:val="22"/>
                      <w:szCs w:val="22"/>
                    </w:rPr>
                  </w:pPr>
                  <w:r>
                    <w:rPr>
                      <w:rFonts w:eastAsia="SimSun"/>
                      <w:color w:val="000000"/>
                      <w:sz w:val="22"/>
                      <w:szCs w:val="22"/>
                      <w:lang w:eastAsia="zh-CN" w:bidi="ar"/>
                    </w:rPr>
                    <w:t>220kV CT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8C663B">
                  <w:pPr>
                    <w:jc w:val="center"/>
                    <w:textAlignment w:val="center"/>
                    <w:rPr>
                      <w:color w:val="000000"/>
                      <w:sz w:val="22"/>
                      <w:szCs w:val="22"/>
                    </w:rPr>
                  </w:pPr>
                  <w:r>
                    <w:rPr>
                      <w:rFonts w:eastAsia="SimSun"/>
                      <w:color w:val="000000"/>
                      <w:sz w:val="22"/>
                      <w:szCs w:val="22"/>
                      <w:lang w:eastAsia="zh-CN" w:bidi="ar"/>
                    </w:rPr>
                    <w:t>Single phase</w:t>
                  </w:r>
                </w:p>
              </w:tc>
              <w:tc>
                <w:tcPr>
                  <w:tcW w:w="1096" w:type="dxa"/>
                  <w:tcBorders>
                    <w:top w:val="single" w:color="000000" w:sz="4" w:space="0"/>
                    <w:left w:val="single" w:color="000000" w:sz="4" w:space="0"/>
                    <w:bottom w:val="single" w:color="000000" w:sz="4" w:space="0"/>
                    <w:right w:val="single" w:color="000000" w:sz="4" w:space="0"/>
                  </w:tcBorders>
                  <w:noWrap/>
                  <w:vAlign w:val="center"/>
                </w:tcPr>
                <w:p w14:paraId="708C663C">
                  <w:pPr>
                    <w:jc w:val="center"/>
                    <w:textAlignment w:val="center"/>
                    <w:rPr>
                      <w:color w:val="auto"/>
                      <w:sz w:val="22"/>
                      <w:szCs w:val="22"/>
                      <w:highlight w:val="yellow"/>
                    </w:rPr>
                  </w:pPr>
                  <w:r>
                    <w:rPr>
                      <w:rFonts w:eastAsia="SimSun"/>
                      <w:color w:val="auto"/>
                      <w:sz w:val="22"/>
                      <w:szCs w:val="22"/>
                      <w:lang w:eastAsia="zh-CN" w:bidi="ar"/>
                    </w:rPr>
                    <w:t xml:space="preserve"> 5 </w:t>
                  </w:r>
                </w:p>
              </w:tc>
            </w:tr>
            <w:tr w14:paraId="708C6641">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bottom"/>
                </w:tcPr>
                <w:p w14:paraId="708C663E">
                  <w:pPr>
                    <w:textAlignment w:val="bottom"/>
                    <w:rPr>
                      <w:color w:val="000000"/>
                      <w:sz w:val="22"/>
                      <w:szCs w:val="22"/>
                    </w:rPr>
                  </w:pPr>
                  <w:r>
                    <w:rPr>
                      <w:rFonts w:eastAsia="SimSun"/>
                      <w:color w:val="000000"/>
                      <w:sz w:val="22"/>
                      <w:szCs w:val="22"/>
                      <w:lang w:eastAsia="zh-CN" w:bidi="ar"/>
                    </w:rPr>
                    <w:t>35kV CT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8C663F">
                  <w:pPr>
                    <w:jc w:val="center"/>
                    <w:textAlignment w:val="center"/>
                    <w:rPr>
                      <w:color w:val="000000"/>
                      <w:sz w:val="22"/>
                      <w:szCs w:val="22"/>
                    </w:rPr>
                  </w:pPr>
                  <w:r>
                    <w:rPr>
                      <w:rFonts w:eastAsia="SimSun"/>
                      <w:color w:val="000000"/>
                      <w:sz w:val="22"/>
                      <w:szCs w:val="22"/>
                      <w:lang w:eastAsia="zh-CN" w:bidi="ar"/>
                    </w:rPr>
                    <w:t>Single phase</w:t>
                  </w:r>
                </w:p>
              </w:tc>
              <w:tc>
                <w:tcPr>
                  <w:tcW w:w="1096" w:type="dxa"/>
                  <w:tcBorders>
                    <w:top w:val="single" w:color="000000" w:sz="4" w:space="0"/>
                    <w:left w:val="single" w:color="000000" w:sz="4" w:space="0"/>
                    <w:bottom w:val="single" w:color="000000" w:sz="4" w:space="0"/>
                    <w:right w:val="single" w:color="000000" w:sz="4" w:space="0"/>
                  </w:tcBorders>
                  <w:noWrap/>
                  <w:vAlign w:val="center"/>
                </w:tcPr>
                <w:p w14:paraId="708C6640">
                  <w:pPr>
                    <w:jc w:val="center"/>
                    <w:textAlignment w:val="center"/>
                    <w:rPr>
                      <w:color w:val="auto"/>
                      <w:sz w:val="22"/>
                      <w:szCs w:val="22"/>
                      <w:highlight w:val="yellow"/>
                    </w:rPr>
                  </w:pPr>
                  <w:r>
                    <w:rPr>
                      <w:rFonts w:eastAsia="SimSun"/>
                      <w:color w:val="auto"/>
                      <w:sz w:val="22"/>
                      <w:szCs w:val="22"/>
                      <w:lang w:eastAsia="zh-CN" w:bidi="ar"/>
                    </w:rPr>
                    <w:t xml:space="preserve"> 9 </w:t>
                  </w:r>
                </w:p>
              </w:tc>
            </w:tr>
            <w:tr w14:paraId="708C6646">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bottom"/>
                </w:tcPr>
                <w:p w14:paraId="708C6642">
                  <w:pPr>
                    <w:spacing w:after="0"/>
                    <w:textAlignment w:val="bottom"/>
                    <w:rPr>
                      <w:rFonts w:eastAsia="SimSun"/>
                      <w:color w:val="000000"/>
                      <w:sz w:val="22"/>
                      <w:szCs w:val="22"/>
                      <w:lang w:eastAsia="zh-CN" w:bidi="ar"/>
                    </w:rPr>
                  </w:pPr>
                  <w:r>
                    <w:rPr>
                      <w:rFonts w:eastAsia="SimSun"/>
                      <w:color w:val="000000"/>
                      <w:sz w:val="22"/>
                      <w:szCs w:val="22"/>
                      <w:lang w:eastAsia="zh-CN" w:bidi="ar"/>
                    </w:rPr>
                    <w:t xml:space="preserve">CVT500kV Current </w:t>
                  </w:r>
                </w:p>
                <w:p w14:paraId="708C6643">
                  <w:pPr>
                    <w:spacing w:after="0"/>
                    <w:textAlignment w:val="bottom"/>
                    <w:rPr>
                      <w:color w:val="000000"/>
                      <w:sz w:val="22"/>
                      <w:szCs w:val="22"/>
                    </w:rPr>
                  </w:pPr>
                  <w:r>
                    <w:rPr>
                      <w:rFonts w:eastAsia="SimSun"/>
                      <w:color w:val="000000"/>
                      <w:sz w:val="22"/>
                      <w:szCs w:val="22"/>
                      <w:lang w:eastAsia="zh-CN" w:bidi="ar"/>
                    </w:rPr>
                    <w:t>Voltage Transformer (CVT)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8C6644">
                  <w:pPr>
                    <w:jc w:val="center"/>
                    <w:textAlignment w:val="center"/>
                    <w:rPr>
                      <w:color w:val="000000"/>
                      <w:sz w:val="22"/>
                      <w:szCs w:val="22"/>
                    </w:rPr>
                  </w:pPr>
                  <w:r>
                    <w:rPr>
                      <w:rFonts w:eastAsia="SimSun"/>
                      <w:color w:val="000000"/>
                      <w:sz w:val="22"/>
                      <w:szCs w:val="22"/>
                      <w:lang w:eastAsia="zh-CN" w:bidi="ar"/>
                    </w:rPr>
                    <w:t>Single phase</w:t>
                  </w:r>
                </w:p>
              </w:tc>
              <w:tc>
                <w:tcPr>
                  <w:tcW w:w="1096" w:type="dxa"/>
                  <w:tcBorders>
                    <w:top w:val="single" w:color="000000" w:sz="4" w:space="0"/>
                    <w:left w:val="single" w:color="000000" w:sz="4" w:space="0"/>
                    <w:bottom w:val="single" w:color="000000" w:sz="4" w:space="0"/>
                    <w:right w:val="single" w:color="000000" w:sz="4" w:space="0"/>
                  </w:tcBorders>
                  <w:noWrap/>
                  <w:vAlign w:val="center"/>
                </w:tcPr>
                <w:p w14:paraId="708C6645">
                  <w:pPr>
                    <w:jc w:val="center"/>
                    <w:textAlignment w:val="center"/>
                    <w:rPr>
                      <w:color w:val="auto"/>
                      <w:sz w:val="22"/>
                      <w:szCs w:val="22"/>
                      <w:highlight w:val="yellow"/>
                    </w:rPr>
                  </w:pPr>
                  <w:r>
                    <w:rPr>
                      <w:rFonts w:eastAsia="SimSun"/>
                      <w:color w:val="auto"/>
                      <w:sz w:val="22"/>
                      <w:szCs w:val="22"/>
                      <w:lang w:eastAsia="zh-CN" w:bidi="ar"/>
                    </w:rPr>
                    <w:t xml:space="preserve"> 6 </w:t>
                  </w:r>
                </w:p>
              </w:tc>
            </w:tr>
            <w:tr w14:paraId="708C664A">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bottom"/>
                </w:tcPr>
                <w:p w14:paraId="708C6647">
                  <w:pPr>
                    <w:textAlignment w:val="bottom"/>
                    <w:rPr>
                      <w:color w:val="000000"/>
                      <w:sz w:val="22"/>
                      <w:szCs w:val="22"/>
                    </w:rPr>
                  </w:pPr>
                  <w:r>
                    <w:rPr>
                      <w:rFonts w:eastAsia="SimSun"/>
                      <w:color w:val="000000"/>
                      <w:sz w:val="22"/>
                      <w:szCs w:val="22"/>
                      <w:lang w:eastAsia="zh-CN" w:bidi="ar"/>
                    </w:rPr>
                    <w:t>220kV CVT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8C6648">
                  <w:pPr>
                    <w:jc w:val="center"/>
                    <w:textAlignment w:val="center"/>
                    <w:rPr>
                      <w:color w:val="000000"/>
                      <w:sz w:val="22"/>
                      <w:szCs w:val="22"/>
                    </w:rPr>
                  </w:pPr>
                  <w:r>
                    <w:rPr>
                      <w:rFonts w:eastAsia="SimSun"/>
                      <w:color w:val="000000"/>
                      <w:sz w:val="22"/>
                      <w:szCs w:val="22"/>
                      <w:lang w:eastAsia="zh-CN" w:bidi="ar"/>
                    </w:rPr>
                    <w:t>Single phase</w:t>
                  </w:r>
                </w:p>
              </w:tc>
              <w:tc>
                <w:tcPr>
                  <w:tcW w:w="1096" w:type="dxa"/>
                  <w:tcBorders>
                    <w:top w:val="single" w:color="000000" w:sz="4" w:space="0"/>
                    <w:left w:val="single" w:color="000000" w:sz="4" w:space="0"/>
                    <w:bottom w:val="single" w:color="000000" w:sz="4" w:space="0"/>
                    <w:right w:val="single" w:color="000000" w:sz="4" w:space="0"/>
                  </w:tcBorders>
                  <w:noWrap/>
                  <w:vAlign w:val="center"/>
                </w:tcPr>
                <w:p w14:paraId="708C6649">
                  <w:pPr>
                    <w:jc w:val="center"/>
                    <w:textAlignment w:val="center"/>
                    <w:rPr>
                      <w:color w:val="auto"/>
                      <w:sz w:val="22"/>
                      <w:szCs w:val="22"/>
                      <w:highlight w:val="yellow"/>
                    </w:rPr>
                  </w:pPr>
                  <w:r>
                    <w:rPr>
                      <w:rFonts w:eastAsia="SimSun"/>
                      <w:color w:val="auto"/>
                      <w:sz w:val="22"/>
                      <w:szCs w:val="22"/>
                      <w:lang w:eastAsia="zh-CN" w:bidi="ar"/>
                    </w:rPr>
                    <w:t xml:space="preserve"> 2 </w:t>
                  </w:r>
                </w:p>
              </w:tc>
            </w:tr>
            <w:tr w14:paraId="708C664E">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bottom"/>
                </w:tcPr>
                <w:p w14:paraId="708C664B">
                  <w:pPr>
                    <w:textAlignment w:val="bottom"/>
                    <w:rPr>
                      <w:color w:val="000000"/>
                      <w:sz w:val="22"/>
                      <w:szCs w:val="22"/>
                    </w:rPr>
                  </w:pPr>
                  <w:r>
                    <w:rPr>
                      <w:rFonts w:eastAsia="SimSun"/>
                      <w:color w:val="000000"/>
                      <w:sz w:val="22"/>
                      <w:szCs w:val="22"/>
                      <w:lang w:eastAsia="zh-CN" w:bidi="ar"/>
                    </w:rPr>
                    <w:t>35kV Voltage Transfomer</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8C664C">
                  <w:pPr>
                    <w:jc w:val="center"/>
                    <w:textAlignment w:val="center"/>
                    <w:rPr>
                      <w:color w:val="000000"/>
                      <w:sz w:val="22"/>
                      <w:szCs w:val="22"/>
                    </w:rPr>
                  </w:pPr>
                  <w:r>
                    <w:rPr>
                      <w:rFonts w:eastAsia="SimSun"/>
                      <w:color w:val="000000"/>
                      <w:sz w:val="22"/>
                      <w:szCs w:val="22"/>
                      <w:lang w:eastAsia="zh-CN" w:bidi="ar"/>
                    </w:rPr>
                    <w:t>Single phase</w:t>
                  </w:r>
                </w:p>
              </w:tc>
              <w:tc>
                <w:tcPr>
                  <w:tcW w:w="1096" w:type="dxa"/>
                  <w:tcBorders>
                    <w:top w:val="single" w:color="000000" w:sz="4" w:space="0"/>
                    <w:left w:val="single" w:color="000000" w:sz="4" w:space="0"/>
                    <w:bottom w:val="single" w:color="000000" w:sz="4" w:space="0"/>
                    <w:right w:val="single" w:color="000000" w:sz="4" w:space="0"/>
                  </w:tcBorders>
                  <w:noWrap/>
                  <w:vAlign w:val="center"/>
                </w:tcPr>
                <w:p w14:paraId="708C664D">
                  <w:pPr>
                    <w:jc w:val="center"/>
                    <w:textAlignment w:val="center"/>
                    <w:rPr>
                      <w:color w:val="auto"/>
                      <w:sz w:val="22"/>
                      <w:szCs w:val="22"/>
                      <w:highlight w:val="yellow"/>
                    </w:rPr>
                  </w:pPr>
                  <w:r>
                    <w:rPr>
                      <w:rFonts w:eastAsia="SimSun"/>
                      <w:color w:val="auto"/>
                      <w:sz w:val="22"/>
                      <w:szCs w:val="22"/>
                      <w:lang w:eastAsia="zh-CN" w:bidi="ar"/>
                    </w:rPr>
                    <w:t xml:space="preserve"> 2 </w:t>
                  </w:r>
                </w:p>
              </w:tc>
            </w:tr>
            <w:tr w14:paraId="708C6652">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bottom"/>
                </w:tcPr>
                <w:p w14:paraId="708C664F">
                  <w:pPr>
                    <w:textAlignment w:val="bottom"/>
                    <w:rPr>
                      <w:color w:val="000000"/>
                      <w:sz w:val="22"/>
                      <w:szCs w:val="22"/>
                    </w:rPr>
                  </w:pPr>
                  <w:r>
                    <w:rPr>
                      <w:rFonts w:eastAsia="SimSun"/>
                      <w:color w:val="000000"/>
                      <w:sz w:val="22"/>
                      <w:szCs w:val="22"/>
                      <w:lang w:eastAsia="zh-CN" w:bidi="ar"/>
                    </w:rPr>
                    <w:t>500kV Surge Arrester (SA)</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8C6650">
                  <w:pPr>
                    <w:jc w:val="center"/>
                    <w:textAlignment w:val="center"/>
                    <w:rPr>
                      <w:color w:val="000000"/>
                      <w:sz w:val="22"/>
                      <w:szCs w:val="22"/>
                    </w:rPr>
                  </w:pPr>
                  <w:r>
                    <w:rPr>
                      <w:rFonts w:eastAsia="SimSun"/>
                      <w:color w:val="000000"/>
                      <w:sz w:val="22"/>
                      <w:szCs w:val="22"/>
                      <w:lang w:eastAsia="zh-CN" w:bidi="ar"/>
                    </w:rPr>
                    <w:t>Single phase</w:t>
                  </w:r>
                </w:p>
              </w:tc>
              <w:tc>
                <w:tcPr>
                  <w:tcW w:w="1096" w:type="dxa"/>
                  <w:tcBorders>
                    <w:top w:val="single" w:color="000000" w:sz="4" w:space="0"/>
                    <w:left w:val="single" w:color="000000" w:sz="4" w:space="0"/>
                    <w:bottom w:val="single" w:color="000000" w:sz="4" w:space="0"/>
                    <w:right w:val="single" w:color="000000" w:sz="4" w:space="0"/>
                  </w:tcBorders>
                  <w:noWrap/>
                  <w:vAlign w:val="center"/>
                </w:tcPr>
                <w:p w14:paraId="708C6651">
                  <w:pPr>
                    <w:jc w:val="center"/>
                    <w:textAlignment w:val="center"/>
                    <w:rPr>
                      <w:color w:val="auto"/>
                      <w:sz w:val="22"/>
                      <w:szCs w:val="22"/>
                      <w:highlight w:val="yellow"/>
                    </w:rPr>
                  </w:pPr>
                  <w:r>
                    <w:rPr>
                      <w:rFonts w:eastAsia="SimSun"/>
                      <w:color w:val="auto"/>
                      <w:sz w:val="22"/>
                      <w:szCs w:val="22"/>
                      <w:lang w:eastAsia="zh-CN" w:bidi="ar"/>
                    </w:rPr>
                    <w:t xml:space="preserve"> 5 </w:t>
                  </w:r>
                </w:p>
              </w:tc>
            </w:tr>
            <w:tr w14:paraId="708C6656">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bottom"/>
                </w:tcPr>
                <w:p w14:paraId="708C6653">
                  <w:pPr>
                    <w:textAlignment w:val="bottom"/>
                    <w:rPr>
                      <w:color w:val="000000"/>
                      <w:sz w:val="22"/>
                      <w:szCs w:val="22"/>
                    </w:rPr>
                  </w:pPr>
                  <w:r>
                    <w:rPr>
                      <w:rFonts w:eastAsia="SimSun"/>
                      <w:color w:val="000000"/>
                      <w:sz w:val="22"/>
                      <w:szCs w:val="22"/>
                      <w:lang w:eastAsia="zh-CN" w:bidi="ar"/>
                    </w:rPr>
                    <w:t>220kV SA</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8C6654">
                  <w:pPr>
                    <w:jc w:val="center"/>
                    <w:textAlignment w:val="center"/>
                    <w:rPr>
                      <w:color w:val="000000"/>
                      <w:sz w:val="22"/>
                      <w:szCs w:val="22"/>
                    </w:rPr>
                  </w:pPr>
                  <w:r>
                    <w:rPr>
                      <w:rFonts w:eastAsia="SimSun"/>
                      <w:color w:val="000000"/>
                      <w:sz w:val="22"/>
                      <w:szCs w:val="22"/>
                      <w:lang w:eastAsia="zh-CN" w:bidi="ar"/>
                    </w:rPr>
                    <w:t>Single phase</w:t>
                  </w:r>
                </w:p>
              </w:tc>
              <w:tc>
                <w:tcPr>
                  <w:tcW w:w="1096" w:type="dxa"/>
                  <w:tcBorders>
                    <w:top w:val="single" w:color="000000" w:sz="4" w:space="0"/>
                    <w:left w:val="single" w:color="000000" w:sz="4" w:space="0"/>
                    <w:bottom w:val="single" w:color="000000" w:sz="4" w:space="0"/>
                    <w:right w:val="single" w:color="000000" w:sz="4" w:space="0"/>
                  </w:tcBorders>
                  <w:noWrap/>
                  <w:vAlign w:val="center"/>
                </w:tcPr>
                <w:p w14:paraId="708C6655">
                  <w:pPr>
                    <w:jc w:val="center"/>
                    <w:textAlignment w:val="center"/>
                    <w:rPr>
                      <w:color w:val="auto"/>
                      <w:sz w:val="22"/>
                      <w:szCs w:val="22"/>
                      <w:highlight w:val="yellow"/>
                    </w:rPr>
                  </w:pPr>
                  <w:r>
                    <w:rPr>
                      <w:rFonts w:eastAsia="SimSun"/>
                      <w:color w:val="auto"/>
                      <w:sz w:val="22"/>
                      <w:szCs w:val="22"/>
                      <w:lang w:eastAsia="zh-CN" w:bidi="ar"/>
                    </w:rPr>
                    <w:t xml:space="preserve"> 5 </w:t>
                  </w:r>
                </w:p>
              </w:tc>
            </w:tr>
            <w:tr w14:paraId="708C665A">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bottom"/>
                </w:tcPr>
                <w:p w14:paraId="708C6657">
                  <w:pPr>
                    <w:textAlignment w:val="bottom"/>
                    <w:rPr>
                      <w:color w:val="000000"/>
                      <w:sz w:val="22"/>
                      <w:szCs w:val="22"/>
                    </w:rPr>
                  </w:pPr>
                  <w:r>
                    <w:rPr>
                      <w:rFonts w:eastAsia="SimSun"/>
                      <w:color w:val="000000"/>
                      <w:sz w:val="22"/>
                      <w:szCs w:val="22"/>
                      <w:lang w:eastAsia="zh-CN" w:bidi="ar"/>
                    </w:rPr>
                    <w:t>500kV Post Insulator (PI)</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8C6658">
                  <w:pPr>
                    <w:jc w:val="center"/>
                    <w:textAlignment w:val="center"/>
                    <w:rPr>
                      <w:color w:val="000000"/>
                      <w:sz w:val="22"/>
                      <w:szCs w:val="22"/>
                    </w:rPr>
                  </w:pPr>
                  <w:r>
                    <w:rPr>
                      <w:rFonts w:eastAsia="SimSun"/>
                      <w:color w:val="000000"/>
                      <w:sz w:val="22"/>
                      <w:szCs w:val="22"/>
                      <w:lang w:eastAsia="zh-CN" w:bidi="ar"/>
                    </w:rPr>
                    <w:t>set</w:t>
                  </w:r>
                </w:p>
              </w:tc>
              <w:tc>
                <w:tcPr>
                  <w:tcW w:w="1096" w:type="dxa"/>
                  <w:tcBorders>
                    <w:top w:val="single" w:color="000000" w:sz="4" w:space="0"/>
                    <w:left w:val="single" w:color="000000" w:sz="4" w:space="0"/>
                    <w:bottom w:val="single" w:color="000000" w:sz="4" w:space="0"/>
                    <w:right w:val="single" w:color="000000" w:sz="4" w:space="0"/>
                  </w:tcBorders>
                  <w:noWrap/>
                  <w:vAlign w:val="center"/>
                </w:tcPr>
                <w:p w14:paraId="708C6659">
                  <w:pPr>
                    <w:jc w:val="center"/>
                    <w:textAlignment w:val="center"/>
                    <w:rPr>
                      <w:color w:val="auto"/>
                      <w:sz w:val="22"/>
                      <w:szCs w:val="22"/>
                      <w:highlight w:val="yellow"/>
                    </w:rPr>
                  </w:pPr>
                  <w:r>
                    <w:rPr>
                      <w:rFonts w:eastAsia="SimSun"/>
                      <w:color w:val="auto"/>
                      <w:sz w:val="22"/>
                      <w:szCs w:val="22"/>
                      <w:lang w:eastAsia="zh-CN" w:bidi="ar"/>
                    </w:rPr>
                    <w:t xml:space="preserve"> 8 </w:t>
                  </w:r>
                </w:p>
              </w:tc>
            </w:tr>
            <w:tr w14:paraId="708C665E">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bottom"/>
                </w:tcPr>
                <w:p w14:paraId="708C665B">
                  <w:pPr>
                    <w:textAlignment w:val="bottom"/>
                    <w:rPr>
                      <w:color w:val="000000"/>
                      <w:sz w:val="22"/>
                      <w:szCs w:val="22"/>
                    </w:rPr>
                  </w:pPr>
                  <w:r>
                    <w:rPr>
                      <w:rFonts w:eastAsia="SimSun"/>
                      <w:color w:val="000000"/>
                      <w:sz w:val="22"/>
                      <w:szCs w:val="22"/>
                      <w:lang w:eastAsia="zh-CN" w:bidi="ar"/>
                    </w:rPr>
                    <w:t>220kV PI</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8C665C">
                  <w:pPr>
                    <w:jc w:val="center"/>
                    <w:textAlignment w:val="center"/>
                    <w:rPr>
                      <w:color w:val="000000"/>
                      <w:sz w:val="22"/>
                      <w:szCs w:val="22"/>
                    </w:rPr>
                  </w:pPr>
                  <w:r>
                    <w:rPr>
                      <w:rFonts w:eastAsia="SimSun"/>
                      <w:color w:val="000000"/>
                      <w:sz w:val="22"/>
                      <w:szCs w:val="22"/>
                      <w:lang w:eastAsia="zh-CN" w:bidi="ar"/>
                    </w:rPr>
                    <w:t>set</w:t>
                  </w:r>
                </w:p>
              </w:tc>
              <w:tc>
                <w:tcPr>
                  <w:tcW w:w="1096" w:type="dxa"/>
                  <w:tcBorders>
                    <w:top w:val="single" w:color="000000" w:sz="4" w:space="0"/>
                    <w:left w:val="single" w:color="000000" w:sz="4" w:space="0"/>
                    <w:bottom w:val="single" w:color="000000" w:sz="4" w:space="0"/>
                    <w:right w:val="single" w:color="000000" w:sz="4" w:space="0"/>
                  </w:tcBorders>
                  <w:noWrap/>
                  <w:vAlign w:val="center"/>
                </w:tcPr>
                <w:p w14:paraId="708C665D">
                  <w:pPr>
                    <w:jc w:val="center"/>
                    <w:textAlignment w:val="center"/>
                    <w:rPr>
                      <w:color w:val="auto"/>
                      <w:sz w:val="22"/>
                      <w:szCs w:val="22"/>
                      <w:highlight w:val="yellow"/>
                    </w:rPr>
                  </w:pPr>
                  <w:r>
                    <w:rPr>
                      <w:rFonts w:eastAsia="SimSun"/>
                      <w:color w:val="auto"/>
                      <w:sz w:val="22"/>
                      <w:szCs w:val="22"/>
                      <w:lang w:eastAsia="zh-CN" w:bidi="ar"/>
                    </w:rPr>
                    <w:t xml:space="preserve"> 26 </w:t>
                  </w:r>
                </w:p>
              </w:tc>
            </w:tr>
            <w:tr w14:paraId="708C6662">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bottom"/>
                </w:tcPr>
                <w:p w14:paraId="708C665F">
                  <w:pPr>
                    <w:textAlignment w:val="bottom"/>
                    <w:rPr>
                      <w:color w:val="000000"/>
                      <w:sz w:val="22"/>
                      <w:szCs w:val="22"/>
                    </w:rPr>
                  </w:pPr>
                  <w:r>
                    <w:rPr>
                      <w:rFonts w:eastAsia="SimSun"/>
                      <w:color w:val="000000"/>
                      <w:sz w:val="22"/>
                      <w:szCs w:val="22"/>
                      <w:lang w:eastAsia="zh-CN" w:bidi="ar"/>
                    </w:rPr>
                    <w:t>110kV PI</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8C6660">
                  <w:pPr>
                    <w:jc w:val="center"/>
                    <w:textAlignment w:val="center"/>
                    <w:rPr>
                      <w:color w:val="000000"/>
                      <w:sz w:val="22"/>
                      <w:szCs w:val="22"/>
                    </w:rPr>
                  </w:pPr>
                  <w:r>
                    <w:rPr>
                      <w:rFonts w:eastAsia="SimSun"/>
                      <w:color w:val="000000"/>
                      <w:sz w:val="22"/>
                      <w:szCs w:val="22"/>
                      <w:lang w:eastAsia="zh-CN" w:bidi="ar"/>
                    </w:rPr>
                    <w:t>set</w:t>
                  </w:r>
                </w:p>
              </w:tc>
              <w:tc>
                <w:tcPr>
                  <w:tcW w:w="1096" w:type="dxa"/>
                  <w:tcBorders>
                    <w:top w:val="single" w:color="000000" w:sz="4" w:space="0"/>
                    <w:left w:val="single" w:color="000000" w:sz="4" w:space="0"/>
                    <w:bottom w:val="single" w:color="000000" w:sz="4" w:space="0"/>
                    <w:right w:val="single" w:color="000000" w:sz="4" w:space="0"/>
                  </w:tcBorders>
                  <w:noWrap/>
                  <w:vAlign w:val="center"/>
                </w:tcPr>
                <w:p w14:paraId="708C6661">
                  <w:pPr>
                    <w:jc w:val="center"/>
                    <w:textAlignment w:val="center"/>
                    <w:rPr>
                      <w:color w:val="auto"/>
                      <w:sz w:val="22"/>
                      <w:szCs w:val="22"/>
                      <w:highlight w:val="yellow"/>
                    </w:rPr>
                  </w:pPr>
                  <w:r>
                    <w:rPr>
                      <w:rFonts w:eastAsia="SimSun"/>
                      <w:color w:val="auto"/>
                      <w:sz w:val="22"/>
                      <w:szCs w:val="22"/>
                      <w:lang w:eastAsia="zh-CN" w:bidi="ar"/>
                    </w:rPr>
                    <w:t xml:space="preserve"> 7 </w:t>
                  </w:r>
                </w:p>
              </w:tc>
            </w:tr>
            <w:tr w14:paraId="708C6666">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bottom"/>
                </w:tcPr>
                <w:p w14:paraId="708C6663">
                  <w:pPr>
                    <w:textAlignment w:val="bottom"/>
                    <w:rPr>
                      <w:color w:val="000000"/>
                      <w:sz w:val="22"/>
                      <w:szCs w:val="22"/>
                    </w:rPr>
                  </w:pPr>
                  <w:r>
                    <w:rPr>
                      <w:rFonts w:eastAsia="SimSun"/>
                      <w:color w:val="000000"/>
                      <w:sz w:val="22"/>
                      <w:szCs w:val="22"/>
                      <w:lang w:eastAsia="zh-CN" w:bidi="ar"/>
                    </w:rPr>
                    <w:t xml:space="preserve"> 500/220kV Strings</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8C6664">
                  <w:pPr>
                    <w:jc w:val="center"/>
                    <w:textAlignment w:val="center"/>
                    <w:rPr>
                      <w:color w:val="000000"/>
                      <w:sz w:val="22"/>
                      <w:szCs w:val="22"/>
                    </w:rPr>
                  </w:pPr>
                  <w:r>
                    <w:rPr>
                      <w:rFonts w:eastAsia="SimSun"/>
                      <w:color w:val="000000"/>
                      <w:sz w:val="22"/>
                      <w:szCs w:val="22"/>
                      <w:lang w:eastAsia="zh-CN" w:bidi="ar"/>
                    </w:rPr>
                    <w:t xml:space="preserve">string </w:t>
                  </w:r>
                </w:p>
              </w:tc>
              <w:tc>
                <w:tcPr>
                  <w:tcW w:w="1096" w:type="dxa"/>
                  <w:tcBorders>
                    <w:top w:val="single" w:color="000000" w:sz="4" w:space="0"/>
                    <w:left w:val="single" w:color="000000" w:sz="4" w:space="0"/>
                    <w:bottom w:val="single" w:color="000000" w:sz="4" w:space="0"/>
                    <w:right w:val="single" w:color="000000" w:sz="4" w:space="0"/>
                  </w:tcBorders>
                  <w:noWrap/>
                  <w:vAlign w:val="center"/>
                </w:tcPr>
                <w:p w14:paraId="708C6665">
                  <w:pPr>
                    <w:jc w:val="center"/>
                    <w:textAlignment w:val="center"/>
                    <w:rPr>
                      <w:color w:val="auto"/>
                      <w:sz w:val="22"/>
                      <w:szCs w:val="22"/>
                      <w:highlight w:val="yellow"/>
                    </w:rPr>
                  </w:pPr>
                  <w:r>
                    <w:rPr>
                      <w:rFonts w:eastAsia="SimSun"/>
                      <w:color w:val="auto"/>
                      <w:sz w:val="22"/>
                      <w:szCs w:val="22"/>
                      <w:lang w:eastAsia="zh-CN" w:bidi="ar"/>
                    </w:rPr>
                    <w:t xml:space="preserve"> 143 </w:t>
                  </w:r>
                </w:p>
              </w:tc>
            </w:tr>
            <w:tr w14:paraId="708C666A">
              <w:tblPrEx>
                <w:tblCellMar>
                  <w:top w:w="0" w:type="dxa"/>
                  <w:left w:w="108" w:type="dxa"/>
                  <w:bottom w:w="0" w:type="dxa"/>
                  <w:right w:w="108" w:type="dxa"/>
                </w:tblCellMar>
              </w:tblPrEx>
              <w:trPr>
                <w:trHeight w:val="300" w:hRule="atLeast"/>
              </w:trPr>
              <w:tc>
                <w:tcPr>
                  <w:tcW w:w="0" w:type="auto"/>
                  <w:tcBorders>
                    <w:top w:val="single" w:color="000000" w:sz="4" w:space="0"/>
                    <w:left w:val="single" w:color="000000" w:sz="4" w:space="0"/>
                    <w:bottom w:val="single" w:color="000000" w:sz="4" w:space="0"/>
                    <w:right w:val="single" w:color="000000" w:sz="4" w:space="0"/>
                  </w:tcBorders>
                  <w:noWrap/>
                  <w:vAlign w:val="bottom"/>
                </w:tcPr>
                <w:p w14:paraId="708C6667">
                  <w:pPr>
                    <w:textAlignment w:val="bottom"/>
                    <w:rPr>
                      <w:color w:val="000000"/>
                      <w:sz w:val="22"/>
                      <w:szCs w:val="22"/>
                    </w:rPr>
                  </w:pPr>
                  <w:r>
                    <w:rPr>
                      <w:rFonts w:eastAsia="SimSun"/>
                      <w:color w:val="000000"/>
                      <w:sz w:val="22"/>
                      <w:szCs w:val="22"/>
                      <w:lang w:eastAsia="zh-CN" w:bidi="ar"/>
                    </w:rPr>
                    <w:t>Conductor</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8C6668">
                  <w:pPr>
                    <w:jc w:val="center"/>
                    <w:textAlignment w:val="center"/>
                    <w:rPr>
                      <w:color w:val="000000"/>
                      <w:sz w:val="22"/>
                      <w:szCs w:val="22"/>
                    </w:rPr>
                  </w:pPr>
                  <w:r>
                    <w:rPr>
                      <w:rFonts w:eastAsia="SimSun"/>
                      <w:color w:val="000000"/>
                      <w:sz w:val="22"/>
                      <w:szCs w:val="22"/>
                      <w:lang w:eastAsia="zh-CN" w:bidi="ar"/>
                    </w:rPr>
                    <w:t>m</w:t>
                  </w:r>
                </w:p>
              </w:tc>
              <w:tc>
                <w:tcPr>
                  <w:tcW w:w="1096" w:type="dxa"/>
                  <w:tcBorders>
                    <w:top w:val="single" w:color="000000" w:sz="4" w:space="0"/>
                    <w:left w:val="single" w:color="000000" w:sz="4" w:space="0"/>
                    <w:bottom w:val="single" w:color="000000" w:sz="4" w:space="0"/>
                    <w:right w:val="single" w:color="000000" w:sz="4" w:space="0"/>
                  </w:tcBorders>
                  <w:noWrap/>
                  <w:vAlign w:val="center"/>
                </w:tcPr>
                <w:p w14:paraId="708C6669">
                  <w:pPr>
                    <w:jc w:val="center"/>
                    <w:textAlignment w:val="center"/>
                    <w:rPr>
                      <w:color w:val="auto"/>
                      <w:sz w:val="22"/>
                      <w:szCs w:val="22"/>
                      <w:highlight w:val="yellow"/>
                    </w:rPr>
                  </w:pPr>
                  <w:r>
                    <w:rPr>
                      <w:rFonts w:eastAsia="SimSun"/>
                      <w:color w:val="auto"/>
                      <w:sz w:val="22"/>
                      <w:szCs w:val="22"/>
                      <w:lang w:eastAsia="zh-CN" w:bidi="ar"/>
                    </w:rPr>
                    <w:t xml:space="preserve"> 7,844 </w:t>
                  </w:r>
                </w:p>
              </w:tc>
            </w:tr>
          </w:tbl>
          <w:p w14:paraId="708C666B">
            <w:pPr>
              <w:spacing w:after="0" w:line="240" w:lineRule="auto"/>
              <w:jc w:val="both"/>
              <w:rPr>
                <w:rStyle w:val="331"/>
                <w:iCs/>
                <w:highlight w:val="yellow"/>
              </w:rPr>
            </w:pPr>
          </w:p>
        </w:tc>
        <w:tc>
          <w:tcPr>
            <w:tcW w:w="1473" w:type="dxa"/>
          </w:tcPr>
          <w:p w14:paraId="708C666C">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requirement</w:t>
            </w:r>
          </w:p>
        </w:tc>
        <w:tc>
          <w:tcPr>
            <w:tcW w:w="1473" w:type="dxa"/>
          </w:tcPr>
          <w:p w14:paraId="708C666D">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requirement</w:t>
            </w:r>
          </w:p>
          <w:p w14:paraId="708C666E">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p>
        </w:tc>
        <w:tc>
          <w:tcPr>
            <w:tcW w:w="1473" w:type="dxa"/>
          </w:tcPr>
          <w:p w14:paraId="708C666F">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requirement (equivalent to the assigned works)</w:t>
            </w:r>
          </w:p>
          <w:p w14:paraId="708C6670">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p>
        </w:tc>
        <w:tc>
          <w:tcPr>
            <w:tcW w:w="1776" w:type="dxa"/>
          </w:tcPr>
          <w:p w14:paraId="708C6671">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Form 9(b)</w:t>
            </w:r>
          </w:p>
        </w:tc>
      </w:tr>
      <w:tr w14:paraId="708C6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38" w:type="dxa"/>
          </w:tcPr>
          <w:p w14:paraId="708C6673">
            <w:pPr>
              <w:pStyle w:val="103"/>
              <w:shd w:val="clear" w:color="auto" w:fill="FFFFFF"/>
              <w:tabs>
                <w:tab w:val="left" w:leader="dot" w:pos="8424"/>
              </w:tabs>
              <w:spacing w:before="60" w:after="6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5</w:t>
            </w:r>
          </w:p>
        </w:tc>
        <w:tc>
          <w:tcPr>
            <w:tcW w:w="3186" w:type="dxa"/>
          </w:tcPr>
          <w:p w14:paraId="708C6674">
            <w:pPr>
              <w:pStyle w:val="103"/>
              <w:shd w:val="clear" w:color="auto" w:fill="FFFFFF"/>
              <w:tabs>
                <w:tab w:val="left" w:leader="dot" w:pos="8424"/>
              </w:tabs>
              <w:spacing w:before="60" w:after="60" w:line="240" w:lineRule="auto"/>
              <w:jc w:val="both"/>
              <w:rPr>
                <w:b/>
                <w:color w:val="000000" w:themeColor="text1"/>
                <w:sz w:val="26"/>
                <w:szCs w:val="26"/>
                <w:vertAlign w:val="superscript"/>
                <w14:textFill>
                  <w14:solidFill>
                    <w14:schemeClr w14:val="tx1"/>
                  </w14:solidFill>
                </w14:textFill>
              </w:rPr>
            </w:pPr>
            <w:r>
              <w:rPr>
                <w:b/>
                <w:bCs/>
                <w:color w:val="000000" w:themeColor="text1"/>
                <w:sz w:val="26"/>
                <w:szCs w:val="26"/>
                <w:lang w:val="en-GB"/>
                <w14:textFill>
                  <w14:solidFill>
                    <w14:schemeClr w14:val="tx1"/>
                  </w14:solidFill>
                </w14:textFill>
              </w:rPr>
              <w:t>Qualification of warranty, supply of spare parts or other after-sale services</w:t>
            </w:r>
            <w:r>
              <w:rPr>
                <w:color w:val="000000" w:themeColor="text1"/>
                <w:sz w:val="26"/>
                <w:szCs w:val="26"/>
                <w:vertAlign w:val="superscript"/>
                <w14:textFill>
                  <w14:solidFill>
                    <w14:schemeClr w14:val="tx1"/>
                  </w14:solidFill>
                </w14:textFill>
              </w:rPr>
              <w:t>(8)</w:t>
            </w:r>
          </w:p>
        </w:tc>
        <w:tc>
          <w:tcPr>
            <w:tcW w:w="4505" w:type="dxa"/>
          </w:tcPr>
          <w:p w14:paraId="708C6675">
            <w:pPr>
              <w:shd w:val="clear" w:color="auto" w:fill="FFFFFF"/>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Bidder must demonstrate its ability to perform its warranty, supply of spare parts or after-sale services obligations by one of the following methods:</w:t>
            </w:r>
          </w:p>
          <w:p w14:paraId="708C6676">
            <w:pPr>
              <w:shd w:val="clear" w:color="auto" w:fill="FFFFFF"/>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The Bidder commits to be capable of performing the obligations of warranty, supply of spare parts or provide after-sales services as required by BDs.</w:t>
            </w:r>
          </w:p>
          <w:p w14:paraId="708C6677">
            <w:pPr>
              <w:shd w:val="clear" w:color="auto" w:fill="FFFFFF"/>
              <w:spacing w:before="60" w:after="6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The Bidder shall sign the principle contract with a company that is capable of performing warranty, supply of spare parts supply or after-sales services according to requirements of the BDs.</w:t>
            </w:r>
          </w:p>
        </w:tc>
        <w:tc>
          <w:tcPr>
            <w:tcW w:w="1473" w:type="dxa"/>
          </w:tcPr>
          <w:p w14:paraId="708C6678">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all requirement</w:t>
            </w:r>
          </w:p>
        </w:tc>
        <w:tc>
          <w:tcPr>
            <w:tcW w:w="1473" w:type="dxa"/>
          </w:tcPr>
          <w:p w14:paraId="708C6679">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Must meet all requirement</w:t>
            </w:r>
          </w:p>
        </w:tc>
        <w:tc>
          <w:tcPr>
            <w:tcW w:w="1473" w:type="dxa"/>
          </w:tcPr>
          <w:p w14:paraId="708C667A">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NA</w:t>
            </w:r>
          </w:p>
        </w:tc>
        <w:tc>
          <w:tcPr>
            <w:tcW w:w="1776" w:type="dxa"/>
          </w:tcPr>
          <w:p w14:paraId="708C667B">
            <w:pPr>
              <w:pStyle w:val="103"/>
              <w:shd w:val="clear" w:color="auto" w:fill="FFFFFF"/>
              <w:tabs>
                <w:tab w:val="left" w:leader="dot" w:pos="8424"/>
              </w:tabs>
              <w:spacing w:before="60" w:after="6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Bidder's commitment or principle contract</w:t>
            </w:r>
          </w:p>
        </w:tc>
      </w:tr>
    </w:tbl>
    <w:p w14:paraId="708C667D">
      <w:pPr>
        <w:shd w:val="clear" w:color="auto" w:fill="FFFFFF"/>
        <w:spacing w:before="120" w:after="0" w:line="240" w:lineRule="auto"/>
        <w:jc w:val="both"/>
        <w:rPr>
          <w:b/>
          <w:sz w:val="26"/>
          <w:szCs w:val="26"/>
          <w:u w:val="single"/>
          <w:lang w:val="nl-NL"/>
        </w:rPr>
      </w:pPr>
      <w:r>
        <w:rPr>
          <w:b/>
          <w:sz w:val="26"/>
          <w:szCs w:val="26"/>
          <w:u w:val="single"/>
          <w:lang w:val="nl-NL"/>
        </w:rPr>
        <w:t>Note:</w:t>
      </w:r>
    </w:p>
    <w:p w14:paraId="708C667E">
      <w:pPr>
        <w:widowControl w:val="0"/>
        <w:numPr>
          <w:ilvl w:val="0"/>
          <w:numId w:val="42"/>
        </w:numPr>
        <w:shd w:val="clear" w:color="auto" w:fill="FFFFFF"/>
        <w:spacing w:before="120" w:after="0" w:line="240" w:lineRule="auto"/>
        <w:jc w:val="both"/>
        <w:rPr>
          <w:sz w:val="26"/>
          <w:szCs w:val="26"/>
        </w:rPr>
      </w:pPr>
      <w:r>
        <w:rPr>
          <w:sz w:val="26"/>
          <w:szCs w:val="26"/>
        </w:rPr>
        <w:t>The manufacturer is understood as a manufacturing plant or a subsidiary, the parent company is in charge of the distribution and consumption of products manufactured by the parent company, other subsidiaries in the Group or the Corporation.</w:t>
      </w:r>
    </w:p>
    <w:p w14:paraId="708C667F">
      <w:pPr>
        <w:widowControl w:val="0"/>
        <w:numPr>
          <w:ilvl w:val="0"/>
          <w:numId w:val="42"/>
        </w:numPr>
        <w:shd w:val="clear" w:color="auto" w:fill="FFFFFF"/>
        <w:spacing w:before="120" w:after="0" w:line="240" w:lineRule="auto"/>
        <w:jc w:val="both"/>
        <w:rPr>
          <w:sz w:val="26"/>
          <w:szCs w:val="26"/>
        </w:rPr>
      </w:pPr>
      <w:r>
        <w:rPr>
          <w:sz w:val="26"/>
          <w:szCs w:val="26"/>
        </w:rPr>
        <w:t>The contract is not completed due to the bidder’s fault including:</w:t>
      </w:r>
    </w:p>
    <w:p w14:paraId="708C6680">
      <w:pPr>
        <w:spacing w:before="120" w:after="0" w:line="240" w:lineRule="auto"/>
        <w:ind w:left="851" w:right="43"/>
        <w:rPr>
          <w:sz w:val="26"/>
          <w:szCs w:val="26"/>
        </w:rPr>
      </w:pPr>
      <w:r>
        <w:rPr>
          <w:sz w:val="26"/>
          <w:szCs w:val="26"/>
        </w:rPr>
        <w:t>- Unfinished contracts concluded by the Investor without objection of the Bidder;</w:t>
      </w:r>
    </w:p>
    <w:p w14:paraId="708C6681">
      <w:pPr>
        <w:spacing w:before="120" w:after="0" w:line="240" w:lineRule="auto"/>
        <w:ind w:left="851" w:right="43"/>
        <w:rPr>
          <w:sz w:val="26"/>
          <w:szCs w:val="26"/>
        </w:rPr>
      </w:pPr>
      <w:r>
        <w:rPr>
          <w:sz w:val="26"/>
          <w:szCs w:val="26"/>
        </w:rPr>
        <w:t>- Unfinished contracts concluded by the Investor with objection of the Bidder but the Bidder loses in the lawsuit under conclusion by an arbitrator or a court.</w:t>
      </w:r>
    </w:p>
    <w:p w14:paraId="708C6682">
      <w:pPr>
        <w:widowControl w:val="0"/>
        <w:shd w:val="clear" w:color="auto" w:fill="FFFFFF"/>
        <w:spacing w:before="120" w:after="0" w:line="240" w:lineRule="auto"/>
        <w:ind w:left="284" w:firstLine="481"/>
        <w:jc w:val="both"/>
        <w:rPr>
          <w:sz w:val="26"/>
          <w:szCs w:val="26"/>
        </w:rPr>
      </w:pPr>
      <w:r>
        <w:rPr>
          <w:sz w:val="26"/>
          <w:szCs w:val="26"/>
        </w:rPr>
        <w:t>Unfinished contracts shall not include contracts that the Investor’s decisions are rejected by settlement of disputes. Unfinished contracts shall be determined according to all information about disputes or lawsuits that are settled in conformity with the terms of settlement of disputes as mentioned in the corresponding contracts and when the bidder has exhausted all opportunity to complain. For contracts that are delayed due to the fault of the bidder but still complete the contract, it is not considered as unfinished contract.</w:t>
      </w:r>
    </w:p>
    <w:p w14:paraId="708C6683">
      <w:pPr>
        <w:widowControl w:val="0"/>
        <w:numPr>
          <w:ilvl w:val="0"/>
          <w:numId w:val="42"/>
        </w:numPr>
        <w:shd w:val="clear" w:color="auto" w:fill="FFFFFF"/>
        <w:spacing w:before="120" w:after="0" w:line="240" w:lineRule="auto"/>
        <w:jc w:val="both"/>
        <w:rPr>
          <w:sz w:val="26"/>
          <w:szCs w:val="26"/>
        </w:rPr>
      </w:pPr>
      <w:r>
        <w:rPr>
          <w:sz w:val="26"/>
          <w:szCs w:val="26"/>
        </w:rPr>
        <w:t>Insert number of years, usually between 3 and 5 years prior the year having the deadline for submission of bid</w:t>
      </w:r>
    </w:p>
    <w:p w14:paraId="708C6684">
      <w:pPr>
        <w:widowControl w:val="0"/>
        <w:numPr>
          <w:ilvl w:val="0"/>
          <w:numId w:val="42"/>
        </w:numPr>
        <w:shd w:val="clear" w:color="auto" w:fill="FFFFFF"/>
        <w:spacing w:after="0" w:line="240" w:lineRule="auto"/>
        <w:ind w:left="1122" w:hanging="357"/>
        <w:jc w:val="both"/>
        <w:rPr>
          <w:sz w:val="26"/>
          <w:szCs w:val="26"/>
        </w:rPr>
      </w:pPr>
      <w:r>
        <w:rPr>
          <w:sz w:val="26"/>
          <w:szCs w:val="26"/>
        </w:rPr>
        <w:t>Documents proving the fulfillment of tax obligations of the latest fiscal year compared to the deadline for submission of bid</w:t>
      </w:r>
    </w:p>
    <w:p w14:paraId="708C6685">
      <w:pPr>
        <w:numPr>
          <w:ilvl w:val="0"/>
          <w:numId w:val="42"/>
        </w:numPr>
        <w:spacing w:before="120" w:after="0" w:line="240" w:lineRule="auto"/>
        <w:ind w:right="43"/>
        <w:rPr>
          <w:sz w:val="26"/>
          <w:szCs w:val="26"/>
        </w:rPr>
      </w:pPr>
      <w:r>
        <w:rPr>
          <w:sz w:val="26"/>
          <w:szCs w:val="26"/>
        </w:rPr>
        <w:t xml:space="preserve">Common formula of annual average revenue (excluding VAT): </w:t>
      </w:r>
    </w:p>
    <w:p w14:paraId="708C6686">
      <w:pPr>
        <w:numPr>
          <w:ilvl w:val="0"/>
          <w:numId w:val="43"/>
        </w:numPr>
        <w:spacing w:before="120" w:after="0" w:line="240" w:lineRule="auto"/>
        <w:ind w:left="1134" w:right="43" w:hanging="425"/>
        <w:rPr>
          <w:i/>
          <w:sz w:val="26"/>
          <w:szCs w:val="26"/>
        </w:rPr>
      </w:pPr>
      <w:r>
        <w:rPr>
          <w:i/>
          <w:sz w:val="26"/>
          <w:szCs w:val="26"/>
        </w:rPr>
        <w:t xml:space="preserve">If the time of contract performance is 12 months or more, the revenue shall be determined as follows </w:t>
      </w:r>
    </w:p>
    <w:p w14:paraId="708C6687">
      <w:pPr>
        <w:spacing w:before="120" w:after="0" w:line="240" w:lineRule="auto"/>
        <w:ind w:left="1134" w:right="43" w:hanging="425"/>
        <w:rPr>
          <w:i/>
          <w:sz w:val="26"/>
          <w:szCs w:val="26"/>
        </w:rPr>
      </w:pPr>
      <w:r>
        <w:rPr>
          <w:i/>
          <w:sz w:val="26"/>
          <w:szCs w:val="26"/>
        </w:rPr>
        <w:t xml:space="preserve">Minimum annual average revenue (excluding VAT) = [(Price of contract-VAT)/ Time of contract performance in year] x k. </w:t>
      </w:r>
    </w:p>
    <w:p w14:paraId="708C6688">
      <w:pPr>
        <w:spacing w:before="120" w:after="0" w:line="240" w:lineRule="auto"/>
        <w:ind w:left="1134" w:right="43" w:hanging="425"/>
        <w:rPr>
          <w:i/>
          <w:sz w:val="26"/>
          <w:szCs w:val="26"/>
        </w:rPr>
      </w:pPr>
      <w:r>
        <w:rPr>
          <w:i/>
          <w:sz w:val="26"/>
          <w:szCs w:val="26"/>
        </w:rPr>
        <w:t xml:space="preserve"> k is often between 1.5 and 2.</w:t>
      </w:r>
    </w:p>
    <w:p w14:paraId="708C6689">
      <w:pPr>
        <w:spacing w:before="120" w:after="0" w:line="240" w:lineRule="auto"/>
        <w:ind w:left="765" w:right="43"/>
        <w:rPr>
          <w:i/>
          <w:sz w:val="26"/>
          <w:szCs w:val="26"/>
        </w:rPr>
      </w:pPr>
      <w:r>
        <w:rPr>
          <w:i/>
          <w:sz w:val="26"/>
          <w:szCs w:val="26"/>
        </w:rPr>
        <w:t xml:space="preserve">b) If the contract duration is below 12 months, the revenue shall be determined as follows: </w:t>
      </w:r>
    </w:p>
    <w:p w14:paraId="708C668A">
      <w:pPr>
        <w:spacing w:before="120" w:after="0" w:line="240" w:lineRule="auto"/>
        <w:ind w:left="709" w:right="43"/>
        <w:rPr>
          <w:i/>
          <w:sz w:val="26"/>
          <w:szCs w:val="26"/>
        </w:rPr>
      </w:pPr>
      <w:r>
        <w:rPr>
          <w:i/>
          <w:sz w:val="26"/>
          <w:szCs w:val="26"/>
        </w:rPr>
        <w:t>Minimum annual average revenue (excluding VAT) = (Contract price – VAT) x k</w:t>
      </w:r>
    </w:p>
    <w:p w14:paraId="708C668B">
      <w:pPr>
        <w:spacing w:before="120" w:after="0" w:line="240" w:lineRule="auto"/>
        <w:ind w:left="709" w:right="43"/>
        <w:rPr>
          <w:i/>
          <w:sz w:val="26"/>
          <w:szCs w:val="26"/>
        </w:rPr>
      </w:pPr>
      <w:r>
        <w:rPr>
          <w:i/>
          <w:sz w:val="26"/>
          <w:szCs w:val="26"/>
        </w:rPr>
        <w:t>k is often 1.5.</w:t>
      </w:r>
    </w:p>
    <w:p w14:paraId="708C668C">
      <w:pPr>
        <w:widowControl w:val="0"/>
        <w:numPr>
          <w:ilvl w:val="0"/>
          <w:numId w:val="42"/>
        </w:numPr>
        <w:shd w:val="clear" w:color="auto" w:fill="FFFFFF"/>
        <w:spacing w:before="120" w:after="0" w:line="240" w:lineRule="auto"/>
        <w:jc w:val="both"/>
        <w:rPr>
          <w:sz w:val="26"/>
          <w:szCs w:val="26"/>
        </w:rPr>
      </w:pPr>
      <w:r>
        <w:rPr>
          <w:sz w:val="26"/>
          <w:szCs w:val="26"/>
        </w:rPr>
        <w:t>Insert number of years, usually between 3 and 5 years prior the year having the deadline for submission of bid</w:t>
      </w:r>
    </w:p>
    <w:p w14:paraId="708C668D">
      <w:pPr>
        <w:widowControl w:val="0"/>
        <w:shd w:val="clear" w:color="auto" w:fill="FFFFFF"/>
        <w:spacing w:before="120" w:after="0" w:line="240" w:lineRule="auto"/>
        <w:ind w:left="765"/>
        <w:jc w:val="both"/>
        <w:rPr>
          <w:sz w:val="26"/>
          <w:szCs w:val="26"/>
        </w:rPr>
      </w:pPr>
      <w:r>
        <w:rPr>
          <w:sz w:val="26"/>
          <w:szCs w:val="26"/>
        </w:rPr>
        <w:t>In case the bidder has less than the number of years of establishment as required by the BDs, the average annual turnover (excluding VAT) is calculated on the number of years that the contractor was established. In case the average annual turnover (excluding VAT) of the bidder meets the requirements on the value of the BDs, the bidder will still be evaluated without being disqualified.</w:t>
      </w:r>
    </w:p>
    <w:p w14:paraId="708C668E">
      <w:pPr>
        <w:widowControl w:val="0"/>
        <w:numPr>
          <w:ilvl w:val="0"/>
          <w:numId w:val="42"/>
        </w:numPr>
        <w:shd w:val="clear" w:color="auto" w:fill="FFFFFF"/>
        <w:spacing w:before="120" w:after="0" w:line="240" w:lineRule="auto"/>
        <w:jc w:val="both"/>
        <w:rPr>
          <w:sz w:val="26"/>
          <w:szCs w:val="26"/>
        </w:rPr>
      </w:pPr>
      <w:r>
        <w:rPr>
          <w:sz w:val="26"/>
          <w:szCs w:val="26"/>
        </w:rPr>
        <w:t>Average capacity per month in the last year to the deadline for submission of bid is calculated by: k x (Required quantity of package x 30/delivery time (in days)). In which, 1 month = 30 days and usually k = 2.</w:t>
      </w:r>
    </w:p>
    <w:p w14:paraId="708C668F">
      <w:pPr>
        <w:widowControl w:val="0"/>
        <w:shd w:val="clear" w:color="auto" w:fill="FFFFFF"/>
        <w:spacing w:before="120" w:after="0" w:line="240" w:lineRule="auto"/>
        <w:ind w:left="1125"/>
        <w:jc w:val="both"/>
        <w:rPr>
          <w:sz w:val="26"/>
          <w:szCs w:val="26"/>
        </w:rPr>
      </w:pPr>
      <w:r>
        <w:rPr>
          <w:sz w:val="26"/>
          <w:szCs w:val="26"/>
        </w:rPr>
        <w:t>In case the Goods are manufactured by Vietnamese bidders instead of imported goods, the bidders must prove that the expected average production capacity in a month meets the requirements.</w:t>
      </w:r>
    </w:p>
    <w:p w14:paraId="708C6690">
      <w:pPr>
        <w:widowControl w:val="0"/>
        <w:shd w:val="clear" w:color="auto" w:fill="FFFFFF"/>
        <w:spacing w:before="120" w:after="0" w:line="240" w:lineRule="auto"/>
        <w:ind w:left="1134"/>
        <w:jc w:val="both"/>
        <w:rPr>
          <w:sz w:val="26"/>
          <w:szCs w:val="26"/>
        </w:rPr>
      </w:pPr>
      <w:r>
        <w:rPr>
          <w:sz w:val="26"/>
          <w:szCs w:val="26"/>
        </w:rPr>
        <w:t>In case the bidder is both the manufacturer and the supplier (some Goods offered by the bidder in the BDS are manufactured by himself, the remaining Goods are purchased by the bidder from the other manufacturers or suppliers, In addition to the declaration of production capacity, the bidder must also declare their experience in performing similar contracts according to the content specified in Item 4-Table No. 01 of this Section. The evaluation of the bidder's experience will be made on the basis of the contract for the supply of similar Goods (corresponding to the part of Goods purchased by the bidder from other manufacturers or suppliers) and the production capacity of the bidder (corresponding to the part Goods that the bidder self-produced).</w:t>
      </w:r>
    </w:p>
    <w:p w14:paraId="708C6691">
      <w:pPr>
        <w:widowControl w:val="0"/>
        <w:numPr>
          <w:ilvl w:val="0"/>
          <w:numId w:val="42"/>
        </w:numPr>
        <w:shd w:val="clear" w:color="auto" w:fill="FFFFFF"/>
        <w:spacing w:before="120" w:after="0" w:line="240" w:lineRule="auto"/>
        <w:jc w:val="both"/>
        <w:rPr>
          <w:sz w:val="26"/>
          <w:szCs w:val="26"/>
        </w:rPr>
      </w:pPr>
      <w:r>
        <w:rPr>
          <w:sz w:val="26"/>
          <w:szCs w:val="26"/>
        </w:rPr>
        <w:t>In case the bidder lacks the commitment, it will be supplemented during the evaluation of the Bids. In case the bidder fails to supplement the commitment within a reasonable period of time at the request of the Purchaser, the Bid will be deemed to have failed to meet the requirements for the ability to provide warranty, spare parts or spare parts, provide other after-sales services and will be rejected.</w:t>
      </w:r>
    </w:p>
    <w:p w14:paraId="708C6692">
      <w:pPr>
        <w:widowControl w:val="0"/>
        <w:shd w:val="clear" w:color="auto" w:fill="FFFFFF"/>
        <w:spacing w:before="120"/>
        <w:rPr>
          <w:color w:val="000000" w:themeColor="text1"/>
          <w:sz w:val="26"/>
          <w:szCs w:val="26"/>
          <w14:textFill>
            <w14:solidFill>
              <w14:schemeClr w14:val="tx1"/>
            </w14:solidFill>
          </w14:textFill>
        </w:rPr>
        <w:sectPr>
          <w:headerReference r:id="rId14" w:type="default"/>
          <w:footerReference r:id="rId15" w:type="default"/>
          <w:footnotePr>
            <w:numRestart w:val="eachPage"/>
          </w:footnotePr>
          <w:pgSz w:w="16840" w:h="11907" w:orient="landscape"/>
          <w:pgMar w:top="1134" w:right="1134" w:bottom="1134" w:left="1134" w:header="567" w:footer="567" w:gutter="0"/>
          <w:cols w:space="720" w:num="1"/>
        </w:sectPr>
      </w:pPr>
    </w:p>
    <w:p w14:paraId="708C6693">
      <w:pPr>
        <w:pStyle w:val="71"/>
        <w:widowControl w:val="0"/>
        <w:suppressAutoHyphens w:val="0"/>
        <w:spacing w:before="80" w:after="80" w:line="252" w:lineRule="auto"/>
        <w:ind w:left="0" w:right="0" w:firstLine="562"/>
        <w:jc w:val="left"/>
        <w:outlineLvl w:val="2"/>
        <w:rPr>
          <w:bCs/>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 xml:space="preserve">2.2 Evaluation criteria for key Personnel: </w:t>
      </w:r>
      <w:r>
        <w:rPr>
          <w:color w:val="000000" w:themeColor="text1"/>
          <w:sz w:val="26"/>
          <w:szCs w:val="26"/>
          <w14:textFill>
            <w14:solidFill>
              <w14:schemeClr w14:val="tx1"/>
            </w14:solidFill>
          </w14:textFill>
        </w:rPr>
        <w:t>Not applicable</w:t>
      </w:r>
    </w:p>
    <w:p w14:paraId="708C6694">
      <w:pPr>
        <w:pStyle w:val="71"/>
        <w:widowControl w:val="0"/>
        <w:suppressAutoHyphens w:val="0"/>
        <w:spacing w:before="80" w:after="80" w:line="252" w:lineRule="auto"/>
        <w:ind w:left="0" w:right="0" w:firstLine="562"/>
        <w:jc w:val="left"/>
        <w:outlineLvl w:val="2"/>
        <w:rPr>
          <w:bCs/>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3. Evaluation criteria for technical</w:t>
      </w:r>
    </w:p>
    <w:p w14:paraId="708C6695">
      <w:pPr>
        <w:widowControl w:val="0"/>
        <w:spacing w:before="40" w:after="40" w:line="288"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Based on the technical specifications and parameters stated in the BDs, the Purchaser will examine bid’s responsiveness to technical requirements under the “comply” / “not comply” criteria as follows:</w:t>
      </w:r>
    </w:p>
    <w:tbl>
      <w:tblPr>
        <w:tblStyle w:val="12"/>
        <w:tblW w:w="5159" w:type="pct"/>
        <w:tblInd w:w="-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37"/>
        <w:gridCol w:w="4109"/>
        <w:gridCol w:w="1537"/>
      </w:tblGrid>
      <w:tr w14:paraId="708C66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2" w:hRule="atLeast"/>
          <w:tblHeader/>
        </w:trPr>
        <w:tc>
          <w:tcPr>
            <w:tcW w:w="4198" w:type="pct"/>
            <w:gridSpan w:val="2"/>
            <w:vAlign w:val="center"/>
          </w:tcPr>
          <w:p w14:paraId="708C6696">
            <w:pPr>
              <w:shd w:val="clear" w:color="auto" w:fill="FFFFFF"/>
              <w:spacing w:before="40" w:after="40" w:line="240" w:lineRule="auto"/>
              <w:jc w:val="center"/>
              <w:rPr>
                <w:b/>
                <w:bCs/>
                <w:color w:val="000000" w:themeColor="text1"/>
                <w:sz w:val="26"/>
                <w:szCs w:val="26"/>
                <w:lang w:eastAsia="ja-JP"/>
                <w14:textFill>
                  <w14:solidFill>
                    <w14:schemeClr w14:val="tx1"/>
                  </w14:solidFill>
                </w14:textFill>
              </w:rPr>
            </w:pPr>
            <w:r>
              <w:rPr>
                <w:b/>
                <w:bCs/>
                <w:color w:val="000000" w:themeColor="text1"/>
                <w:sz w:val="26"/>
                <w:szCs w:val="26"/>
                <w14:textFill>
                  <w14:solidFill>
                    <w14:schemeClr w14:val="tx1"/>
                  </w14:solidFill>
                </w14:textFill>
              </w:rPr>
              <w:t>Criteria items</w:t>
            </w:r>
          </w:p>
        </w:tc>
        <w:tc>
          <w:tcPr>
            <w:tcW w:w="802" w:type="pct"/>
          </w:tcPr>
          <w:p w14:paraId="708C6697">
            <w:pPr>
              <w:shd w:val="clear" w:color="auto" w:fill="FFFFFF"/>
              <w:spacing w:before="40" w:after="40" w:line="240" w:lineRule="auto"/>
              <w:jc w:val="center"/>
              <w:rPr>
                <w:b/>
                <w:bCs/>
                <w:color w:val="000000" w:themeColor="text1"/>
                <w:sz w:val="26"/>
                <w:szCs w:val="26"/>
                <w:lang w:eastAsia="ja-JP"/>
                <w14:textFill>
                  <w14:solidFill>
                    <w14:schemeClr w14:val="tx1"/>
                  </w14:solidFill>
                </w14:textFill>
              </w:rPr>
            </w:pPr>
            <w:r>
              <w:rPr>
                <w:b/>
                <w:bCs/>
                <w:color w:val="000000" w:themeColor="text1"/>
                <w:sz w:val="26"/>
                <w:szCs w:val="26"/>
                <w14:textFill>
                  <w14:solidFill>
                    <w14:schemeClr w14:val="tx1"/>
                  </w14:solidFill>
                </w14:textFill>
              </w:rPr>
              <w:t>Using Comply, not comply criteria</w:t>
            </w:r>
          </w:p>
        </w:tc>
      </w:tr>
      <w:tr w14:paraId="708C66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000" w:type="pct"/>
            <w:gridSpan w:val="3"/>
            <w:vAlign w:val="center"/>
          </w:tcPr>
          <w:p w14:paraId="708C6699">
            <w:pPr>
              <w:shd w:val="clear" w:color="auto" w:fill="FFFFFF"/>
              <w:spacing w:before="40" w:after="40" w:line="240" w:lineRule="auto"/>
              <w:rPr>
                <w:b/>
                <w:bCs/>
                <w:sz w:val="26"/>
                <w:szCs w:val="26"/>
                <w:lang w:eastAsia="ja-JP"/>
              </w:rPr>
            </w:pPr>
            <w:r>
              <w:rPr>
                <w:b/>
                <w:bCs/>
                <w:sz w:val="26"/>
                <w:szCs w:val="26"/>
              </w:rPr>
              <w:t>1. Scope of Supply</w:t>
            </w:r>
          </w:p>
        </w:tc>
      </w:tr>
      <w:tr w14:paraId="708C6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9" w:hRule="atLeast"/>
        </w:trPr>
        <w:tc>
          <w:tcPr>
            <w:tcW w:w="2054" w:type="pct"/>
            <w:vMerge w:val="restart"/>
            <w:vAlign w:val="center"/>
          </w:tcPr>
          <w:p w14:paraId="708C669B">
            <w:pPr>
              <w:shd w:val="clear" w:color="auto" w:fill="FFFFFF"/>
              <w:spacing w:before="40" w:after="40" w:line="240" w:lineRule="auto"/>
              <w:jc w:val="both"/>
              <w:rPr>
                <w:b/>
                <w:bCs/>
                <w:sz w:val="26"/>
                <w:szCs w:val="26"/>
              </w:rPr>
            </w:pPr>
            <w:r>
              <w:rPr>
                <w:sz w:val="26"/>
                <w:szCs w:val="26"/>
              </w:rPr>
              <w:t>All goods and services as specified in Section V – Scope of supply shall be supplied by the bidder.</w:t>
            </w:r>
          </w:p>
        </w:tc>
        <w:tc>
          <w:tcPr>
            <w:tcW w:w="2144" w:type="pct"/>
            <w:vAlign w:val="center"/>
          </w:tcPr>
          <w:p w14:paraId="708C669C">
            <w:pPr>
              <w:shd w:val="clear" w:color="auto" w:fill="FFFFFF"/>
              <w:spacing w:before="40" w:after="40" w:line="240" w:lineRule="auto"/>
              <w:jc w:val="both"/>
              <w:rPr>
                <w:sz w:val="26"/>
                <w:szCs w:val="26"/>
              </w:rPr>
            </w:pPr>
            <w:r>
              <w:rPr>
                <w:sz w:val="26"/>
                <w:szCs w:val="26"/>
              </w:rPr>
              <w:t>Supply of all goods and services as specified Scope of supply are completely offered.</w:t>
            </w:r>
          </w:p>
        </w:tc>
        <w:tc>
          <w:tcPr>
            <w:tcW w:w="802" w:type="pct"/>
            <w:vAlign w:val="center"/>
          </w:tcPr>
          <w:p w14:paraId="708C669D">
            <w:pPr>
              <w:shd w:val="clear" w:color="auto" w:fill="FFFFFF"/>
              <w:spacing w:before="40" w:after="40" w:line="240" w:lineRule="auto"/>
              <w:jc w:val="center"/>
              <w:rPr>
                <w:sz w:val="26"/>
                <w:szCs w:val="26"/>
              </w:rPr>
            </w:pPr>
            <w:r>
              <w:rPr>
                <w:b/>
                <w:bCs/>
                <w:sz w:val="26"/>
                <w:szCs w:val="26"/>
              </w:rPr>
              <w:t xml:space="preserve">Comply </w:t>
            </w:r>
          </w:p>
        </w:tc>
      </w:tr>
      <w:tr w14:paraId="708C66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054" w:type="pct"/>
            <w:vMerge w:val="continue"/>
            <w:vAlign w:val="center"/>
          </w:tcPr>
          <w:p w14:paraId="708C669F">
            <w:pPr>
              <w:shd w:val="clear" w:color="auto" w:fill="FFFFFF"/>
              <w:spacing w:before="40" w:after="40" w:line="240" w:lineRule="auto"/>
              <w:rPr>
                <w:b/>
                <w:bCs/>
                <w:sz w:val="26"/>
                <w:szCs w:val="26"/>
              </w:rPr>
            </w:pPr>
          </w:p>
        </w:tc>
        <w:tc>
          <w:tcPr>
            <w:tcW w:w="2144" w:type="pct"/>
            <w:vAlign w:val="center"/>
          </w:tcPr>
          <w:p w14:paraId="708C66A0">
            <w:pPr>
              <w:shd w:val="clear" w:color="auto" w:fill="FFFFFF"/>
              <w:spacing w:before="40" w:after="40" w:line="240" w:lineRule="auto"/>
              <w:jc w:val="both"/>
              <w:rPr>
                <w:b/>
                <w:bCs/>
                <w:sz w:val="26"/>
                <w:szCs w:val="26"/>
              </w:rPr>
            </w:pPr>
            <w:r>
              <w:rPr>
                <w:sz w:val="26"/>
                <w:szCs w:val="26"/>
              </w:rPr>
              <w:t>All goods and services as specified Scope of supply are not completely offered.</w:t>
            </w:r>
          </w:p>
        </w:tc>
        <w:tc>
          <w:tcPr>
            <w:tcW w:w="802" w:type="pct"/>
            <w:vAlign w:val="center"/>
          </w:tcPr>
          <w:p w14:paraId="708C66A1">
            <w:pPr>
              <w:shd w:val="clear" w:color="auto" w:fill="FFFFFF"/>
              <w:spacing w:before="40" w:after="40" w:line="240" w:lineRule="auto"/>
              <w:jc w:val="center"/>
              <w:rPr>
                <w:sz w:val="26"/>
                <w:szCs w:val="26"/>
              </w:rPr>
            </w:pPr>
            <w:r>
              <w:rPr>
                <w:b/>
                <w:bCs/>
                <w:sz w:val="26"/>
                <w:szCs w:val="26"/>
              </w:rPr>
              <w:t>Not Comply</w:t>
            </w:r>
          </w:p>
        </w:tc>
      </w:tr>
      <w:tr w14:paraId="708C66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5000" w:type="pct"/>
            <w:gridSpan w:val="3"/>
            <w:vAlign w:val="center"/>
          </w:tcPr>
          <w:p w14:paraId="708C66A3">
            <w:pPr>
              <w:shd w:val="clear" w:color="auto" w:fill="FFFFFF"/>
              <w:spacing w:before="40" w:after="40" w:line="240" w:lineRule="auto"/>
              <w:rPr>
                <w:sz w:val="26"/>
                <w:szCs w:val="26"/>
              </w:rPr>
            </w:pPr>
            <w:r>
              <w:rPr>
                <w:b/>
                <w:bCs/>
                <w:sz w:val="26"/>
                <w:szCs w:val="26"/>
              </w:rPr>
              <w:t>2. Specifications of goods</w:t>
            </w:r>
          </w:p>
        </w:tc>
      </w:tr>
      <w:tr w14:paraId="708C66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054" w:type="pct"/>
            <w:vMerge w:val="restart"/>
            <w:vAlign w:val="center"/>
          </w:tcPr>
          <w:p w14:paraId="708C66A5">
            <w:pPr>
              <w:shd w:val="clear" w:color="auto" w:fill="FFFFFF"/>
              <w:spacing w:before="40" w:after="40" w:line="240" w:lineRule="auto"/>
              <w:jc w:val="both"/>
              <w:rPr>
                <w:b/>
                <w:bCs/>
                <w:sz w:val="26"/>
                <w:szCs w:val="26"/>
              </w:rPr>
            </w:pPr>
            <w:r>
              <w:rPr>
                <w:sz w:val="26"/>
                <w:szCs w:val="26"/>
              </w:rPr>
              <w:t>Specifications and parameters of goods, manufacture, production and technology standards, including requirements such as power, efficiency of machine or equipment; power, material or fuel loss level.</w:t>
            </w:r>
          </w:p>
        </w:tc>
        <w:tc>
          <w:tcPr>
            <w:tcW w:w="2144" w:type="pct"/>
            <w:vAlign w:val="center"/>
          </w:tcPr>
          <w:p w14:paraId="708C66A6">
            <w:pPr>
              <w:shd w:val="clear" w:color="auto" w:fill="FFFFFF"/>
              <w:spacing w:before="40" w:after="40" w:line="240" w:lineRule="auto"/>
              <w:jc w:val="both"/>
              <w:rPr>
                <w:sz w:val="26"/>
                <w:szCs w:val="26"/>
              </w:rPr>
            </w:pPr>
            <w:r>
              <w:rPr>
                <w:sz w:val="26"/>
                <w:szCs w:val="26"/>
              </w:rPr>
              <w:t>Specifications and parameters of goods, manufacture, production and technology standards completely meet all requirements in the BDs</w:t>
            </w:r>
          </w:p>
        </w:tc>
        <w:tc>
          <w:tcPr>
            <w:tcW w:w="802" w:type="pct"/>
            <w:vAlign w:val="center"/>
          </w:tcPr>
          <w:p w14:paraId="708C66A7">
            <w:pPr>
              <w:shd w:val="clear" w:color="auto" w:fill="FFFFFF"/>
              <w:spacing w:before="40" w:after="40" w:line="240" w:lineRule="auto"/>
              <w:jc w:val="center"/>
              <w:rPr>
                <w:sz w:val="26"/>
                <w:szCs w:val="26"/>
              </w:rPr>
            </w:pPr>
            <w:r>
              <w:rPr>
                <w:sz w:val="26"/>
                <w:szCs w:val="26"/>
              </w:rPr>
              <w:t>Comply</w:t>
            </w:r>
          </w:p>
        </w:tc>
      </w:tr>
      <w:tr w14:paraId="708C66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054" w:type="pct"/>
            <w:vMerge w:val="continue"/>
            <w:vAlign w:val="center"/>
          </w:tcPr>
          <w:p w14:paraId="708C66A9">
            <w:pPr>
              <w:shd w:val="clear" w:color="auto" w:fill="FFFFFF"/>
              <w:spacing w:before="40" w:after="40" w:line="240" w:lineRule="auto"/>
              <w:rPr>
                <w:b/>
                <w:bCs/>
                <w:color w:val="000000" w:themeColor="text1"/>
                <w:sz w:val="26"/>
                <w:szCs w:val="26"/>
                <w14:textFill>
                  <w14:solidFill>
                    <w14:schemeClr w14:val="tx1"/>
                  </w14:solidFill>
                </w14:textFill>
              </w:rPr>
            </w:pPr>
          </w:p>
        </w:tc>
        <w:tc>
          <w:tcPr>
            <w:tcW w:w="2144" w:type="pct"/>
            <w:vAlign w:val="center"/>
          </w:tcPr>
          <w:p w14:paraId="708C66AA">
            <w:pPr>
              <w:shd w:val="clear" w:color="auto" w:fill="FFFFFF"/>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Not having specifications and parameters of goods, manufacture, production and technology standards are appropriate and meet the requirements in the BDs</w:t>
            </w:r>
          </w:p>
        </w:tc>
        <w:tc>
          <w:tcPr>
            <w:tcW w:w="802" w:type="pct"/>
            <w:vAlign w:val="center"/>
          </w:tcPr>
          <w:p w14:paraId="708C66AB">
            <w:pPr>
              <w:shd w:val="clear" w:color="auto" w:fill="FFFFFF"/>
              <w:spacing w:before="40" w:after="4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Not Comply</w:t>
            </w:r>
          </w:p>
        </w:tc>
      </w:tr>
      <w:tr w14:paraId="708C66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4" w:hRule="atLeast"/>
        </w:trPr>
        <w:tc>
          <w:tcPr>
            <w:tcW w:w="2054" w:type="pct"/>
            <w:vMerge w:val="restart"/>
            <w:vAlign w:val="center"/>
          </w:tcPr>
          <w:p w14:paraId="708C66AD">
            <w:pPr>
              <w:shd w:val="clear" w:color="auto" w:fill="FFFFFF"/>
              <w:spacing w:before="40" w:after="40" w:line="240" w:lineRule="auto"/>
              <w:jc w:val="both"/>
              <w:rPr>
                <w:color w:val="000000" w:themeColor="text1"/>
                <w:sz w:val="26"/>
                <w:szCs w:val="26"/>
                <w:lang w:eastAsia="ja-JP"/>
                <w14:textFill>
                  <w14:solidFill>
                    <w14:schemeClr w14:val="tx1"/>
                  </w14:solidFill>
                </w14:textFill>
              </w:rPr>
            </w:pPr>
            <w:r>
              <w:rPr>
                <w:color w:val="000000" w:themeColor="text1"/>
                <w:sz w:val="26"/>
                <w:szCs w:val="26"/>
                <w14:textFill>
                  <w14:solidFill>
                    <w14:schemeClr w14:val="tx1"/>
                  </w14:solidFill>
                </w14:textFill>
              </w:rPr>
              <w:t>Type test reports for proving technical responsiveness of the offered equipment and materials</w:t>
            </w:r>
          </w:p>
        </w:tc>
        <w:tc>
          <w:tcPr>
            <w:tcW w:w="2144" w:type="pct"/>
            <w:vAlign w:val="center"/>
          </w:tcPr>
          <w:p w14:paraId="708C66AE">
            <w:pPr>
              <w:shd w:val="clear" w:color="auto" w:fill="FFFFFF"/>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reports meet the requirements</w:t>
            </w:r>
          </w:p>
        </w:tc>
        <w:tc>
          <w:tcPr>
            <w:tcW w:w="802" w:type="pct"/>
            <w:vAlign w:val="center"/>
          </w:tcPr>
          <w:p w14:paraId="708C66AF">
            <w:pPr>
              <w:shd w:val="clear" w:color="auto" w:fill="FFFFFF"/>
              <w:spacing w:before="40" w:after="40" w:line="240" w:lineRule="auto"/>
              <w:jc w:val="center"/>
              <w:rPr>
                <w:color w:val="000000" w:themeColor="text1"/>
                <w:sz w:val="26"/>
                <w:szCs w:val="26"/>
                <w:lang w:eastAsia="ja-JP"/>
                <w14:textFill>
                  <w14:solidFill>
                    <w14:schemeClr w14:val="tx1"/>
                  </w14:solidFill>
                </w14:textFill>
              </w:rPr>
            </w:pPr>
            <w:r>
              <w:rPr>
                <w:color w:val="000000" w:themeColor="text1"/>
                <w:sz w:val="26"/>
                <w:szCs w:val="26"/>
                <w14:textFill>
                  <w14:solidFill>
                    <w14:schemeClr w14:val="tx1"/>
                  </w14:solidFill>
                </w14:textFill>
              </w:rPr>
              <w:t xml:space="preserve">Comply </w:t>
            </w:r>
          </w:p>
        </w:tc>
      </w:tr>
      <w:tr w14:paraId="708C66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6" w:hRule="atLeast"/>
        </w:trPr>
        <w:tc>
          <w:tcPr>
            <w:tcW w:w="2054" w:type="pct"/>
            <w:vMerge w:val="continue"/>
            <w:vAlign w:val="center"/>
          </w:tcPr>
          <w:p w14:paraId="708C66B1">
            <w:pPr>
              <w:shd w:val="clear" w:color="auto" w:fill="FFFFFF"/>
              <w:spacing w:before="40" w:after="40" w:line="240" w:lineRule="auto"/>
              <w:jc w:val="both"/>
              <w:rPr>
                <w:color w:val="000000" w:themeColor="text1"/>
                <w:sz w:val="26"/>
                <w:szCs w:val="26"/>
                <w:lang w:eastAsia="ja-JP"/>
                <w14:textFill>
                  <w14:solidFill>
                    <w14:schemeClr w14:val="tx1"/>
                  </w14:solidFill>
                </w14:textFill>
              </w:rPr>
            </w:pPr>
          </w:p>
        </w:tc>
        <w:tc>
          <w:tcPr>
            <w:tcW w:w="2144" w:type="pct"/>
            <w:vAlign w:val="center"/>
          </w:tcPr>
          <w:p w14:paraId="708C66B2">
            <w:pPr>
              <w:shd w:val="clear" w:color="auto" w:fill="FFFFFF"/>
              <w:spacing w:before="40" w:after="40" w:line="240" w:lineRule="auto"/>
              <w:jc w:val="both"/>
              <w:rPr>
                <w:color w:val="000000" w:themeColor="text1"/>
                <w:sz w:val="26"/>
                <w:szCs w:val="26"/>
                <w:lang w:eastAsia="ja-JP"/>
                <w14:textFill>
                  <w14:solidFill>
                    <w14:schemeClr w14:val="tx1"/>
                  </w14:solidFill>
                </w14:textFill>
              </w:rPr>
            </w:pPr>
            <w:r>
              <w:rPr>
                <w:color w:val="000000" w:themeColor="text1"/>
                <w:sz w:val="26"/>
                <w:szCs w:val="26"/>
                <w:lang w:val="vi-VN"/>
                <w14:textFill>
                  <w14:solidFill>
                    <w14:schemeClr w14:val="tx1"/>
                  </w14:solidFill>
                </w14:textFill>
              </w:rPr>
              <w:t>Failed to supply</w:t>
            </w:r>
            <w:r>
              <w:rPr>
                <w:color w:val="000000" w:themeColor="text1"/>
                <w:sz w:val="26"/>
                <w:szCs w:val="26"/>
                <w14:textFill>
                  <w14:solidFill>
                    <w14:schemeClr w14:val="tx1"/>
                  </w14:solidFill>
                </w14:textFill>
              </w:rPr>
              <w:t xml:space="preserve"> or the reports fail to prove technical responsiveness of the offered equipment and materials</w:t>
            </w:r>
          </w:p>
        </w:tc>
        <w:tc>
          <w:tcPr>
            <w:tcW w:w="802" w:type="pct"/>
            <w:vAlign w:val="center"/>
          </w:tcPr>
          <w:p w14:paraId="708C66B3">
            <w:pPr>
              <w:shd w:val="clear" w:color="auto" w:fill="FFFFFF"/>
              <w:spacing w:before="40" w:after="40" w:line="240" w:lineRule="auto"/>
              <w:jc w:val="center"/>
              <w:rPr>
                <w:color w:val="000000" w:themeColor="text1"/>
                <w:sz w:val="26"/>
                <w:szCs w:val="26"/>
                <w:lang w:eastAsia="ja-JP"/>
                <w14:textFill>
                  <w14:solidFill>
                    <w14:schemeClr w14:val="tx1"/>
                  </w14:solidFill>
                </w14:textFill>
              </w:rPr>
            </w:pPr>
            <w:r>
              <w:rPr>
                <w:color w:val="000000" w:themeColor="text1"/>
                <w:sz w:val="26"/>
                <w:szCs w:val="26"/>
                <w14:textFill>
                  <w14:solidFill>
                    <w14:schemeClr w14:val="tx1"/>
                  </w14:solidFill>
                </w14:textFill>
              </w:rPr>
              <w:t>Not Comply</w:t>
            </w:r>
          </w:p>
        </w:tc>
      </w:tr>
      <w:tr w14:paraId="708C66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trPr>
        <w:tc>
          <w:tcPr>
            <w:tcW w:w="5000" w:type="pct"/>
            <w:gridSpan w:val="3"/>
            <w:vAlign w:val="center"/>
          </w:tcPr>
          <w:p w14:paraId="708C66B5">
            <w:pPr>
              <w:shd w:val="clear" w:color="auto" w:fill="FFFFFF"/>
              <w:spacing w:before="40" w:after="40" w:line="240" w:lineRule="auto"/>
              <w:rPr>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3. Technical solutions, supply and services of goods</w:t>
            </w:r>
          </w:p>
        </w:tc>
      </w:tr>
      <w:tr w14:paraId="708C66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6" w:hRule="atLeast"/>
        </w:trPr>
        <w:tc>
          <w:tcPr>
            <w:tcW w:w="2054" w:type="pct"/>
            <w:vMerge w:val="restart"/>
            <w:vAlign w:val="center"/>
          </w:tcPr>
          <w:p w14:paraId="708C66B7">
            <w:pPr>
              <w:shd w:val="clear" w:color="auto" w:fill="FFFFFF"/>
              <w:spacing w:before="40" w:after="40" w:line="240" w:lineRule="auto"/>
              <w:jc w:val="both"/>
              <w:rPr>
                <w:color w:val="000000" w:themeColor="text1"/>
                <w:sz w:val="26"/>
                <w:szCs w:val="26"/>
                <w:lang w:eastAsia="ja-JP"/>
                <w14:textFill>
                  <w14:solidFill>
                    <w14:schemeClr w14:val="tx1"/>
                  </w14:solidFill>
                </w14:textFill>
              </w:rPr>
            </w:pPr>
            <w:r>
              <w:rPr>
                <w:color w:val="000000" w:themeColor="text1"/>
                <w:sz w:val="26"/>
                <w:szCs w:val="26"/>
                <w14:textFill>
                  <w14:solidFill>
                    <w14:schemeClr w14:val="tx1"/>
                  </w14:solidFill>
                </w14:textFill>
              </w:rPr>
              <w:t>Technical solutions, organizational measures to implement inland transportation and related services.</w:t>
            </w:r>
          </w:p>
        </w:tc>
        <w:tc>
          <w:tcPr>
            <w:tcW w:w="2144" w:type="pct"/>
            <w:vAlign w:val="center"/>
          </w:tcPr>
          <w:p w14:paraId="708C66B8">
            <w:pPr>
              <w:spacing w:before="40" w:after="40"/>
              <w:jc w:val="both"/>
              <w:rPr>
                <w:color w:val="000000" w:themeColor="text1"/>
                <w:sz w:val="26"/>
                <w:szCs w:val="26"/>
                <w14:textFill>
                  <w14:solidFill>
                    <w14:schemeClr w14:val="tx1"/>
                  </w14:solidFill>
                </w14:textFill>
              </w:rPr>
            </w:pPr>
            <w:r>
              <w:rPr>
                <w:color w:val="000000" w:themeColor="text1"/>
                <w:sz w:val="26"/>
                <w:szCs w:val="24"/>
                <w14:textFill>
                  <w14:solidFill>
                    <w14:schemeClr w14:val="tx1"/>
                  </w14:solidFill>
                </w14:textFill>
              </w:rPr>
              <w:t>Having technical solutions and measures to organize the supply of goods that are reasonable and economically efficient.</w:t>
            </w:r>
          </w:p>
        </w:tc>
        <w:tc>
          <w:tcPr>
            <w:tcW w:w="802" w:type="pct"/>
            <w:vAlign w:val="center"/>
          </w:tcPr>
          <w:p w14:paraId="708C66B9">
            <w:pPr>
              <w:shd w:val="clear" w:color="auto" w:fill="FFFFFF"/>
              <w:spacing w:before="40" w:after="40" w:line="240" w:lineRule="auto"/>
              <w:jc w:val="center"/>
              <w:rPr>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xml:space="preserve">Comply </w:t>
            </w:r>
          </w:p>
        </w:tc>
      </w:tr>
      <w:tr w14:paraId="708C66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6" w:hRule="atLeast"/>
        </w:trPr>
        <w:tc>
          <w:tcPr>
            <w:tcW w:w="2054" w:type="pct"/>
            <w:vMerge w:val="continue"/>
            <w:vAlign w:val="center"/>
          </w:tcPr>
          <w:p w14:paraId="708C66BB">
            <w:pPr>
              <w:shd w:val="clear" w:color="auto" w:fill="FFFFFF"/>
              <w:spacing w:before="40" w:after="40" w:line="240" w:lineRule="auto"/>
              <w:jc w:val="both"/>
              <w:rPr>
                <w:color w:val="FF0000"/>
                <w:sz w:val="26"/>
                <w:szCs w:val="26"/>
                <w:lang w:eastAsia="ja-JP"/>
              </w:rPr>
            </w:pPr>
          </w:p>
        </w:tc>
        <w:tc>
          <w:tcPr>
            <w:tcW w:w="2144" w:type="pct"/>
            <w:vAlign w:val="center"/>
          </w:tcPr>
          <w:p w14:paraId="708C66BC">
            <w:pPr>
              <w:shd w:val="clear" w:color="auto" w:fill="FFFFFF"/>
              <w:spacing w:before="40" w:after="40" w:line="240" w:lineRule="auto"/>
              <w:jc w:val="both"/>
              <w:rPr>
                <w:color w:val="000000" w:themeColor="text1"/>
                <w:sz w:val="26"/>
                <w:szCs w:val="26"/>
                <w:lang w:val="vi-VN"/>
                <w14:textFill>
                  <w14:solidFill>
                    <w14:schemeClr w14:val="tx1"/>
                  </w14:solidFill>
                </w14:textFill>
              </w:rPr>
            </w:pPr>
            <w:r>
              <w:rPr>
                <w:color w:val="000000" w:themeColor="text1"/>
                <w:sz w:val="26"/>
                <w:szCs w:val="24"/>
                <w14:textFill>
                  <w14:solidFill>
                    <w14:schemeClr w14:val="tx1"/>
                  </w14:solidFill>
                </w14:textFill>
              </w:rPr>
              <w:t>Not having technical solutions and measures to organize the supply of goods that are reasonable and economically efficient.</w:t>
            </w:r>
          </w:p>
        </w:tc>
        <w:tc>
          <w:tcPr>
            <w:tcW w:w="802" w:type="pct"/>
            <w:vAlign w:val="center"/>
          </w:tcPr>
          <w:p w14:paraId="708C66BD">
            <w:pPr>
              <w:shd w:val="clear" w:color="auto" w:fill="FFFFFF"/>
              <w:spacing w:before="40" w:after="40" w:line="240" w:lineRule="auto"/>
              <w:jc w:val="center"/>
              <w:rPr>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Not Comply</w:t>
            </w:r>
          </w:p>
        </w:tc>
      </w:tr>
      <w:tr w14:paraId="708C66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 w:hRule="atLeast"/>
        </w:trPr>
        <w:tc>
          <w:tcPr>
            <w:tcW w:w="5000" w:type="pct"/>
            <w:gridSpan w:val="3"/>
            <w:vAlign w:val="center"/>
          </w:tcPr>
          <w:p w14:paraId="708C66BF">
            <w:pPr>
              <w:shd w:val="clear" w:color="auto" w:fill="FFFFFF"/>
              <w:spacing w:before="40" w:after="40" w:line="240" w:lineRule="auto"/>
              <w:rPr>
                <w:b/>
                <w:bCs/>
                <w:color w:val="000000" w:themeColor="text1"/>
                <w:sz w:val="26"/>
                <w:szCs w:val="26"/>
                <w:lang w:eastAsia="ja-JP"/>
                <w14:textFill>
                  <w14:solidFill>
                    <w14:schemeClr w14:val="tx1"/>
                  </w14:solidFill>
                </w14:textFill>
              </w:rPr>
            </w:pPr>
            <w:r>
              <w:rPr>
                <w:b/>
                <w:bCs/>
                <w:color w:val="000000" w:themeColor="text1"/>
                <w:sz w:val="26"/>
                <w:szCs w:val="26"/>
                <w14:textFill>
                  <w14:solidFill>
                    <w14:schemeClr w14:val="tx1"/>
                  </w14:solidFill>
                </w14:textFill>
              </w:rPr>
              <w:t>4. Time for package performance</w:t>
            </w:r>
          </w:p>
        </w:tc>
      </w:tr>
      <w:tr w14:paraId="708C66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7" w:hRule="atLeast"/>
        </w:trPr>
        <w:tc>
          <w:tcPr>
            <w:tcW w:w="2054" w:type="pct"/>
            <w:vMerge w:val="restart"/>
            <w:vAlign w:val="center"/>
          </w:tcPr>
          <w:p w14:paraId="708C66C1">
            <w:pPr>
              <w:shd w:val="clear" w:color="auto" w:fill="FFFFFF"/>
              <w:spacing w:before="40" w:after="40" w:line="240" w:lineRule="auto"/>
              <w:jc w:val="both"/>
              <w:rPr>
                <w:color w:val="000000" w:themeColor="text1"/>
                <w:sz w:val="26"/>
                <w:szCs w:val="26"/>
                <w:lang w:eastAsia="ja-JP"/>
                <w14:textFill>
                  <w14:solidFill>
                    <w14:schemeClr w14:val="tx1"/>
                  </w14:solidFill>
                </w14:textFill>
              </w:rPr>
            </w:pPr>
            <w:r>
              <w:rPr>
                <w:color w:val="000000" w:themeColor="text1"/>
                <w:sz w:val="26"/>
                <w:szCs w:val="26"/>
                <w14:textFill>
                  <w14:solidFill>
                    <w14:schemeClr w14:val="tx1"/>
                  </w14:solidFill>
                </w14:textFill>
              </w:rPr>
              <w:t>Reasonable and feasible table of delivery schedule which meet the Bid and requirements in the BDs.</w:t>
            </w:r>
          </w:p>
        </w:tc>
        <w:tc>
          <w:tcPr>
            <w:tcW w:w="2144" w:type="pct"/>
            <w:tcBorders>
              <w:top w:val="single" w:color="auto" w:sz="4" w:space="0"/>
              <w:bottom w:val="single" w:color="auto" w:sz="4" w:space="0"/>
            </w:tcBorders>
            <w:vAlign w:val="center"/>
          </w:tcPr>
          <w:p w14:paraId="708C66C2">
            <w:pPr>
              <w:shd w:val="clear" w:color="auto" w:fill="FFFFFF"/>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Table of delivery schedule is reasonable, feasible and meets the Bid and requirements in the BDs.</w:t>
            </w:r>
          </w:p>
        </w:tc>
        <w:tc>
          <w:tcPr>
            <w:tcW w:w="802" w:type="pct"/>
            <w:tcBorders>
              <w:top w:val="single" w:color="auto" w:sz="4" w:space="0"/>
              <w:bottom w:val="single" w:color="auto" w:sz="4" w:space="0"/>
            </w:tcBorders>
            <w:vAlign w:val="center"/>
          </w:tcPr>
          <w:p w14:paraId="708C66C3">
            <w:pPr>
              <w:shd w:val="clear" w:color="auto" w:fill="FFFFFF"/>
              <w:spacing w:before="40" w:after="40" w:line="240" w:lineRule="auto"/>
              <w:jc w:val="center"/>
              <w:rPr>
                <w:color w:val="000000" w:themeColor="text1"/>
                <w:sz w:val="26"/>
                <w:szCs w:val="26"/>
                <w:lang w:eastAsia="ja-JP"/>
                <w14:textFill>
                  <w14:solidFill>
                    <w14:schemeClr w14:val="tx1"/>
                  </w14:solidFill>
                </w14:textFill>
              </w:rPr>
            </w:pPr>
            <w:r>
              <w:rPr>
                <w:color w:val="000000" w:themeColor="text1"/>
                <w:sz w:val="26"/>
                <w:szCs w:val="26"/>
                <w14:textFill>
                  <w14:solidFill>
                    <w14:schemeClr w14:val="tx1"/>
                  </w14:solidFill>
                </w14:textFill>
              </w:rPr>
              <w:t xml:space="preserve">Comply </w:t>
            </w:r>
          </w:p>
        </w:tc>
      </w:tr>
      <w:tr w14:paraId="708C66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8" w:hRule="atLeast"/>
        </w:trPr>
        <w:tc>
          <w:tcPr>
            <w:tcW w:w="2054" w:type="pct"/>
            <w:vMerge w:val="continue"/>
            <w:vAlign w:val="center"/>
          </w:tcPr>
          <w:p w14:paraId="708C66C5">
            <w:pPr>
              <w:shd w:val="clear" w:color="auto" w:fill="FFFFFF"/>
              <w:spacing w:before="40" w:after="40" w:line="240" w:lineRule="auto"/>
              <w:jc w:val="both"/>
              <w:rPr>
                <w:color w:val="000000" w:themeColor="text1"/>
                <w:sz w:val="26"/>
                <w:szCs w:val="26"/>
                <w:lang w:eastAsia="ja-JP"/>
                <w14:textFill>
                  <w14:solidFill>
                    <w14:schemeClr w14:val="tx1"/>
                  </w14:solidFill>
                </w14:textFill>
              </w:rPr>
            </w:pPr>
          </w:p>
        </w:tc>
        <w:tc>
          <w:tcPr>
            <w:tcW w:w="2144" w:type="pct"/>
            <w:tcBorders>
              <w:top w:val="single" w:color="auto" w:sz="4" w:space="0"/>
              <w:bottom w:val="single" w:color="auto" w:sz="4" w:space="0"/>
            </w:tcBorders>
            <w:vAlign w:val="center"/>
          </w:tcPr>
          <w:p w14:paraId="708C66C6">
            <w:pPr>
              <w:shd w:val="clear" w:color="auto" w:fill="FFFFFF"/>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No table of delivery schedule; or table of delivery schedule is not reasonable, feasible or appropriate with the Bid.</w:t>
            </w:r>
          </w:p>
        </w:tc>
        <w:tc>
          <w:tcPr>
            <w:tcW w:w="802" w:type="pct"/>
            <w:tcBorders>
              <w:top w:val="single" w:color="auto" w:sz="4" w:space="0"/>
              <w:bottom w:val="single" w:color="auto" w:sz="4" w:space="0"/>
            </w:tcBorders>
            <w:vAlign w:val="center"/>
          </w:tcPr>
          <w:p w14:paraId="708C66C7">
            <w:pPr>
              <w:shd w:val="clear" w:color="auto" w:fill="FFFFFF"/>
              <w:spacing w:before="40" w:after="40" w:line="240" w:lineRule="auto"/>
              <w:jc w:val="center"/>
              <w:rPr>
                <w:color w:val="000000" w:themeColor="text1"/>
                <w:sz w:val="26"/>
                <w:szCs w:val="26"/>
                <w:lang w:eastAsia="ja-JP"/>
                <w14:textFill>
                  <w14:solidFill>
                    <w14:schemeClr w14:val="tx1"/>
                  </w14:solidFill>
                </w14:textFill>
              </w:rPr>
            </w:pPr>
            <w:r>
              <w:rPr>
                <w:color w:val="000000" w:themeColor="text1"/>
                <w:sz w:val="26"/>
                <w:szCs w:val="26"/>
                <w14:textFill>
                  <w14:solidFill>
                    <w14:schemeClr w14:val="tx1"/>
                  </w14:solidFill>
                </w14:textFill>
              </w:rPr>
              <w:t>Not Comply</w:t>
            </w:r>
          </w:p>
        </w:tc>
      </w:tr>
      <w:tr w14:paraId="708C66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 w:hRule="atLeast"/>
        </w:trPr>
        <w:tc>
          <w:tcPr>
            <w:tcW w:w="5000" w:type="pct"/>
            <w:gridSpan w:val="3"/>
            <w:vAlign w:val="center"/>
          </w:tcPr>
          <w:p w14:paraId="708C66C9">
            <w:pPr>
              <w:shd w:val="clear" w:color="auto" w:fill="FFFFFF"/>
              <w:spacing w:before="40" w:after="40" w:line="240" w:lineRule="auto"/>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5. Factors in commercial terms, contract implementation period</w:t>
            </w:r>
          </w:p>
        </w:tc>
      </w:tr>
      <w:tr w14:paraId="708C66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2054" w:type="pct"/>
            <w:vMerge w:val="restart"/>
            <w:vAlign w:val="center"/>
          </w:tcPr>
          <w:p w14:paraId="708C66CB">
            <w:pPr>
              <w:shd w:val="clear" w:color="auto" w:fill="FFFFFF"/>
              <w:spacing w:before="40" w:after="40" w:line="240" w:lineRule="auto"/>
              <w:jc w:val="both"/>
              <w:rPr>
                <w:color w:val="000000" w:themeColor="text1"/>
                <w:sz w:val="26"/>
                <w:szCs w:val="26"/>
                <w:lang w:eastAsia="ja-JP"/>
                <w14:textFill>
                  <w14:solidFill>
                    <w14:schemeClr w14:val="tx1"/>
                  </w14:solidFill>
                </w14:textFill>
              </w:rPr>
            </w:pPr>
            <w:r>
              <w:rPr>
                <w:color w:val="000000" w:themeColor="text1"/>
                <w:sz w:val="26"/>
                <w:szCs w:val="26"/>
                <w14:textFill>
                  <w14:solidFill>
                    <w14:schemeClr w14:val="tx1"/>
                  </w14:solidFill>
                </w14:textFill>
              </w:rPr>
              <w:t>Commercial terms, contract implementation period are reasonable, feasible, appropriate with the requirements for delivery schedule.</w:t>
            </w:r>
          </w:p>
        </w:tc>
        <w:tc>
          <w:tcPr>
            <w:tcW w:w="2144" w:type="pct"/>
            <w:tcBorders>
              <w:top w:val="single" w:color="auto" w:sz="4" w:space="0"/>
              <w:bottom w:val="single" w:color="auto" w:sz="4" w:space="0"/>
            </w:tcBorders>
          </w:tcPr>
          <w:p w14:paraId="708C66CC">
            <w:pPr>
              <w:shd w:val="clear" w:color="auto" w:fill="FFFFFF"/>
              <w:spacing w:before="40" w:after="40" w:line="240" w:lineRule="auto"/>
              <w:jc w:val="both"/>
              <w:rPr>
                <w:color w:val="000000" w:themeColor="text1"/>
                <w:sz w:val="26"/>
                <w:szCs w:val="26"/>
                <w:lang w:eastAsia="ja-JP"/>
                <w14:textFill>
                  <w14:solidFill>
                    <w14:schemeClr w14:val="tx1"/>
                  </w14:solidFill>
                </w14:textFill>
              </w:rPr>
            </w:pPr>
            <w:r>
              <w:rPr>
                <w:color w:val="000000" w:themeColor="text1"/>
                <w:sz w:val="26"/>
                <w:szCs w:val="26"/>
                <w14:textFill>
                  <w14:solidFill>
                    <w14:schemeClr w14:val="tx1"/>
                  </w14:solidFill>
                </w14:textFill>
              </w:rPr>
              <w:t>Commercial terms, contract implementation period are reasonable, feasible and appropriate with the requirements for delivery schedule.</w:t>
            </w:r>
          </w:p>
        </w:tc>
        <w:tc>
          <w:tcPr>
            <w:tcW w:w="802" w:type="pct"/>
            <w:tcBorders>
              <w:top w:val="single" w:color="auto" w:sz="4" w:space="0"/>
              <w:bottom w:val="single" w:color="auto" w:sz="4" w:space="0"/>
            </w:tcBorders>
            <w:vAlign w:val="center"/>
          </w:tcPr>
          <w:p w14:paraId="708C66CD">
            <w:pPr>
              <w:shd w:val="clear" w:color="auto" w:fill="FFFFFF"/>
              <w:spacing w:before="40" w:after="40" w:line="240" w:lineRule="auto"/>
              <w:jc w:val="center"/>
              <w:rPr>
                <w:color w:val="000000" w:themeColor="text1"/>
                <w:sz w:val="26"/>
                <w:szCs w:val="26"/>
                <w:lang w:eastAsia="ja-JP"/>
                <w14:textFill>
                  <w14:solidFill>
                    <w14:schemeClr w14:val="tx1"/>
                  </w14:solidFill>
                </w14:textFill>
              </w:rPr>
            </w:pPr>
            <w:r>
              <w:rPr>
                <w:color w:val="000000" w:themeColor="text1"/>
                <w:sz w:val="26"/>
                <w:szCs w:val="26"/>
                <w14:textFill>
                  <w14:solidFill>
                    <w14:schemeClr w14:val="tx1"/>
                  </w14:solidFill>
                </w14:textFill>
              </w:rPr>
              <w:t xml:space="preserve">Comply </w:t>
            </w:r>
          </w:p>
        </w:tc>
      </w:tr>
      <w:tr w14:paraId="708C66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97" w:hRule="atLeast"/>
        </w:trPr>
        <w:tc>
          <w:tcPr>
            <w:tcW w:w="2054" w:type="pct"/>
            <w:vMerge w:val="continue"/>
            <w:vAlign w:val="center"/>
          </w:tcPr>
          <w:p w14:paraId="708C66CF">
            <w:pPr>
              <w:shd w:val="clear" w:color="auto" w:fill="FFFFFF"/>
              <w:spacing w:before="40" w:after="40" w:line="240" w:lineRule="auto"/>
              <w:jc w:val="both"/>
              <w:rPr>
                <w:color w:val="000000" w:themeColor="text1"/>
                <w:sz w:val="26"/>
                <w:szCs w:val="26"/>
                <w:lang w:eastAsia="ja-JP"/>
                <w14:textFill>
                  <w14:solidFill>
                    <w14:schemeClr w14:val="tx1"/>
                  </w14:solidFill>
                </w14:textFill>
              </w:rPr>
            </w:pPr>
          </w:p>
        </w:tc>
        <w:tc>
          <w:tcPr>
            <w:tcW w:w="2144" w:type="pct"/>
            <w:tcBorders>
              <w:top w:val="single" w:color="auto" w:sz="4" w:space="0"/>
              <w:bottom w:val="single" w:color="auto" w:sz="4" w:space="0"/>
            </w:tcBorders>
          </w:tcPr>
          <w:p w14:paraId="708C66D0">
            <w:pPr>
              <w:shd w:val="clear" w:color="auto" w:fill="FFFFFF"/>
              <w:spacing w:before="40" w:after="40" w:line="240" w:lineRule="auto"/>
              <w:jc w:val="both"/>
              <w:rPr>
                <w:color w:val="000000" w:themeColor="text1"/>
                <w:sz w:val="26"/>
                <w:szCs w:val="26"/>
                <w:lang w:eastAsia="ja-JP"/>
                <w14:textFill>
                  <w14:solidFill>
                    <w14:schemeClr w14:val="tx1"/>
                  </w14:solidFill>
                </w14:textFill>
              </w:rPr>
            </w:pPr>
            <w:r>
              <w:rPr>
                <w:color w:val="000000" w:themeColor="text1"/>
                <w:sz w:val="26"/>
                <w:szCs w:val="26"/>
                <w14:textFill>
                  <w14:solidFill>
                    <w14:schemeClr w14:val="tx1"/>
                  </w14:solidFill>
                </w14:textFill>
              </w:rPr>
              <w:t>Commercial terms, contract implementation period are not reasonable, feasible and appropriate with the requirements for delivery schedule.</w:t>
            </w:r>
          </w:p>
        </w:tc>
        <w:tc>
          <w:tcPr>
            <w:tcW w:w="802" w:type="pct"/>
            <w:tcBorders>
              <w:top w:val="single" w:color="auto" w:sz="4" w:space="0"/>
              <w:bottom w:val="single" w:color="auto" w:sz="4" w:space="0"/>
            </w:tcBorders>
            <w:vAlign w:val="center"/>
          </w:tcPr>
          <w:p w14:paraId="708C66D1">
            <w:pPr>
              <w:shd w:val="clear" w:color="auto" w:fill="FFFFFF"/>
              <w:spacing w:before="40" w:after="40" w:line="240" w:lineRule="auto"/>
              <w:jc w:val="center"/>
              <w:rPr>
                <w:color w:val="000000" w:themeColor="text1"/>
                <w:sz w:val="26"/>
                <w:szCs w:val="26"/>
                <w:lang w:eastAsia="ja-JP"/>
                <w14:textFill>
                  <w14:solidFill>
                    <w14:schemeClr w14:val="tx1"/>
                  </w14:solidFill>
                </w14:textFill>
              </w:rPr>
            </w:pPr>
            <w:r>
              <w:rPr>
                <w:color w:val="000000" w:themeColor="text1"/>
                <w:sz w:val="26"/>
                <w:szCs w:val="26"/>
                <w14:textFill>
                  <w14:solidFill>
                    <w14:schemeClr w14:val="tx1"/>
                  </w14:solidFill>
                </w14:textFill>
              </w:rPr>
              <w:t>Not Comply</w:t>
            </w:r>
          </w:p>
        </w:tc>
      </w:tr>
      <w:tr w14:paraId="708C66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 w:hRule="atLeast"/>
        </w:trPr>
        <w:tc>
          <w:tcPr>
            <w:tcW w:w="5000" w:type="pct"/>
            <w:gridSpan w:val="3"/>
            <w:vAlign w:val="center"/>
          </w:tcPr>
          <w:p w14:paraId="708C66D3">
            <w:pPr>
              <w:shd w:val="clear" w:color="auto" w:fill="FFFFFF"/>
              <w:spacing w:before="40" w:after="40" w:line="240" w:lineRule="auto"/>
              <w:rPr>
                <w:color w:val="000000" w:themeColor="text1"/>
                <w:sz w:val="26"/>
                <w:szCs w:val="26"/>
                <w14:textFill>
                  <w14:solidFill>
                    <w14:schemeClr w14:val="tx1"/>
                  </w14:solidFill>
                </w14:textFill>
              </w:rPr>
            </w:pPr>
            <w:r>
              <w:rPr>
                <w:b/>
                <w:bCs/>
                <w:sz w:val="26"/>
                <w:szCs w:val="26"/>
              </w:rPr>
              <w:t>6. Adaptability and impact on the environment</w:t>
            </w:r>
          </w:p>
        </w:tc>
      </w:tr>
      <w:tr w14:paraId="708C66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 w:hRule="atLeast"/>
        </w:trPr>
        <w:tc>
          <w:tcPr>
            <w:tcW w:w="5000" w:type="pct"/>
            <w:gridSpan w:val="3"/>
            <w:vAlign w:val="center"/>
          </w:tcPr>
          <w:p w14:paraId="708C66D5">
            <w:pPr>
              <w:shd w:val="clear" w:color="auto" w:fill="FFFFFF"/>
              <w:spacing w:before="40" w:after="40" w:line="240" w:lineRule="auto"/>
              <w:rPr>
                <w:color w:val="000000" w:themeColor="text1"/>
                <w:sz w:val="26"/>
                <w:szCs w:val="26"/>
                <w14:textFill>
                  <w14:solidFill>
                    <w14:schemeClr w14:val="tx1"/>
                  </w14:solidFill>
                </w14:textFill>
              </w:rPr>
            </w:pPr>
            <w:r>
              <w:rPr>
                <w:b/>
                <w:bCs/>
                <w:sz w:val="26"/>
                <w:szCs w:val="26"/>
              </w:rPr>
              <w:t>6.1. Geographical adaptability</w:t>
            </w:r>
          </w:p>
        </w:tc>
      </w:tr>
      <w:tr w14:paraId="708C66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 w:hRule="atLeast"/>
        </w:trPr>
        <w:tc>
          <w:tcPr>
            <w:tcW w:w="2054" w:type="pct"/>
            <w:vMerge w:val="restart"/>
            <w:vAlign w:val="center"/>
          </w:tcPr>
          <w:p w14:paraId="708C66D7">
            <w:pPr>
              <w:shd w:val="clear" w:color="auto" w:fill="FFFFFF"/>
              <w:spacing w:before="40" w:after="40" w:line="240" w:lineRule="auto"/>
              <w:jc w:val="both"/>
              <w:rPr>
                <w:color w:val="000000" w:themeColor="text1"/>
                <w:sz w:val="26"/>
                <w:szCs w:val="26"/>
                <w:lang w:eastAsia="ja-JP"/>
                <w14:textFill>
                  <w14:solidFill>
                    <w14:schemeClr w14:val="tx1"/>
                  </w14:solidFill>
                </w14:textFill>
              </w:rPr>
            </w:pPr>
            <w:r>
              <w:rPr>
                <w:sz w:val="26"/>
                <w:szCs w:val="26"/>
              </w:rPr>
              <w:t>Geographical adaptability.</w:t>
            </w:r>
          </w:p>
        </w:tc>
        <w:tc>
          <w:tcPr>
            <w:tcW w:w="2144" w:type="pct"/>
            <w:tcBorders>
              <w:top w:val="single" w:color="auto" w:sz="4" w:space="0"/>
              <w:bottom w:val="single" w:color="auto" w:sz="4" w:space="0"/>
            </w:tcBorders>
            <w:vAlign w:val="center"/>
          </w:tcPr>
          <w:p w14:paraId="708C66D8">
            <w:pPr>
              <w:shd w:val="clear" w:color="auto" w:fill="FFFFFF"/>
              <w:spacing w:before="40" w:after="40" w:line="240" w:lineRule="auto"/>
              <w:jc w:val="both"/>
              <w:rPr>
                <w:color w:val="000000" w:themeColor="text1"/>
                <w:sz w:val="26"/>
                <w:szCs w:val="26"/>
                <w14:textFill>
                  <w14:solidFill>
                    <w14:schemeClr w14:val="tx1"/>
                  </w14:solidFill>
                </w14:textFill>
              </w:rPr>
            </w:pPr>
            <w:r>
              <w:rPr>
                <w:sz w:val="26"/>
                <w:szCs w:val="26"/>
              </w:rPr>
              <w:t xml:space="preserve">Supplied goods are completely geographically adaptable. </w:t>
            </w:r>
          </w:p>
        </w:tc>
        <w:tc>
          <w:tcPr>
            <w:tcW w:w="802" w:type="pct"/>
            <w:tcBorders>
              <w:top w:val="single" w:color="auto" w:sz="4" w:space="0"/>
              <w:bottom w:val="single" w:color="auto" w:sz="4" w:space="0"/>
            </w:tcBorders>
            <w:vAlign w:val="center"/>
          </w:tcPr>
          <w:p w14:paraId="708C66D9">
            <w:pPr>
              <w:shd w:val="clear" w:color="auto" w:fill="FFFFFF"/>
              <w:spacing w:before="40" w:after="40" w:line="240" w:lineRule="auto"/>
              <w:jc w:val="center"/>
              <w:rPr>
                <w:color w:val="000000" w:themeColor="text1"/>
                <w:sz w:val="26"/>
                <w:szCs w:val="26"/>
                <w14:textFill>
                  <w14:solidFill>
                    <w14:schemeClr w14:val="tx1"/>
                  </w14:solidFill>
                </w14:textFill>
              </w:rPr>
            </w:pPr>
            <w:r>
              <w:rPr>
                <w:sz w:val="26"/>
                <w:szCs w:val="26"/>
              </w:rPr>
              <w:t xml:space="preserve">Comply </w:t>
            </w:r>
          </w:p>
        </w:tc>
      </w:tr>
      <w:tr w14:paraId="708C66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8" w:hRule="atLeast"/>
        </w:trPr>
        <w:tc>
          <w:tcPr>
            <w:tcW w:w="2054" w:type="pct"/>
            <w:vMerge w:val="continue"/>
            <w:vAlign w:val="center"/>
          </w:tcPr>
          <w:p w14:paraId="708C66DB">
            <w:pPr>
              <w:shd w:val="clear" w:color="auto" w:fill="FFFFFF"/>
              <w:spacing w:before="40" w:after="40" w:line="240" w:lineRule="auto"/>
              <w:jc w:val="both"/>
              <w:rPr>
                <w:color w:val="000000" w:themeColor="text1"/>
                <w:sz w:val="26"/>
                <w:szCs w:val="26"/>
                <w:lang w:eastAsia="ja-JP"/>
                <w14:textFill>
                  <w14:solidFill>
                    <w14:schemeClr w14:val="tx1"/>
                  </w14:solidFill>
                </w14:textFill>
              </w:rPr>
            </w:pPr>
          </w:p>
        </w:tc>
        <w:tc>
          <w:tcPr>
            <w:tcW w:w="2144" w:type="pct"/>
            <w:tcBorders>
              <w:top w:val="single" w:color="auto" w:sz="4" w:space="0"/>
              <w:bottom w:val="single" w:color="auto" w:sz="4" w:space="0"/>
            </w:tcBorders>
            <w:vAlign w:val="center"/>
          </w:tcPr>
          <w:p w14:paraId="708C66DC">
            <w:pPr>
              <w:shd w:val="clear" w:color="auto" w:fill="FFFFFF"/>
              <w:spacing w:before="40" w:after="40" w:line="240" w:lineRule="auto"/>
              <w:jc w:val="both"/>
              <w:rPr>
                <w:color w:val="000000" w:themeColor="text1"/>
                <w:sz w:val="26"/>
                <w:szCs w:val="26"/>
                <w14:textFill>
                  <w14:solidFill>
                    <w14:schemeClr w14:val="tx1"/>
                  </w14:solidFill>
                </w14:textFill>
              </w:rPr>
            </w:pPr>
            <w:r>
              <w:rPr>
                <w:sz w:val="26"/>
                <w:szCs w:val="26"/>
              </w:rPr>
              <w:t>The goods supplied are not entirely geographically adaptable.</w:t>
            </w:r>
          </w:p>
        </w:tc>
        <w:tc>
          <w:tcPr>
            <w:tcW w:w="802" w:type="pct"/>
            <w:tcBorders>
              <w:top w:val="single" w:color="auto" w:sz="4" w:space="0"/>
              <w:bottom w:val="single" w:color="auto" w:sz="4" w:space="0"/>
            </w:tcBorders>
            <w:vAlign w:val="center"/>
          </w:tcPr>
          <w:p w14:paraId="708C66DD">
            <w:pPr>
              <w:shd w:val="clear" w:color="auto" w:fill="FFFFFF"/>
              <w:spacing w:before="40" w:after="40" w:line="240" w:lineRule="auto"/>
              <w:jc w:val="center"/>
              <w:rPr>
                <w:color w:val="000000" w:themeColor="text1"/>
                <w:sz w:val="26"/>
                <w:szCs w:val="26"/>
                <w14:textFill>
                  <w14:solidFill>
                    <w14:schemeClr w14:val="tx1"/>
                  </w14:solidFill>
                </w14:textFill>
              </w:rPr>
            </w:pPr>
            <w:r>
              <w:rPr>
                <w:sz w:val="26"/>
                <w:szCs w:val="26"/>
              </w:rPr>
              <w:t>Accept</w:t>
            </w:r>
          </w:p>
        </w:tc>
      </w:tr>
      <w:tr w14:paraId="708C66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4" w:hRule="atLeast"/>
        </w:trPr>
        <w:tc>
          <w:tcPr>
            <w:tcW w:w="2054" w:type="pct"/>
            <w:vMerge w:val="continue"/>
            <w:vAlign w:val="center"/>
          </w:tcPr>
          <w:p w14:paraId="708C66DF">
            <w:pPr>
              <w:shd w:val="clear" w:color="auto" w:fill="FFFFFF"/>
              <w:spacing w:before="40" w:after="40" w:line="240" w:lineRule="auto"/>
              <w:jc w:val="both"/>
              <w:rPr>
                <w:color w:val="000000" w:themeColor="text1"/>
                <w:sz w:val="26"/>
                <w:szCs w:val="26"/>
                <w:lang w:eastAsia="ja-JP"/>
                <w14:textFill>
                  <w14:solidFill>
                    <w14:schemeClr w14:val="tx1"/>
                  </w14:solidFill>
                </w14:textFill>
              </w:rPr>
            </w:pPr>
          </w:p>
        </w:tc>
        <w:tc>
          <w:tcPr>
            <w:tcW w:w="2144" w:type="pct"/>
            <w:tcBorders>
              <w:top w:val="single" w:color="auto" w:sz="4" w:space="0"/>
              <w:bottom w:val="single" w:color="auto" w:sz="4" w:space="0"/>
            </w:tcBorders>
            <w:vAlign w:val="center"/>
          </w:tcPr>
          <w:p w14:paraId="708C66E0">
            <w:pPr>
              <w:shd w:val="clear" w:color="auto" w:fill="FFFFFF"/>
              <w:spacing w:before="40" w:after="40" w:line="240" w:lineRule="auto"/>
              <w:jc w:val="both"/>
              <w:rPr>
                <w:color w:val="000000" w:themeColor="text1"/>
                <w:sz w:val="26"/>
                <w:szCs w:val="26"/>
                <w14:textFill>
                  <w14:solidFill>
                    <w14:schemeClr w14:val="tx1"/>
                  </w14:solidFill>
                </w14:textFill>
              </w:rPr>
            </w:pPr>
            <w:r>
              <w:rPr>
                <w:sz w:val="26"/>
                <w:szCs w:val="26"/>
              </w:rPr>
              <w:t>Supplied goods are not geographically adaptable.</w:t>
            </w:r>
          </w:p>
        </w:tc>
        <w:tc>
          <w:tcPr>
            <w:tcW w:w="802" w:type="pct"/>
            <w:tcBorders>
              <w:top w:val="single" w:color="auto" w:sz="4" w:space="0"/>
              <w:bottom w:val="single" w:color="auto" w:sz="4" w:space="0"/>
            </w:tcBorders>
            <w:vAlign w:val="center"/>
          </w:tcPr>
          <w:p w14:paraId="708C66E1">
            <w:pPr>
              <w:shd w:val="clear" w:color="auto" w:fill="FFFFFF"/>
              <w:spacing w:before="40" w:after="40" w:line="240" w:lineRule="auto"/>
              <w:jc w:val="center"/>
              <w:rPr>
                <w:color w:val="000000" w:themeColor="text1"/>
                <w:sz w:val="26"/>
                <w:szCs w:val="26"/>
                <w14:textFill>
                  <w14:solidFill>
                    <w14:schemeClr w14:val="tx1"/>
                  </w14:solidFill>
                </w14:textFill>
              </w:rPr>
            </w:pPr>
            <w:r>
              <w:rPr>
                <w:sz w:val="26"/>
                <w:szCs w:val="26"/>
              </w:rPr>
              <w:t>Not Comply</w:t>
            </w:r>
          </w:p>
        </w:tc>
      </w:tr>
      <w:tr w14:paraId="708C6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5000" w:type="pct"/>
            <w:gridSpan w:val="3"/>
            <w:vAlign w:val="center"/>
          </w:tcPr>
          <w:p w14:paraId="708C66E3">
            <w:pPr>
              <w:shd w:val="clear" w:color="auto" w:fill="FFFFFF"/>
              <w:spacing w:before="40" w:after="40" w:line="240" w:lineRule="auto"/>
              <w:rPr>
                <w:color w:val="000000" w:themeColor="text1"/>
                <w:sz w:val="26"/>
                <w:szCs w:val="26"/>
                <w14:textFill>
                  <w14:solidFill>
                    <w14:schemeClr w14:val="tx1"/>
                  </w14:solidFill>
                </w14:textFill>
              </w:rPr>
            </w:pPr>
            <w:r>
              <w:rPr>
                <w:b/>
                <w:bCs/>
                <w:sz w:val="26"/>
                <w:szCs w:val="26"/>
              </w:rPr>
              <w:t>6.2. Impact on the environment and solutions</w:t>
            </w:r>
          </w:p>
        </w:tc>
      </w:tr>
      <w:tr w14:paraId="708C66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5" w:hRule="atLeast"/>
        </w:trPr>
        <w:tc>
          <w:tcPr>
            <w:tcW w:w="2054" w:type="pct"/>
            <w:vMerge w:val="restart"/>
            <w:vAlign w:val="center"/>
          </w:tcPr>
          <w:p w14:paraId="708C66E5">
            <w:pPr>
              <w:shd w:val="clear" w:color="auto" w:fill="FFFFFF"/>
              <w:spacing w:before="40" w:after="40" w:line="240" w:lineRule="auto"/>
              <w:jc w:val="both"/>
              <w:rPr>
                <w:color w:val="000000" w:themeColor="text1"/>
                <w:sz w:val="26"/>
                <w:szCs w:val="26"/>
                <w:lang w:eastAsia="ja-JP"/>
                <w14:textFill>
                  <w14:solidFill>
                    <w14:schemeClr w14:val="tx1"/>
                  </w14:solidFill>
                </w14:textFill>
              </w:rPr>
            </w:pPr>
            <w:r>
              <w:rPr>
                <w:sz w:val="26"/>
                <w:szCs w:val="26"/>
              </w:rPr>
              <w:t xml:space="preserve">Supplied goods have influence or impact on the environment and have recommended solutions. </w:t>
            </w:r>
          </w:p>
        </w:tc>
        <w:tc>
          <w:tcPr>
            <w:tcW w:w="2144" w:type="pct"/>
            <w:tcBorders>
              <w:top w:val="single" w:color="auto" w:sz="4" w:space="0"/>
              <w:bottom w:val="single" w:color="auto" w:sz="4" w:space="0"/>
            </w:tcBorders>
            <w:vAlign w:val="center"/>
          </w:tcPr>
          <w:p w14:paraId="708C66E6">
            <w:pPr>
              <w:shd w:val="clear" w:color="auto" w:fill="FFFFFF"/>
              <w:spacing w:before="40" w:after="40" w:line="240" w:lineRule="auto"/>
              <w:jc w:val="both"/>
              <w:rPr>
                <w:color w:val="000000" w:themeColor="text1"/>
                <w:sz w:val="26"/>
                <w:szCs w:val="26"/>
                <w14:textFill>
                  <w14:solidFill>
                    <w14:schemeClr w14:val="tx1"/>
                  </w14:solidFill>
                </w14:textFill>
              </w:rPr>
            </w:pPr>
            <w:r>
              <w:rPr>
                <w:sz w:val="26"/>
                <w:szCs w:val="26"/>
              </w:rPr>
              <w:t>Supplied goods do not have much influence or impact on the environment and have reasonable recommended solutions.</w:t>
            </w:r>
          </w:p>
        </w:tc>
        <w:tc>
          <w:tcPr>
            <w:tcW w:w="802" w:type="pct"/>
            <w:tcBorders>
              <w:top w:val="single" w:color="auto" w:sz="4" w:space="0"/>
              <w:bottom w:val="single" w:color="auto" w:sz="4" w:space="0"/>
            </w:tcBorders>
            <w:vAlign w:val="center"/>
          </w:tcPr>
          <w:p w14:paraId="708C66E7">
            <w:pPr>
              <w:shd w:val="clear" w:color="auto" w:fill="FFFFFF"/>
              <w:spacing w:before="40" w:after="40" w:line="240" w:lineRule="auto"/>
              <w:jc w:val="center"/>
              <w:rPr>
                <w:color w:val="000000" w:themeColor="text1"/>
                <w:sz w:val="26"/>
                <w:szCs w:val="26"/>
                <w14:textFill>
                  <w14:solidFill>
                    <w14:schemeClr w14:val="tx1"/>
                  </w14:solidFill>
                </w14:textFill>
              </w:rPr>
            </w:pPr>
            <w:r>
              <w:rPr>
                <w:sz w:val="26"/>
                <w:szCs w:val="26"/>
              </w:rPr>
              <w:t xml:space="preserve">Comply </w:t>
            </w:r>
          </w:p>
        </w:tc>
      </w:tr>
      <w:tr w14:paraId="708C66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0" w:hRule="atLeast"/>
        </w:trPr>
        <w:tc>
          <w:tcPr>
            <w:tcW w:w="2054" w:type="pct"/>
            <w:vMerge w:val="continue"/>
            <w:vAlign w:val="center"/>
          </w:tcPr>
          <w:p w14:paraId="708C66E9">
            <w:pPr>
              <w:shd w:val="clear" w:color="auto" w:fill="FFFFFF"/>
              <w:spacing w:before="40" w:after="40" w:line="240" w:lineRule="auto"/>
              <w:jc w:val="both"/>
              <w:rPr>
                <w:color w:val="000000" w:themeColor="text1"/>
                <w:sz w:val="26"/>
                <w:szCs w:val="26"/>
                <w:lang w:eastAsia="ja-JP"/>
                <w14:textFill>
                  <w14:solidFill>
                    <w14:schemeClr w14:val="tx1"/>
                  </w14:solidFill>
                </w14:textFill>
              </w:rPr>
            </w:pPr>
          </w:p>
        </w:tc>
        <w:tc>
          <w:tcPr>
            <w:tcW w:w="2144" w:type="pct"/>
            <w:tcBorders>
              <w:top w:val="single" w:color="auto" w:sz="4" w:space="0"/>
              <w:bottom w:val="single" w:color="auto" w:sz="4" w:space="0"/>
            </w:tcBorders>
            <w:vAlign w:val="center"/>
          </w:tcPr>
          <w:p w14:paraId="708C66EA">
            <w:pPr>
              <w:shd w:val="clear" w:color="auto" w:fill="FFFFFF"/>
              <w:spacing w:before="40" w:after="40" w:line="240" w:lineRule="auto"/>
              <w:jc w:val="both"/>
              <w:rPr>
                <w:color w:val="000000" w:themeColor="text1"/>
                <w:sz w:val="26"/>
                <w:szCs w:val="26"/>
                <w14:textFill>
                  <w14:solidFill>
                    <w14:schemeClr w14:val="tx1"/>
                  </w14:solidFill>
                </w14:textFill>
              </w:rPr>
            </w:pPr>
            <w:r>
              <w:rPr>
                <w:sz w:val="26"/>
                <w:szCs w:val="26"/>
              </w:rPr>
              <w:t>Supplied goods have much influence or impact on the environment and proposed solutions.</w:t>
            </w:r>
          </w:p>
        </w:tc>
        <w:tc>
          <w:tcPr>
            <w:tcW w:w="802" w:type="pct"/>
            <w:tcBorders>
              <w:top w:val="single" w:color="auto" w:sz="4" w:space="0"/>
              <w:bottom w:val="single" w:color="auto" w:sz="4" w:space="0"/>
            </w:tcBorders>
            <w:vAlign w:val="center"/>
          </w:tcPr>
          <w:p w14:paraId="708C66EB">
            <w:pPr>
              <w:shd w:val="clear" w:color="auto" w:fill="FFFFFF"/>
              <w:spacing w:before="40" w:after="40" w:line="240" w:lineRule="auto"/>
              <w:jc w:val="center"/>
              <w:rPr>
                <w:color w:val="000000" w:themeColor="text1"/>
                <w:sz w:val="26"/>
                <w:szCs w:val="26"/>
                <w14:textFill>
                  <w14:solidFill>
                    <w14:schemeClr w14:val="tx1"/>
                  </w14:solidFill>
                </w14:textFill>
              </w:rPr>
            </w:pPr>
            <w:r>
              <w:rPr>
                <w:sz w:val="26"/>
                <w:szCs w:val="26"/>
              </w:rPr>
              <w:t>Accept</w:t>
            </w:r>
          </w:p>
        </w:tc>
      </w:tr>
      <w:tr w14:paraId="708C6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6" w:hRule="atLeast"/>
        </w:trPr>
        <w:tc>
          <w:tcPr>
            <w:tcW w:w="2054" w:type="pct"/>
            <w:vMerge w:val="continue"/>
            <w:vAlign w:val="center"/>
          </w:tcPr>
          <w:p w14:paraId="708C66ED">
            <w:pPr>
              <w:shd w:val="clear" w:color="auto" w:fill="FFFFFF"/>
              <w:spacing w:before="40" w:after="40" w:line="240" w:lineRule="auto"/>
              <w:jc w:val="both"/>
              <w:rPr>
                <w:color w:val="000000" w:themeColor="text1"/>
                <w:sz w:val="26"/>
                <w:szCs w:val="26"/>
                <w:lang w:eastAsia="ja-JP"/>
                <w14:textFill>
                  <w14:solidFill>
                    <w14:schemeClr w14:val="tx1"/>
                  </w14:solidFill>
                </w14:textFill>
              </w:rPr>
            </w:pPr>
          </w:p>
        </w:tc>
        <w:tc>
          <w:tcPr>
            <w:tcW w:w="2144" w:type="pct"/>
            <w:tcBorders>
              <w:top w:val="single" w:color="auto" w:sz="4" w:space="0"/>
              <w:bottom w:val="single" w:color="auto" w:sz="4" w:space="0"/>
            </w:tcBorders>
            <w:vAlign w:val="center"/>
          </w:tcPr>
          <w:p w14:paraId="708C66EE">
            <w:pPr>
              <w:shd w:val="clear" w:color="auto" w:fill="FFFFFF"/>
              <w:spacing w:before="40" w:after="40" w:line="240" w:lineRule="auto"/>
              <w:jc w:val="both"/>
              <w:rPr>
                <w:color w:val="000000" w:themeColor="text1"/>
                <w:sz w:val="26"/>
                <w:szCs w:val="26"/>
                <w14:textFill>
                  <w14:solidFill>
                    <w14:schemeClr w14:val="tx1"/>
                  </w14:solidFill>
                </w14:textFill>
              </w:rPr>
            </w:pPr>
            <w:r>
              <w:rPr>
                <w:sz w:val="26"/>
                <w:szCs w:val="26"/>
              </w:rPr>
              <w:t>Supplied goods have much influence or impact on the environment but do not have recommended solutions.</w:t>
            </w:r>
          </w:p>
        </w:tc>
        <w:tc>
          <w:tcPr>
            <w:tcW w:w="802" w:type="pct"/>
            <w:tcBorders>
              <w:top w:val="single" w:color="auto" w:sz="4" w:space="0"/>
              <w:bottom w:val="single" w:color="auto" w:sz="4" w:space="0"/>
            </w:tcBorders>
            <w:vAlign w:val="center"/>
          </w:tcPr>
          <w:p w14:paraId="708C66EF">
            <w:pPr>
              <w:shd w:val="clear" w:color="auto" w:fill="FFFFFF"/>
              <w:spacing w:before="40" w:after="40" w:line="240" w:lineRule="auto"/>
              <w:jc w:val="center"/>
              <w:rPr>
                <w:color w:val="000000" w:themeColor="text1"/>
                <w:sz w:val="26"/>
                <w:szCs w:val="26"/>
                <w14:textFill>
                  <w14:solidFill>
                    <w14:schemeClr w14:val="tx1"/>
                  </w14:solidFill>
                </w14:textFill>
              </w:rPr>
            </w:pPr>
            <w:r>
              <w:rPr>
                <w:sz w:val="26"/>
                <w:szCs w:val="26"/>
              </w:rPr>
              <w:t>Not Comply</w:t>
            </w:r>
          </w:p>
        </w:tc>
      </w:tr>
      <w:tr w14:paraId="708C66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 w:hRule="atLeast"/>
        </w:trPr>
        <w:tc>
          <w:tcPr>
            <w:tcW w:w="5000" w:type="pct"/>
            <w:gridSpan w:val="3"/>
            <w:vAlign w:val="center"/>
          </w:tcPr>
          <w:p w14:paraId="708C66F1">
            <w:pPr>
              <w:shd w:val="clear" w:color="auto" w:fill="FFFFFF"/>
              <w:spacing w:before="40" w:after="40" w:line="240" w:lineRule="auto"/>
              <w:rPr>
                <w:b/>
                <w:bCs/>
                <w:color w:val="000000" w:themeColor="text1"/>
                <w:sz w:val="26"/>
                <w:szCs w:val="26"/>
                <w:vertAlign w:val="superscript"/>
                <w14:textFill>
                  <w14:solidFill>
                    <w14:schemeClr w14:val="tx1"/>
                  </w14:solidFill>
                </w14:textFill>
              </w:rPr>
            </w:pPr>
            <w:r>
              <w:rPr>
                <w:b/>
                <w:bCs/>
                <w:color w:val="000000" w:themeColor="text1"/>
                <w:sz w:val="26"/>
                <w:szCs w:val="26"/>
                <w:lang w:eastAsia="ja-JP"/>
                <w14:textFill>
                  <w14:solidFill>
                    <w14:schemeClr w14:val="tx1"/>
                  </w14:solidFill>
                </w14:textFill>
              </w:rPr>
              <w:t>7. Proposed manufacturer</w:t>
            </w:r>
          </w:p>
        </w:tc>
      </w:tr>
      <w:tr w14:paraId="708C66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 w:hRule="atLeast"/>
        </w:trPr>
        <w:tc>
          <w:tcPr>
            <w:tcW w:w="2054" w:type="pct"/>
            <w:vMerge w:val="restart"/>
            <w:vAlign w:val="center"/>
          </w:tcPr>
          <w:p w14:paraId="708C66F3">
            <w:pPr>
              <w:shd w:val="clear" w:color="auto" w:fill="FFFFFF"/>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Number of years in manufacturing of Goods offered</w:t>
            </w:r>
          </w:p>
        </w:tc>
        <w:tc>
          <w:tcPr>
            <w:tcW w:w="2144" w:type="pct"/>
            <w:vAlign w:val="center"/>
          </w:tcPr>
          <w:p w14:paraId="708C66F4">
            <w:pPr>
              <w:shd w:val="clear" w:color="auto" w:fill="FFFFFF"/>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At least five (05) years</w:t>
            </w:r>
          </w:p>
        </w:tc>
        <w:tc>
          <w:tcPr>
            <w:tcW w:w="802" w:type="pct"/>
            <w:vAlign w:val="center"/>
          </w:tcPr>
          <w:p w14:paraId="708C66F5">
            <w:pPr>
              <w:shd w:val="clear" w:color="auto" w:fill="FFFFFF"/>
              <w:spacing w:before="40" w:after="40" w:line="240" w:lineRule="auto"/>
              <w:jc w:val="center"/>
              <w:rPr>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Comply</w:t>
            </w:r>
          </w:p>
        </w:tc>
      </w:tr>
      <w:tr w14:paraId="708C6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 w:hRule="atLeast"/>
        </w:trPr>
        <w:tc>
          <w:tcPr>
            <w:tcW w:w="2054" w:type="pct"/>
            <w:vMerge w:val="continue"/>
            <w:vAlign w:val="center"/>
          </w:tcPr>
          <w:p w14:paraId="708C66F7">
            <w:pPr>
              <w:shd w:val="clear" w:color="auto" w:fill="FFFFFF"/>
              <w:spacing w:before="40" w:after="40" w:line="240" w:lineRule="auto"/>
              <w:rPr>
                <w:color w:val="000000" w:themeColor="text1"/>
                <w:sz w:val="26"/>
                <w:szCs w:val="26"/>
                <w14:textFill>
                  <w14:solidFill>
                    <w14:schemeClr w14:val="tx1"/>
                  </w14:solidFill>
                </w14:textFill>
              </w:rPr>
            </w:pPr>
          </w:p>
        </w:tc>
        <w:tc>
          <w:tcPr>
            <w:tcW w:w="2144" w:type="pct"/>
            <w:vAlign w:val="center"/>
          </w:tcPr>
          <w:p w14:paraId="708C66F8">
            <w:pPr>
              <w:shd w:val="clear" w:color="auto" w:fill="FFFFFF"/>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Less than five (05) years</w:t>
            </w:r>
          </w:p>
        </w:tc>
        <w:tc>
          <w:tcPr>
            <w:tcW w:w="802" w:type="pct"/>
            <w:vAlign w:val="center"/>
          </w:tcPr>
          <w:p w14:paraId="708C66F9">
            <w:pPr>
              <w:shd w:val="clear" w:color="auto" w:fill="FFFFFF"/>
              <w:spacing w:before="40" w:after="40" w:line="240" w:lineRule="auto"/>
              <w:jc w:val="center"/>
              <w:rPr>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Not Comply</w:t>
            </w:r>
          </w:p>
        </w:tc>
      </w:tr>
      <w:tr w14:paraId="708C66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9" w:hRule="atLeast"/>
        </w:trPr>
        <w:tc>
          <w:tcPr>
            <w:tcW w:w="2054" w:type="pct"/>
            <w:vMerge w:val="restart"/>
            <w:vAlign w:val="center"/>
          </w:tcPr>
          <w:p w14:paraId="708C66FB">
            <w:pPr>
              <w:spacing w:before="40" w:after="40" w:line="240" w:lineRule="auto"/>
              <w:rPr>
                <w:color w:val="000000" w:themeColor="text1"/>
                <w:sz w:val="26"/>
                <w:szCs w:val="26"/>
                <w:vertAlign w:val="superscript"/>
                <w:lang w:eastAsia="ja-JP"/>
                <w14:textFill>
                  <w14:solidFill>
                    <w14:schemeClr w14:val="tx1"/>
                  </w14:solidFill>
                </w14:textFill>
              </w:rPr>
            </w:pPr>
            <w:r>
              <w:rPr>
                <w:color w:val="000000" w:themeColor="text1"/>
                <w:sz w:val="26"/>
                <w:szCs w:val="26"/>
                <w14:textFill>
                  <w14:solidFill>
                    <w14:schemeClr w14:val="tx1"/>
                  </w14:solidFill>
                </w14:textFill>
              </w:rPr>
              <w:t>Certificates from realistic end-users</w:t>
            </w:r>
          </w:p>
        </w:tc>
        <w:tc>
          <w:tcPr>
            <w:tcW w:w="2144" w:type="pct"/>
            <w:tcBorders>
              <w:top w:val="single" w:color="auto" w:sz="4" w:space="0"/>
              <w:bottom w:val="single" w:color="auto" w:sz="4" w:space="0"/>
            </w:tcBorders>
          </w:tcPr>
          <w:p w14:paraId="708C66FC">
            <w:pPr>
              <w:pStyle w:val="103"/>
              <w:widowControl/>
              <w:tabs>
                <w:tab w:val="left" w:pos="185"/>
                <w:tab w:val="left" w:leader="dot" w:pos="8424"/>
              </w:tabs>
              <w:autoSpaceDE/>
              <w:autoSpaceDN/>
              <w:spacing w:before="40" w:after="40" w:line="240" w:lineRule="auto"/>
              <w:jc w:val="both"/>
              <w:rPr>
                <w:rFonts w:eastAsia="Calibri"/>
                <w:iCs/>
                <w:color w:val="000000" w:themeColor="text1"/>
                <w:sz w:val="26"/>
                <w:szCs w:val="26"/>
                <w14:textFill>
                  <w14:solidFill>
                    <w14:schemeClr w14:val="tx1"/>
                  </w14:solidFill>
                </w14:textFill>
              </w:rPr>
            </w:pPr>
            <w:r>
              <w:rPr>
                <w:iCs/>
                <w:color w:val="000000" w:themeColor="text1"/>
                <w:sz w:val="26"/>
                <w:szCs w:val="26"/>
                <w14:textFill>
                  <w14:solidFill>
                    <w14:schemeClr w14:val="tx1"/>
                  </w14:solidFill>
                </w14:textFill>
              </w:rPr>
              <w:t>At least (02) certificates per each type from realistic end-users certifying that the offered or similar goods have been successfully put into operation for at least two (02) years.</w:t>
            </w:r>
          </w:p>
        </w:tc>
        <w:tc>
          <w:tcPr>
            <w:tcW w:w="802" w:type="pct"/>
            <w:tcBorders>
              <w:top w:val="single" w:color="auto" w:sz="4" w:space="0"/>
              <w:bottom w:val="single" w:color="auto" w:sz="4" w:space="0"/>
            </w:tcBorders>
            <w:vAlign w:val="center"/>
          </w:tcPr>
          <w:p w14:paraId="708C66FD">
            <w:pPr>
              <w:spacing w:before="40" w:after="40" w:line="240" w:lineRule="auto"/>
              <w:jc w:val="center"/>
              <w:rPr>
                <w:bCs/>
                <w:color w:val="000000" w:themeColor="text1"/>
                <w:sz w:val="26"/>
                <w:szCs w:val="26"/>
                <w:lang w:eastAsia="ja-JP"/>
                <w14:textFill>
                  <w14:solidFill>
                    <w14:schemeClr w14:val="tx1"/>
                  </w14:solidFill>
                </w14:textFill>
              </w:rPr>
            </w:pPr>
            <w:r>
              <w:rPr>
                <w:bCs/>
                <w:color w:val="000000" w:themeColor="text1"/>
                <w:sz w:val="26"/>
                <w:szCs w:val="26"/>
                <w14:textFill>
                  <w14:solidFill>
                    <w14:schemeClr w14:val="tx1"/>
                  </w14:solidFill>
                </w14:textFill>
              </w:rPr>
              <w:t xml:space="preserve">Comply </w:t>
            </w:r>
          </w:p>
        </w:tc>
      </w:tr>
      <w:tr w14:paraId="708C67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9" w:hRule="atLeast"/>
        </w:trPr>
        <w:tc>
          <w:tcPr>
            <w:tcW w:w="2054" w:type="pct"/>
            <w:vMerge w:val="continue"/>
          </w:tcPr>
          <w:p w14:paraId="708C66FF">
            <w:pPr>
              <w:shd w:val="clear" w:color="auto" w:fill="FFFFFF"/>
              <w:spacing w:before="40" w:after="40" w:line="240" w:lineRule="auto"/>
              <w:jc w:val="both"/>
              <w:rPr>
                <w:color w:val="000000" w:themeColor="text1"/>
                <w:sz w:val="26"/>
                <w:szCs w:val="26"/>
                <w:lang w:eastAsia="ja-JP"/>
                <w14:textFill>
                  <w14:solidFill>
                    <w14:schemeClr w14:val="tx1"/>
                  </w14:solidFill>
                </w14:textFill>
              </w:rPr>
            </w:pPr>
          </w:p>
        </w:tc>
        <w:tc>
          <w:tcPr>
            <w:tcW w:w="2144" w:type="pct"/>
            <w:tcBorders>
              <w:top w:val="single" w:color="auto" w:sz="4" w:space="0"/>
              <w:bottom w:val="single" w:color="auto" w:sz="4" w:space="0"/>
            </w:tcBorders>
          </w:tcPr>
          <w:p w14:paraId="708C6700">
            <w:pPr>
              <w:shd w:val="clear" w:color="auto" w:fill="FFFFFF"/>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lang w:val="vi-VN"/>
                <w14:textFill>
                  <w14:solidFill>
                    <w14:schemeClr w14:val="tx1"/>
                  </w14:solidFill>
                </w14:textFill>
              </w:rPr>
              <w:t>Failed to s</w:t>
            </w:r>
            <w:r>
              <w:rPr>
                <w:color w:val="000000" w:themeColor="text1"/>
                <w:sz w:val="26"/>
                <w:szCs w:val="26"/>
                <w14:textFill>
                  <w14:solidFill>
                    <w14:schemeClr w14:val="tx1"/>
                  </w14:solidFill>
                </w14:textFill>
              </w:rPr>
              <w:t>ubmit</w:t>
            </w:r>
          </w:p>
        </w:tc>
        <w:tc>
          <w:tcPr>
            <w:tcW w:w="802" w:type="pct"/>
            <w:tcBorders>
              <w:top w:val="single" w:color="auto" w:sz="4" w:space="0"/>
              <w:bottom w:val="single" w:color="auto" w:sz="4" w:space="0"/>
            </w:tcBorders>
          </w:tcPr>
          <w:p w14:paraId="708C6701">
            <w:pPr>
              <w:shd w:val="clear" w:color="auto" w:fill="FFFFFF"/>
              <w:spacing w:before="40" w:after="40" w:line="240" w:lineRule="auto"/>
              <w:jc w:val="center"/>
              <w:rPr>
                <w:color w:val="000000" w:themeColor="text1"/>
                <w:sz w:val="26"/>
                <w:szCs w:val="26"/>
                <w:lang w:eastAsia="ja-JP"/>
                <w14:textFill>
                  <w14:solidFill>
                    <w14:schemeClr w14:val="tx1"/>
                  </w14:solidFill>
                </w14:textFill>
              </w:rPr>
            </w:pPr>
            <w:r>
              <w:rPr>
                <w:color w:val="000000" w:themeColor="text1"/>
                <w:sz w:val="26"/>
                <w:szCs w:val="26"/>
                <w14:textFill>
                  <w14:solidFill>
                    <w14:schemeClr w14:val="tx1"/>
                  </w14:solidFill>
                </w14:textFill>
              </w:rPr>
              <w:t>Not Comply</w:t>
            </w:r>
          </w:p>
        </w:tc>
      </w:tr>
      <w:tr w14:paraId="708C67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9" w:hRule="atLeast"/>
        </w:trPr>
        <w:tc>
          <w:tcPr>
            <w:tcW w:w="2054" w:type="pct"/>
            <w:vMerge w:val="restart"/>
            <w:vAlign w:val="center"/>
          </w:tcPr>
          <w:p w14:paraId="708C6703">
            <w:pPr>
              <w:shd w:val="clear" w:color="auto" w:fill="FFFFFF"/>
              <w:spacing w:before="40" w:after="40" w:line="240"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ISO-9001-2015</w:t>
            </w:r>
          </w:p>
        </w:tc>
        <w:tc>
          <w:tcPr>
            <w:tcW w:w="2144" w:type="pct"/>
          </w:tcPr>
          <w:p w14:paraId="708C6704">
            <w:pPr>
              <w:shd w:val="clear" w:color="auto" w:fill="FFFFFF"/>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valid ISO-9001-2015 quality assurance certificates from proposed manufacturer of goods</w:t>
            </w:r>
          </w:p>
        </w:tc>
        <w:tc>
          <w:tcPr>
            <w:tcW w:w="802" w:type="pct"/>
            <w:vAlign w:val="center"/>
          </w:tcPr>
          <w:p w14:paraId="708C6705">
            <w:pPr>
              <w:shd w:val="clear" w:color="auto" w:fill="FFFFFF"/>
              <w:spacing w:before="40" w:after="40" w:line="240" w:lineRule="auto"/>
              <w:jc w:val="center"/>
              <w:rPr>
                <w:color w:val="000000" w:themeColor="text1"/>
                <w:sz w:val="26"/>
                <w:szCs w:val="26"/>
                <w:lang w:eastAsia="ja-JP"/>
                <w14:textFill>
                  <w14:solidFill>
                    <w14:schemeClr w14:val="tx1"/>
                  </w14:solidFill>
                </w14:textFill>
              </w:rPr>
            </w:pPr>
            <w:r>
              <w:rPr>
                <w:color w:val="000000" w:themeColor="text1"/>
                <w:sz w:val="26"/>
                <w:szCs w:val="26"/>
                <w14:textFill>
                  <w14:solidFill>
                    <w14:schemeClr w14:val="tx1"/>
                  </w14:solidFill>
                </w14:textFill>
              </w:rPr>
              <w:t xml:space="preserve">Comply </w:t>
            </w:r>
          </w:p>
        </w:tc>
      </w:tr>
      <w:tr w14:paraId="708C6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2054" w:type="pct"/>
            <w:vMerge w:val="continue"/>
            <w:tcBorders>
              <w:top w:val="single" w:color="000000" w:sz="4" w:space="0"/>
              <w:left w:val="single" w:color="000000" w:sz="4" w:space="0"/>
              <w:bottom w:val="single" w:color="000000" w:sz="4" w:space="0"/>
              <w:right w:val="single" w:color="000000" w:sz="4" w:space="0"/>
            </w:tcBorders>
          </w:tcPr>
          <w:p w14:paraId="708C6707">
            <w:pPr>
              <w:shd w:val="clear" w:color="auto" w:fill="FFFFFF"/>
              <w:spacing w:before="40" w:after="40" w:line="240" w:lineRule="auto"/>
              <w:jc w:val="both"/>
              <w:rPr>
                <w:color w:val="000000" w:themeColor="text1"/>
                <w:sz w:val="26"/>
                <w:szCs w:val="26"/>
                <w14:textFill>
                  <w14:solidFill>
                    <w14:schemeClr w14:val="tx1"/>
                  </w14:solidFill>
                </w14:textFill>
              </w:rPr>
            </w:pPr>
          </w:p>
        </w:tc>
        <w:tc>
          <w:tcPr>
            <w:tcW w:w="2144" w:type="pct"/>
            <w:tcBorders>
              <w:top w:val="single" w:color="000000" w:sz="4" w:space="0"/>
              <w:left w:val="single" w:color="000000" w:sz="4" w:space="0"/>
              <w:bottom w:val="single" w:color="000000" w:sz="4" w:space="0"/>
              <w:right w:val="single" w:color="000000" w:sz="4" w:space="0"/>
            </w:tcBorders>
          </w:tcPr>
          <w:p w14:paraId="708C6708">
            <w:pPr>
              <w:shd w:val="clear" w:color="auto" w:fill="FFFFFF"/>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Failed to submit</w:t>
            </w:r>
          </w:p>
        </w:tc>
        <w:tc>
          <w:tcPr>
            <w:tcW w:w="802" w:type="pct"/>
            <w:tcBorders>
              <w:top w:val="single" w:color="000000" w:sz="4" w:space="0"/>
              <w:left w:val="single" w:color="000000" w:sz="4" w:space="0"/>
              <w:bottom w:val="single" w:color="000000" w:sz="4" w:space="0"/>
              <w:right w:val="single" w:color="000000" w:sz="4" w:space="0"/>
            </w:tcBorders>
          </w:tcPr>
          <w:p w14:paraId="708C6709">
            <w:pPr>
              <w:shd w:val="clear" w:color="auto" w:fill="FFFFFF"/>
              <w:spacing w:before="40" w:after="40" w:line="240" w:lineRule="auto"/>
              <w:jc w:val="center"/>
              <w:rPr>
                <w:color w:val="000000" w:themeColor="text1"/>
                <w:sz w:val="26"/>
                <w:szCs w:val="26"/>
                <w:lang w:eastAsia="ja-JP"/>
                <w14:textFill>
                  <w14:solidFill>
                    <w14:schemeClr w14:val="tx1"/>
                  </w14:solidFill>
                </w14:textFill>
              </w:rPr>
            </w:pPr>
            <w:r>
              <w:rPr>
                <w:color w:val="000000" w:themeColor="text1"/>
                <w:sz w:val="26"/>
                <w:szCs w:val="26"/>
                <w14:textFill>
                  <w14:solidFill>
                    <w14:schemeClr w14:val="tx1"/>
                  </w14:solidFill>
                </w14:textFill>
              </w:rPr>
              <w:t>Not Comply</w:t>
            </w:r>
          </w:p>
        </w:tc>
      </w:tr>
      <w:tr w14:paraId="708C6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2054" w:type="pct"/>
            <w:vMerge w:val="restart"/>
            <w:tcBorders>
              <w:top w:val="single" w:color="000000" w:sz="4" w:space="0"/>
              <w:left w:val="single" w:color="000000" w:sz="4" w:space="0"/>
              <w:right w:val="single" w:color="000000" w:sz="4" w:space="0"/>
            </w:tcBorders>
          </w:tcPr>
          <w:p w14:paraId="708C670B">
            <w:pPr>
              <w:shd w:val="clear" w:color="auto" w:fill="FFFFFF"/>
              <w:spacing w:before="40" w:after="40" w:line="240" w:lineRule="auto"/>
              <w:jc w:val="both"/>
              <w:rPr>
                <w:sz w:val="26"/>
                <w:szCs w:val="26"/>
              </w:rPr>
            </w:pPr>
            <w:r>
              <w:rPr>
                <w:sz w:val="26"/>
                <w:szCs w:val="26"/>
              </w:rPr>
              <w:t xml:space="preserve">In case the Bidder offers multiple manufacturers for one unit of goods (one set, one piece, etc.), the Purchaser shall request the Bidder to clarify the offered quantity of goods corresponding to each manufacturer. </w:t>
            </w:r>
          </w:p>
          <w:p w14:paraId="708C670C">
            <w:pPr>
              <w:shd w:val="clear" w:color="auto" w:fill="FFFFFF"/>
              <w:spacing w:before="40" w:after="40" w:line="240" w:lineRule="auto"/>
              <w:jc w:val="both"/>
              <w:rPr>
                <w:sz w:val="26"/>
                <w:szCs w:val="26"/>
              </w:rPr>
            </w:pPr>
            <w:r>
              <w:rPr>
                <w:sz w:val="26"/>
                <w:szCs w:val="26"/>
              </w:rPr>
              <w:t>After the clarification, In case the Bidder offers multiple manufacturers for one unit of goods (one piece, one set, etc.), then its Bid shall be rejected.</w:t>
            </w:r>
          </w:p>
        </w:tc>
        <w:tc>
          <w:tcPr>
            <w:tcW w:w="2144" w:type="pct"/>
            <w:tcBorders>
              <w:top w:val="single" w:color="000000" w:sz="4" w:space="0"/>
              <w:left w:val="single" w:color="000000" w:sz="4" w:space="0"/>
              <w:bottom w:val="single" w:color="000000" w:sz="4" w:space="0"/>
              <w:right w:val="single" w:color="000000" w:sz="4" w:space="0"/>
            </w:tcBorders>
            <w:vAlign w:val="center"/>
          </w:tcPr>
          <w:p w14:paraId="708C670D">
            <w:pPr>
              <w:shd w:val="clear" w:color="auto" w:fill="FFFFFF"/>
              <w:spacing w:before="40" w:after="40" w:line="240" w:lineRule="auto"/>
              <w:jc w:val="both"/>
              <w:rPr>
                <w:sz w:val="26"/>
                <w:szCs w:val="26"/>
              </w:rPr>
            </w:pPr>
            <w:r>
              <w:rPr>
                <w:sz w:val="26"/>
                <w:szCs w:val="26"/>
              </w:rPr>
              <w:t xml:space="preserve">The Bidder meets the requirements </w:t>
            </w:r>
          </w:p>
        </w:tc>
        <w:tc>
          <w:tcPr>
            <w:tcW w:w="802" w:type="pct"/>
            <w:tcBorders>
              <w:top w:val="single" w:color="000000" w:sz="4" w:space="0"/>
              <w:left w:val="single" w:color="000000" w:sz="4" w:space="0"/>
              <w:bottom w:val="single" w:color="000000" w:sz="4" w:space="0"/>
              <w:right w:val="single" w:color="000000" w:sz="4" w:space="0"/>
            </w:tcBorders>
            <w:vAlign w:val="center"/>
          </w:tcPr>
          <w:p w14:paraId="708C670E">
            <w:pPr>
              <w:shd w:val="clear" w:color="auto" w:fill="FFFFFF"/>
              <w:spacing w:before="40" w:after="40" w:line="240" w:lineRule="auto"/>
              <w:jc w:val="center"/>
              <w:rPr>
                <w:sz w:val="26"/>
                <w:szCs w:val="26"/>
              </w:rPr>
            </w:pPr>
            <w:r>
              <w:rPr>
                <w:sz w:val="26"/>
                <w:szCs w:val="26"/>
              </w:rPr>
              <w:t>Comply</w:t>
            </w:r>
          </w:p>
        </w:tc>
      </w:tr>
      <w:tr w14:paraId="708C6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2054" w:type="pct"/>
            <w:vMerge w:val="continue"/>
            <w:tcBorders>
              <w:left w:val="single" w:color="000000" w:sz="4" w:space="0"/>
              <w:bottom w:val="single" w:color="000000" w:sz="4" w:space="0"/>
              <w:right w:val="single" w:color="000000" w:sz="4" w:space="0"/>
            </w:tcBorders>
          </w:tcPr>
          <w:p w14:paraId="708C6710">
            <w:pPr>
              <w:shd w:val="clear" w:color="auto" w:fill="FFFFFF"/>
              <w:spacing w:before="40" w:after="40" w:line="240" w:lineRule="auto"/>
              <w:jc w:val="both"/>
              <w:rPr>
                <w:sz w:val="26"/>
                <w:szCs w:val="26"/>
              </w:rPr>
            </w:pPr>
          </w:p>
        </w:tc>
        <w:tc>
          <w:tcPr>
            <w:tcW w:w="2144" w:type="pct"/>
            <w:tcBorders>
              <w:top w:val="single" w:color="000000" w:sz="4" w:space="0"/>
              <w:left w:val="single" w:color="000000" w:sz="4" w:space="0"/>
              <w:bottom w:val="single" w:color="000000" w:sz="4" w:space="0"/>
              <w:right w:val="single" w:color="000000" w:sz="4" w:space="0"/>
            </w:tcBorders>
            <w:vAlign w:val="center"/>
          </w:tcPr>
          <w:p w14:paraId="708C6711">
            <w:pPr>
              <w:shd w:val="clear" w:color="auto" w:fill="FFFFFF"/>
              <w:spacing w:before="40" w:after="40" w:line="240" w:lineRule="auto"/>
              <w:jc w:val="both"/>
              <w:rPr>
                <w:sz w:val="26"/>
                <w:szCs w:val="26"/>
              </w:rPr>
            </w:pPr>
            <w:r>
              <w:rPr>
                <w:sz w:val="26"/>
                <w:szCs w:val="26"/>
              </w:rPr>
              <w:t>After the clarification, the Bidder fails to meet the requirements.</w:t>
            </w:r>
          </w:p>
        </w:tc>
        <w:tc>
          <w:tcPr>
            <w:tcW w:w="802" w:type="pct"/>
            <w:tcBorders>
              <w:top w:val="single" w:color="000000" w:sz="4" w:space="0"/>
              <w:left w:val="single" w:color="000000" w:sz="4" w:space="0"/>
              <w:bottom w:val="single" w:color="000000" w:sz="4" w:space="0"/>
              <w:right w:val="single" w:color="000000" w:sz="4" w:space="0"/>
            </w:tcBorders>
            <w:vAlign w:val="center"/>
          </w:tcPr>
          <w:p w14:paraId="708C6712">
            <w:pPr>
              <w:shd w:val="clear" w:color="auto" w:fill="FFFFFF"/>
              <w:spacing w:before="40" w:after="40" w:line="240" w:lineRule="auto"/>
              <w:jc w:val="center"/>
              <w:rPr>
                <w:sz w:val="26"/>
                <w:szCs w:val="26"/>
              </w:rPr>
            </w:pPr>
            <w:r>
              <w:rPr>
                <w:sz w:val="26"/>
                <w:szCs w:val="26"/>
              </w:rPr>
              <w:t>Not Comply</w:t>
            </w:r>
          </w:p>
        </w:tc>
      </w:tr>
      <w:tr w14:paraId="708C6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5000" w:type="pct"/>
            <w:gridSpan w:val="3"/>
            <w:tcBorders>
              <w:left w:val="single" w:color="000000" w:sz="4" w:space="0"/>
              <w:bottom w:val="single" w:color="000000" w:sz="4" w:space="0"/>
              <w:right w:val="single" w:color="000000" w:sz="4" w:space="0"/>
            </w:tcBorders>
            <w:vAlign w:val="center"/>
          </w:tcPr>
          <w:p w14:paraId="708C6714">
            <w:pPr>
              <w:shd w:val="clear" w:color="auto" w:fill="FFFFFF"/>
              <w:spacing w:before="40" w:after="40" w:line="240" w:lineRule="auto"/>
              <w:rPr>
                <w:sz w:val="26"/>
                <w:szCs w:val="26"/>
              </w:rPr>
            </w:pPr>
            <w:r>
              <w:rPr>
                <w:b/>
                <w:bCs/>
                <w:sz w:val="26"/>
                <w:szCs w:val="26"/>
              </w:rPr>
              <w:t>8. Warranty and maintenance</w:t>
            </w:r>
          </w:p>
        </w:tc>
      </w:tr>
      <w:tr w14:paraId="708C6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2054" w:type="pct"/>
            <w:vMerge w:val="restart"/>
            <w:tcBorders>
              <w:left w:val="single" w:color="000000" w:sz="4" w:space="0"/>
              <w:right w:val="single" w:color="000000" w:sz="4" w:space="0"/>
            </w:tcBorders>
          </w:tcPr>
          <w:p w14:paraId="708C6716">
            <w:pPr>
              <w:shd w:val="clear" w:color="auto" w:fill="FFFFFF"/>
              <w:spacing w:before="40" w:after="40" w:line="240" w:lineRule="auto"/>
              <w:jc w:val="both"/>
              <w:rPr>
                <w:strike/>
                <w:sz w:val="26"/>
                <w:szCs w:val="26"/>
                <w:lang w:eastAsia="ja-JP"/>
              </w:rPr>
            </w:pPr>
            <w:r>
              <w:rPr>
                <w:sz w:val="26"/>
                <w:szCs w:val="26"/>
              </w:rPr>
              <w:t xml:space="preserve">Warranty and maintenance </w:t>
            </w:r>
          </w:p>
        </w:tc>
        <w:tc>
          <w:tcPr>
            <w:tcW w:w="2144" w:type="pct"/>
            <w:tcBorders>
              <w:top w:val="single" w:color="000000" w:sz="4" w:space="0"/>
              <w:left w:val="single" w:color="000000" w:sz="4" w:space="0"/>
              <w:bottom w:val="single" w:color="000000" w:sz="4" w:space="0"/>
              <w:right w:val="single" w:color="000000" w:sz="4" w:space="0"/>
            </w:tcBorders>
          </w:tcPr>
          <w:p w14:paraId="708C6717">
            <w:pPr>
              <w:shd w:val="clear" w:color="auto" w:fill="FFFFFF"/>
              <w:spacing w:before="40" w:after="40" w:line="240" w:lineRule="auto"/>
              <w:jc w:val="both"/>
              <w:rPr>
                <w:color w:val="0000FF"/>
                <w:sz w:val="26"/>
                <w:szCs w:val="26"/>
                <w:highlight w:val="yellow"/>
                <w:lang w:val="vi-VN"/>
              </w:rPr>
            </w:pPr>
            <w:r>
              <w:rPr>
                <w:sz w:val="26"/>
                <w:szCs w:val="26"/>
                <w:lang w:val="vi-VN"/>
              </w:rPr>
              <w:t>The warranty period shall be twenty four (24) months after the works put into operation or thirty</w:t>
            </w:r>
            <w:r>
              <w:rPr>
                <w:sz w:val="26"/>
                <w:szCs w:val="26"/>
                <w:lang w:val="en-GB"/>
              </w:rPr>
              <w:t xml:space="preserve"> </w:t>
            </w:r>
            <w:r>
              <w:rPr>
                <w:color w:val="auto"/>
                <w:lang w:val="en-GB"/>
              </w:rPr>
              <w:t>six</w:t>
            </w:r>
            <w:r>
              <w:rPr>
                <w:color w:val="auto"/>
                <w:sz w:val="26"/>
                <w:szCs w:val="26"/>
                <w:lang w:val="vi-VN"/>
              </w:rPr>
              <w:t xml:space="preserve"> (3</w:t>
            </w:r>
            <w:r>
              <w:rPr>
                <w:color w:val="auto"/>
                <w:sz w:val="26"/>
                <w:szCs w:val="26"/>
                <w:lang w:val="en-GB"/>
              </w:rPr>
              <w:t>6</w:t>
            </w:r>
            <w:r>
              <w:rPr>
                <w:color w:val="auto"/>
                <w:sz w:val="26"/>
                <w:szCs w:val="26"/>
                <w:lang w:val="vi-VN"/>
              </w:rPr>
              <w:t>) months from the time of delivery. Whichever concludes earlier.</w:t>
            </w:r>
          </w:p>
        </w:tc>
        <w:tc>
          <w:tcPr>
            <w:tcW w:w="802" w:type="pct"/>
            <w:tcBorders>
              <w:top w:val="single" w:color="000000" w:sz="4" w:space="0"/>
              <w:left w:val="single" w:color="000000" w:sz="4" w:space="0"/>
              <w:bottom w:val="single" w:color="000000" w:sz="4" w:space="0"/>
              <w:right w:val="single" w:color="000000" w:sz="4" w:space="0"/>
            </w:tcBorders>
            <w:vAlign w:val="center"/>
          </w:tcPr>
          <w:p w14:paraId="708C6718">
            <w:pPr>
              <w:shd w:val="clear" w:color="auto" w:fill="FFFFFF"/>
              <w:spacing w:before="40" w:after="40" w:line="240" w:lineRule="auto"/>
              <w:jc w:val="center"/>
              <w:rPr>
                <w:sz w:val="26"/>
                <w:szCs w:val="26"/>
              </w:rPr>
            </w:pPr>
            <w:r>
              <w:rPr>
                <w:sz w:val="26"/>
                <w:szCs w:val="26"/>
              </w:rPr>
              <w:t xml:space="preserve">Comply </w:t>
            </w:r>
          </w:p>
        </w:tc>
      </w:tr>
      <w:tr w14:paraId="708C6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2054" w:type="pct"/>
            <w:vMerge w:val="continue"/>
            <w:tcBorders>
              <w:left w:val="single" w:color="000000" w:sz="4" w:space="0"/>
              <w:bottom w:val="single" w:color="000000" w:sz="4" w:space="0"/>
              <w:right w:val="single" w:color="000000" w:sz="4" w:space="0"/>
            </w:tcBorders>
          </w:tcPr>
          <w:p w14:paraId="708C671A">
            <w:pPr>
              <w:shd w:val="clear" w:color="auto" w:fill="FFFFFF"/>
              <w:spacing w:before="40" w:after="40" w:line="240" w:lineRule="auto"/>
              <w:jc w:val="both"/>
              <w:rPr>
                <w:strike/>
                <w:sz w:val="26"/>
                <w:szCs w:val="26"/>
                <w:lang w:eastAsia="ja-JP"/>
              </w:rPr>
            </w:pPr>
          </w:p>
        </w:tc>
        <w:tc>
          <w:tcPr>
            <w:tcW w:w="2144" w:type="pct"/>
            <w:tcBorders>
              <w:top w:val="single" w:color="000000" w:sz="4" w:space="0"/>
              <w:left w:val="single" w:color="000000" w:sz="4" w:space="0"/>
              <w:bottom w:val="single" w:color="000000" w:sz="4" w:space="0"/>
              <w:right w:val="single" w:color="000000" w:sz="4" w:space="0"/>
            </w:tcBorders>
          </w:tcPr>
          <w:p w14:paraId="708C671B">
            <w:pPr>
              <w:shd w:val="clear" w:color="auto" w:fill="FFFFFF"/>
              <w:spacing w:before="40" w:after="40" w:line="240" w:lineRule="auto"/>
              <w:jc w:val="both"/>
              <w:rPr>
                <w:sz w:val="26"/>
                <w:szCs w:val="26"/>
              </w:rPr>
            </w:pPr>
            <w:r>
              <w:rPr>
                <w:sz w:val="26"/>
                <w:szCs w:val="26"/>
                <w:lang w:val="vi-VN"/>
              </w:rPr>
              <w:t xml:space="preserve">Failed to </w:t>
            </w:r>
            <w:r>
              <w:rPr>
                <w:sz w:val="26"/>
                <w:szCs w:val="26"/>
              </w:rPr>
              <w:t>commit</w:t>
            </w:r>
          </w:p>
        </w:tc>
        <w:tc>
          <w:tcPr>
            <w:tcW w:w="802" w:type="pct"/>
            <w:tcBorders>
              <w:top w:val="single" w:color="000000" w:sz="4" w:space="0"/>
              <w:left w:val="single" w:color="000000" w:sz="4" w:space="0"/>
              <w:bottom w:val="single" w:color="000000" w:sz="4" w:space="0"/>
              <w:right w:val="single" w:color="000000" w:sz="4" w:space="0"/>
            </w:tcBorders>
          </w:tcPr>
          <w:p w14:paraId="708C671C">
            <w:pPr>
              <w:shd w:val="clear" w:color="auto" w:fill="FFFFFF"/>
              <w:spacing w:before="40" w:after="40" w:line="240" w:lineRule="auto"/>
              <w:jc w:val="center"/>
              <w:rPr>
                <w:sz w:val="26"/>
                <w:szCs w:val="26"/>
              </w:rPr>
            </w:pPr>
            <w:r>
              <w:rPr>
                <w:sz w:val="26"/>
                <w:szCs w:val="26"/>
              </w:rPr>
              <w:t>Not Comply</w:t>
            </w:r>
          </w:p>
        </w:tc>
      </w:tr>
      <w:tr w14:paraId="708C6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5000" w:type="pct"/>
            <w:gridSpan w:val="3"/>
            <w:tcBorders>
              <w:left w:val="single" w:color="000000" w:sz="4" w:space="0"/>
              <w:bottom w:val="single" w:color="000000" w:sz="4" w:space="0"/>
              <w:right w:val="single" w:color="000000" w:sz="4" w:space="0"/>
            </w:tcBorders>
          </w:tcPr>
          <w:p w14:paraId="708C671E">
            <w:pPr>
              <w:shd w:val="clear" w:color="auto" w:fill="FFFFFF"/>
              <w:spacing w:before="40" w:after="40" w:line="240" w:lineRule="auto"/>
              <w:rPr>
                <w:b/>
                <w:bCs/>
                <w:sz w:val="26"/>
                <w:szCs w:val="26"/>
              </w:rPr>
            </w:pPr>
            <w:r>
              <w:rPr>
                <w:b/>
                <w:bCs/>
                <w:sz w:val="26"/>
                <w:szCs w:val="26"/>
              </w:rPr>
              <w:t>9. Commitments</w:t>
            </w:r>
          </w:p>
        </w:tc>
      </w:tr>
      <w:tr w14:paraId="708C6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5000" w:type="pct"/>
            <w:gridSpan w:val="3"/>
            <w:tcBorders>
              <w:left w:val="single" w:color="000000" w:sz="4" w:space="0"/>
              <w:bottom w:val="single" w:color="000000" w:sz="4" w:space="0"/>
              <w:right w:val="single" w:color="000000" w:sz="4" w:space="0"/>
            </w:tcBorders>
            <w:vAlign w:val="center"/>
          </w:tcPr>
          <w:p w14:paraId="708C6720">
            <w:pPr>
              <w:shd w:val="clear" w:color="auto" w:fill="FFFFFF"/>
              <w:spacing w:before="40" w:after="40" w:line="240" w:lineRule="auto"/>
              <w:rPr>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xml:space="preserve">9.1. </w:t>
            </w:r>
            <w:r>
              <w:rPr>
                <w:b/>
                <w:color w:val="000000" w:themeColor="text1"/>
                <w:sz w:val="26"/>
                <w:szCs w:val="26"/>
                <w14:textFill>
                  <w14:solidFill>
                    <w14:schemeClr w14:val="tx1"/>
                  </w14:solidFill>
                </w14:textFill>
              </w:rPr>
              <w:t>Copyright</w:t>
            </w:r>
          </w:p>
        </w:tc>
      </w:tr>
      <w:tr w14:paraId="708C6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4" w:hRule="atLeast"/>
        </w:trPr>
        <w:tc>
          <w:tcPr>
            <w:tcW w:w="2054" w:type="pct"/>
            <w:vMerge w:val="restart"/>
            <w:tcBorders>
              <w:left w:val="single" w:color="000000" w:sz="4" w:space="0"/>
              <w:right w:val="single" w:color="000000" w:sz="4" w:space="0"/>
            </w:tcBorders>
            <w:vAlign w:val="center"/>
          </w:tcPr>
          <w:p w14:paraId="708C6722">
            <w:pPr>
              <w:shd w:val="clear" w:color="auto" w:fill="FFFFFF"/>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shd w:val="clear" w:color="auto" w:fill="FFFFFF"/>
                <w14:textFill>
                  <w14:solidFill>
                    <w14:schemeClr w14:val="tx1"/>
                  </w14:solidFill>
                </w14:textFill>
              </w:rPr>
              <w:t xml:space="preserve">The Supplier must commit in writing to not </w:t>
            </w:r>
            <w:r>
              <w:rPr>
                <w:color w:val="000000" w:themeColor="text1"/>
                <w:sz w:val="26"/>
                <w:szCs w:val="26"/>
                <w14:textFill>
                  <w14:solidFill>
                    <w14:schemeClr w14:val="tx1"/>
                  </w14:solidFill>
                </w14:textFill>
              </w:rPr>
              <w:t>infringement of intellectual property rights relating to the Goods or any part thereof that the Bidder supply to the Purchaser.</w:t>
            </w:r>
          </w:p>
          <w:p w14:paraId="708C6723">
            <w:pPr>
              <w:shd w:val="clear" w:color="auto" w:fill="FFFFFF"/>
              <w:spacing w:before="40" w:after="40" w:line="240" w:lineRule="auto"/>
              <w:jc w:val="both"/>
              <w:rPr>
                <w:strike/>
                <w:color w:val="000000" w:themeColor="text1"/>
                <w:sz w:val="26"/>
                <w:szCs w:val="26"/>
                <w:lang w:eastAsia="ja-JP"/>
                <w14:textFill>
                  <w14:solidFill>
                    <w14:schemeClr w14:val="tx1"/>
                  </w14:solidFill>
                </w14:textFill>
              </w:rPr>
            </w:pPr>
            <w:r>
              <w:rPr>
                <w:color w:val="000000" w:themeColor="text1"/>
                <w:sz w:val="26"/>
                <w:szCs w:val="26"/>
                <w:shd w:val="clear" w:color="auto" w:fill="FFFFFF"/>
                <w14:textFill>
                  <w14:solidFill>
                    <w14:schemeClr w14:val="tx1"/>
                  </w14:solidFill>
                </w14:textFill>
              </w:rPr>
              <w:t>The bidder's commitment to indemnity and compensate for all damages and costs incurred (if any) to the Purchaser in case of third-party complaints regarding intellectual property rights to goods provided by the bidder.</w:t>
            </w:r>
          </w:p>
        </w:tc>
        <w:tc>
          <w:tcPr>
            <w:tcW w:w="2144" w:type="pct"/>
            <w:tcBorders>
              <w:top w:val="single" w:color="000000" w:sz="4" w:space="0"/>
              <w:left w:val="single" w:color="000000" w:sz="4" w:space="0"/>
              <w:bottom w:val="single" w:color="000000" w:sz="4" w:space="0"/>
              <w:right w:val="single" w:color="000000" w:sz="4" w:space="0"/>
            </w:tcBorders>
            <w:vAlign w:val="center"/>
          </w:tcPr>
          <w:p w14:paraId="708C6724">
            <w:pPr>
              <w:shd w:val="clear" w:color="auto" w:fill="FFFFFF"/>
              <w:spacing w:before="40" w:after="40" w:line="240" w:lineRule="auto"/>
              <w:jc w:val="both"/>
              <w:rPr>
                <w:color w:val="000000" w:themeColor="text1"/>
                <w:sz w:val="26"/>
                <w:szCs w:val="26"/>
                <w:lang w:val="vi-VN"/>
                <w14:textFill>
                  <w14:solidFill>
                    <w14:schemeClr w14:val="tx1"/>
                  </w14:solidFill>
                </w14:textFill>
              </w:rPr>
            </w:pPr>
            <w:r>
              <w:rPr>
                <w:color w:val="000000" w:themeColor="text1"/>
                <w:sz w:val="26"/>
                <w:szCs w:val="26"/>
                <w:shd w:val="clear" w:color="auto" w:fill="FFFFFF"/>
                <w14:textFill>
                  <w14:solidFill>
                    <w14:schemeClr w14:val="tx1"/>
                  </w14:solidFill>
                </w14:textFill>
              </w:rPr>
              <w:t>Have submitted commitment</w:t>
            </w:r>
          </w:p>
        </w:tc>
        <w:tc>
          <w:tcPr>
            <w:tcW w:w="802" w:type="pct"/>
            <w:tcBorders>
              <w:top w:val="single" w:color="000000" w:sz="4" w:space="0"/>
              <w:left w:val="single" w:color="000000" w:sz="4" w:space="0"/>
              <w:bottom w:val="single" w:color="000000" w:sz="4" w:space="0"/>
              <w:right w:val="single" w:color="000000" w:sz="4" w:space="0"/>
            </w:tcBorders>
            <w:vAlign w:val="center"/>
          </w:tcPr>
          <w:p w14:paraId="708C6725">
            <w:pPr>
              <w:shd w:val="clear" w:color="auto" w:fill="FFFFFF"/>
              <w:spacing w:before="40" w:after="4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Comply </w:t>
            </w:r>
          </w:p>
        </w:tc>
      </w:tr>
      <w:tr w14:paraId="708C6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2054" w:type="pct"/>
            <w:vMerge w:val="continue"/>
            <w:tcBorders>
              <w:left w:val="single" w:color="000000" w:sz="4" w:space="0"/>
              <w:bottom w:val="single" w:color="000000" w:sz="4" w:space="0"/>
              <w:right w:val="single" w:color="000000" w:sz="4" w:space="0"/>
            </w:tcBorders>
            <w:vAlign w:val="center"/>
          </w:tcPr>
          <w:p w14:paraId="708C6727">
            <w:pPr>
              <w:shd w:val="clear" w:color="auto" w:fill="FFFFFF"/>
              <w:spacing w:before="40" w:after="40" w:line="240" w:lineRule="auto"/>
              <w:jc w:val="both"/>
              <w:rPr>
                <w:strike/>
                <w:color w:val="000000" w:themeColor="text1"/>
                <w:sz w:val="26"/>
                <w:szCs w:val="26"/>
                <w:lang w:eastAsia="ja-JP"/>
                <w14:textFill>
                  <w14:solidFill>
                    <w14:schemeClr w14:val="tx1"/>
                  </w14:solidFill>
                </w14:textFill>
              </w:rPr>
            </w:pPr>
          </w:p>
        </w:tc>
        <w:tc>
          <w:tcPr>
            <w:tcW w:w="2144" w:type="pct"/>
            <w:tcBorders>
              <w:top w:val="single" w:color="000000" w:sz="4" w:space="0"/>
              <w:left w:val="single" w:color="000000" w:sz="4" w:space="0"/>
              <w:bottom w:val="single" w:color="000000" w:sz="4" w:space="0"/>
              <w:right w:val="single" w:color="000000" w:sz="4" w:space="0"/>
            </w:tcBorders>
            <w:vAlign w:val="center"/>
          </w:tcPr>
          <w:p w14:paraId="708C6728">
            <w:pPr>
              <w:shd w:val="clear" w:color="auto" w:fill="FFFFFF"/>
              <w:spacing w:before="40" w:after="40" w:line="240" w:lineRule="auto"/>
              <w:jc w:val="both"/>
              <w:rPr>
                <w:color w:val="000000" w:themeColor="text1"/>
                <w:sz w:val="26"/>
                <w:szCs w:val="26"/>
                <w:lang w:val="vi-VN"/>
                <w14:textFill>
                  <w14:solidFill>
                    <w14:schemeClr w14:val="tx1"/>
                  </w14:solidFill>
                </w14:textFill>
              </w:rPr>
            </w:pPr>
            <w:r>
              <w:rPr>
                <w:color w:val="000000" w:themeColor="text1"/>
                <w:sz w:val="26"/>
                <w:szCs w:val="26"/>
                <w:lang w:val="vi-VN"/>
                <w14:textFill>
                  <w14:solidFill>
                    <w14:schemeClr w14:val="tx1"/>
                  </w14:solidFill>
                </w14:textFill>
              </w:rPr>
              <w:t>Failed to</w:t>
            </w:r>
            <w:r>
              <w:rPr>
                <w:color w:val="000000" w:themeColor="text1"/>
                <w:sz w:val="26"/>
                <w:szCs w:val="26"/>
                <w14:textFill>
                  <w14:solidFill>
                    <w14:schemeClr w14:val="tx1"/>
                  </w14:solidFill>
                </w14:textFill>
              </w:rPr>
              <w:t xml:space="preserve"> submit</w:t>
            </w:r>
          </w:p>
        </w:tc>
        <w:tc>
          <w:tcPr>
            <w:tcW w:w="802" w:type="pct"/>
            <w:tcBorders>
              <w:top w:val="single" w:color="000000" w:sz="4" w:space="0"/>
              <w:left w:val="single" w:color="000000" w:sz="4" w:space="0"/>
              <w:bottom w:val="single" w:color="000000" w:sz="4" w:space="0"/>
              <w:right w:val="single" w:color="000000" w:sz="4" w:space="0"/>
            </w:tcBorders>
          </w:tcPr>
          <w:p w14:paraId="708C6729">
            <w:pPr>
              <w:shd w:val="clear" w:color="auto" w:fill="FFFFFF"/>
              <w:spacing w:before="40" w:after="40" w:line="240"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Not Comply</w:t>
            </w:r>
          </w:p>
        </w:tc>
      </w:tr>
      <w:tr w14:paraId="708C67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 w:hRule="atLeast"/>
        </w:trPr>
        <w:tc>
          <w:tcPr>
            <w:tcW w:w="4198" w:type="pct"/>
            <w:gridSpan w:val="2"/>
            <w:vAlign w:val="center"/>
          </w:tcPr>
          <w:p w14:paraId="708C672B">
            <w:pPr>
              <w:shd w:val="clear" w:color="auto" w:fill="FFFFFF"/>
              <w:spacing w:before="40" w:after="40" w:line="240" w:lineRule="auto"/>
              <w:rPr>
                <w:b/>
                <w:bCs/>
                <w:color w:val="000000" w:themeColor="text1"/>
                <w:sz w:val="26"/>
                <w:szCs w:val="26"/>
                <w14:textFill>
                  <w14:solidFill>
                    <w14:schemeClr w14:val="tx1"/>
                  </w14:solidFill>
                </w14:textFill>
              </w:rPr>
            </w:pPr>
            <w:r>
              <w:rPr>
                <w:b/>
                <w:color w:val="000000" w:themeColor="text1"/>
                <w:sz w:val="26"/>
                <w:szCs w:val="26"/>
                <w:lang w:eastAsia="ja-JP"/>
                <w14:textFill>
                  <w14:solidFill>
                    <w14:schemeClr w14:val="tx1"/>
                  </w14:solidFill>
                </w14:textFill>
              </w:rPr>
              <w:t>9.2. Operating life</w:t>
            </w:r>
          </w:p>
        </w:tc>
        <w:tc>
          <w:tcPr>
            <w:tcW w:w="802" w:type="pct"/>
            <w:vAlign w:val="center"/>
          </w:tcPr>
          <w:p w14:paraId="708C672C">
            <w:pPr>
              <w:shd w:val="clear" w:color="auto" w:fill="FFFFFF"/>
              <w:spacing w:before="40" w:after="40" w:line="240" w:lineRule="auto"/>
              <w:rPr>
                <w:color w:val="000000" w:themeColor="text1"/>
                <w:sz w:val="26"/>
                <w:szCs w:val="26"/>
                <w:lang w:eastAsia="ja-JP"/>
                <w14:textFill>
                  <w14:solidFill>
                    <w14:schemeClr w14:val="tx1"/>
                  </w14:solidFill>
                </w14:textFill>
              </w:rPr>
            </w:pPr>
          </w:p>
        </w:tc>
      </w:tr>
      <w:tr w14:paraId="708C67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 w:hRule="atLeast"/>
        </w:trPr>
        <w:tc>
          <w:tcPr>
            <w:tcW w:w="2054" w:type="pct"/>
            <w:vMerge w:val="restart"/>
          </w:tcPr>
          <w:p w14:paraId="708C672E">
            <w:pPr>
              <w:shd w:val="clear" w:color="auto" w:fill="FFFFFF"/>
              <w:spacing w:before="40" w:after="40" w:line="240" w:lineRule="auto"/>
              <w:jc w:val="both"/>
              <w:rPr>
                <w:color w:val="000000" w:themeColor="text1"/>
                <w:sz w:val="26"/>
                <w:szCs w:val="26"/>
                <w:lang w:eastAsia="ja-JP"/>
                <w14:textFill>
                  <w14:solidFill>
                    <w14:schemeClr w14:val="tx1"/>
                  </w14:solidFill>
                </w14:textFill>
              </w:rPr>
            </w:pPr>
            <w:r>
              <w:rPr>
                <w:color w:val="000000" w:themeColor="text1"/>
                <w:sz w:val="26"/>
                <w:szCs w:val="26"/>
                <w:lang w:eastAsia="ja-JP"/>
                <w14:textFill>
                  <w14:solidFill>
                    <w14:schemeClr w14:val="tx1"/>
                  </w14:solidFill>
                </w14:textFill>
              </w:rPr>
              <w:t>A commitment to operating life for each type of equipment.</w:t>
            </w:r>
          </w:p>
          <w:p w14:paraId="708C672F">
            <w:pPr>
              <w:shd w:val="clear" w:color="auto" w:fill="FFFFFF"/>
              <w:spacing w:before="40" w:after="40" w:line="240" w:lineRule="auto"/>
              <w:jc w:val="both"/>
              <w:rPr>
                <w:color w:val="000000" w:themeColor="text1"/>
                <w:sz w:val="26"/>
                <w:szCs w:val="26"/>
                <w:lang w:eastAsia="ja-JP"/>
                <w14:textFill>
                  <w14:solidFill>
                    <w14:schemeClr w14:val="tx1"/>
                  </w14:solidFill>
                </w14:textFill>
              </w:rPr>
            </w:pPr>
            <w:r>
              <w:rPr>
                <w:color w:val="000000" w:themeColor="text1"/>
                <w:sz w:val="26"/>
                <w:szCs w:val="26"/>
                <w:lang w:eastAsia="ja-JP"/>
                <w14:textFill>
                  <w14:solidFill>
                    <w14:schemeClr w14:val="tx1"/>
                  </w14:solidFill>
                </w14:textFill>
              </w:rPr>
              <w:t>A commitment to the rate (probability) of defects and failures of each type of equipment and a commitment to be present at site to investigate and determine the cause of the defect, failure, or breakdown and to remedy if due to manufacturer's fault when requested by the Purchaser.</w:t>
            </w:r>
          </w:p>
          <w:p w14:paraId="708C6730">
            <w:pPr>
              <w:shd w:val="clear" w:color="auto" w:fill="FFFFFF"/>
              <w:spacing w:before="40" w:after="40" w:line="240" w:lineRule="auto"/>
              <w:jc w:val="both"/>
              <w:rPr>
                <w:color w:val="000000" w:themeColor="text1"/>
                <w:sz w:val="26"/>
                <w:szCs w:val="26"/>
                <w:lang w:eastAsia="ja-JP"/>
                <w14:textFill>
                  <w14:solidFill>
                    <w14:schemeClr w14:val="tx1"/>
                  </w14:solidFill>
                </w14:textFill>
              </w:rPr>
            </w:pPr>
            <w:r>
              <w:rPr>
                <w:color w:val="000000" w:themeColor="text1"/>
                <w:sz w:val="26"/>
                <w:szCs w:val="26"/>
                <w:lang w:eastAsia="ja-JP"/>
                <w14:textFill>
                  <w14:solidFill>
                    <w14:schemeClr w14:val="tx1"/>
                  </w14:solidFill>
                </w14:textFill>
              </w:rPr>
              <w:t>Out of the warranty period, the Bidder/ the manufacturer shall commit to resolve, handle defects and malfunction of equipment and/ or materials caused by the manufacturer. If the Bidder does not timely remedy, resolve defects or malfunction of equipment and/or materials, the Purchaser will at its discretion suspend purchasing such equipment and/or materials.</w:t>
            </w:r>
          </w:p>
        </w:tc>
        <w:tc>
          <w:tcPr>
            <w:tcW w:w="2144" w:type="pct"/>
          </w:tcPr>
          <w:p w14:paraId="708C6731">
            <w:pPr>
              <w:shd w:val="clear" w:color="auto" w:fill="FFFFFF"/>
              <w:spacing w:before="40" w:after="40" w:line="240" w:lineRule="auto"/>
              <w:rPr>
                <w:b/>
                <w:color w:val="000000" w:themeColor="text1"/>
                <w:sz w:val="26"/>
                <w:szCs w:val="26"/>
                <w:lang w:eastAsia="ja-JP"/>
                <w14:textFill>
                  <w14:solidFill>
                    <w14:schemeClr w14:val="tx1"/>
                  </w14:solidFill>
                </w14:textFill>
              </w:rPr>
            </w:pPr>
            <w:r>
              <w:rPr>
                <w:color w:val="000000" w:themeColor="text1"/>
                <w:sz w:val="26"/>
                <w:szCs w:val="26"/>
                <w14:textFill>
                  <w14:solidFill>
                    <w14:schemeClr w14:val="tx1"/>
                  </w14:solidFill>
                </w14:textFill>
              </w:rPr>
              <w:t xml:space="preserve">Full commitment </w:t>
            </w:r>
          </w:p>
        </w:tc>
        <w:tc>
          <w:tcPr>
            <w:tcW w:w="802" w:type="pct"/>
            <w:vAlign w:val="center"/>
          </w:tcPr>
          <w:p w14:paraId="708C6732">
            <w:pPr>
              <w:shd w:val="clear" w:color="auto" w:fill="FFFFFF"/>
              <w:spacing w:before="40" w:after="40" w:line="240" w:lineRule="auto"/>
              <w:jc w:val="center"/>
              <w:rPr>
                <w:color w:val="000000" w:themeColor="text1"/>
                <w:sz w:val="26"/>
                <w:szCs w:val="26"/>
                <w:lang w:eastAsia="ja-JP"/>
                <w14:textFill>
                  <w14:solidFill>
                    <w14:schemeClr w14:val="tx1"/>
                  </w14:solidFill>
                </w14:textFill>
              </w:rPr>
            </w:pPr>
            <w:r>
              <w:rPr>
                <w:color w:val="000000" w:themeColor="text1"/>
                <w:sz w:val="26"/>
                <w:szCs w:val="26"/>
                <w14:textFill>
                  <w14:solidFill>
                    <w14:schemeClr w14:val="tx1"/>
                  </w14:solidFill>
                </w14:textFill>
              </w:rPr>
              <w:t>Comply</w:t>
            </w:r>
          </w:p>
        </w:tc>
      </w:tr>
      <w:tr w14:paraId="708C67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 w:hRule="atLeast"/>
        </w:trPr>
        <w:tc>
          <w:tcPr>
            <w:tcW w:w="2054" w:type="pct"/>
            <w:vMerge w:val="continue"/>
          </w:tcPr>
          <w:p w14:paraId="708C6734">
            <w:pPr>
              <w:shd w:val="clear" w:color="auto" w:fill="FFFFFF"/>
              <w:spacing w:before="40" w:after="40" w:line="240" w:lineRule="auto"/>
              <w:rPr>
                <w:b/>
                <w:color w:val="000000" w:themeColor="text1"/>
                <w:sz w:val="26"/>
                <w:szCs w:val="26"/>
                <w:lang w:eastAsia="ja-JP"/>
                <w14:textFill>
                  <w14:solidFill>
                    <w14:schemeClr w14:val="tx1"/>
                  </w14:solidFill>
                </w14:textFill>
              </w:rPr>
            </w:pPr>
          </w:p>
        </w:tc>
        <w:tc>
          <w:tcPr>
            <w:tcW w:w="2144" w:type="pct"/>
          </w:tcPr>
          <w:p w14:paraId="708C6735">
            <w:pPr>
              <w:shd w:val="clear" w:color="auto" w:fill="FFFFFF"/>
              <w:spacing w:before="40" w:after="40" w:line="240" w:lineRule="auto"/>
              <w:rPr>
                <w:b/>
                <w:color w:val="000000" w:themeColor="text1"/>
                <w:sz w:val="26"/>
                <w:szCs w:val="26"/>
                <w:lang w:eastAsia="ja-JP"/>
                <w14:textFill>
                  <w14:solidFill>
                    <w14:schemeClr w14:val="tx1"/>
                  </w14:solidFill>
                </w14:textFill>
              </w:rPr>
            </w:pPr>
            <w:r>
              <w:rPr>
                <w:color w:val="000000" w:themeColor="text1"/>
                <w:sz w:val="26"/>
                <w:szCs w:val="26"/>
                <w14:textFill>
                  <w14:solidFill>
                    <w14:schemeClr w14:val="tx1"/>
                  </w14:solidFill>
                </w14:textFill>
              </w:rPr>
              <w:t xml:space="preserve">After the clarification, the Bidder fails </w:t>
            </w:r>
            <w:r>
              <w:rPr>
                <w:color w:val="000000" w:themeColor="text1"/>
                <w:sz w:val="26"/>
                <w:szCs w:val="26"/>
                <w:lang w:val="vi-VN"/>
                <w14:textFill>
                  <w14:solidFill>
                    <w14:schemeClr w14:val="tx1"/>
                  </w14:solidFill>
                </w14:textFill>
              </w:rPr>
              <w:t>to supply</w:t>
            </w:r>
          </w:p>
        </w:tc>
        <w:tc>
          <w:tcPr>
            <w:tcW w:w="802" w:type="pct"/>
          </w:tcPr>
          <w:p w14:paraId="708C6736">
            <w:pPr>
              <w:shd w:val="clear" w:color="auto" w:fill="FFFFFF"/>
              <w:spacing w:before="40" w:after="40" w:line="240" w:lineRule="auto"/>
              <w:jc w:val="center"/>
              <w:rPr>
                <w:color w:val="000000" w:themeColor="text1"/>
                <w:sz w:val="26"/>
                <w:szCs w:val="26"/>
                <w:lang w:eastAsia="ja-JP"/>
                <w14:textFill>
                  <w14:solidFill>
                    <w14:schemeClr w14:val="tx1"/>
                  </w14:solidFill>
                </w14:textFill>
              </w:rPr>
            </w:pPr>
            <w:r>
              <w:rPr>
                <w:color w:val="000000" w:themeColor="text1"/>
                <w:sz w:val="26"/>
                <w:szCs w:val="26"/>
                <w14:textFill>
                  <w14:solidFill>
                    <w14:schemeClr w14:val="tx1"/>
                  </w14:solidFill>
                </w14:textFill>
              </w:rPr>
              <w:t>Not Comply</w:t>
            </w:r>
          </w:p>
        </w:tc>
      </w:tr>
      <w:tr w14:paraId="708C67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 w:hRule="atLeast"/>
        </w:trPr>
        <w:tc>
          <w:tcPr>
            <w:tcW w:w="4198" w:type="pct"/>
            <w:gridSpan w:val="2"/>
            <w:vAlign w:val="center"/>
          </w:tcPr>
          <w:p w14:paraId="708C6738">
            <w:pPr>
              <w:shd w:val="clear" w:color="auto" w:fill="FFFFFF"/>
              <w:spacing w:before="40" w:after="40" w:line="240" w:lineRule="auto"/>
              <w:rPr>
                <w:b/>
                <w:bCs/>
                <w:color w:val="000000" w:themeColor="text1"/>
                <w:sz w:val="26"/>
                <w:szCs w:val="26"/>
                <w:vertAlign w:val="superscript"/>
                <w:lang w:eastAsia="ja-JP"/>
                <w14:textFill>
                  <w14:solidFill>
                    <w14:schemeClr w14:val="tx1"/>
                  </w14:solidFill>
                </w14:textFill>
              </w:rPr>
            </w:pPr>
            <w:r>
              <w:rPr>
                <w:b/>
                <w:bCs/>
                <w:color w:val="000000" w:themeColor="text1"/>
                <w:sz w:val="26"/>
                <w:szCs w:val="26"/>
                <w14:textFill>
                  <w14:solidFill>
                    <w14:schemeClr w14:val="tx1"/>
                  </w14:solidFill>
                </w14:textFill>
              </w:rPr>
              <w:t>Conclusion</w:t>
            </w:r>
            <w:r>
              <w:rPr>
                <w:b/>
                <w:bCs/>
                <w:color w:val="000000" w:themeColor="text1"/>
                <w:sz w:val="26"/>
                <w:szCs w:val="26"/>
                <w:vertAlign w:val="superscript"/>
                <w14:textFill>
                  <w14:solidFill>
                    <w14:schemeClr w14:val="tx1"/>
                  </w14:solidFill>
                </w14:textFill>
              </w:rPr>
              <w:t>(a)</w:t>
            </w:r>
          </w:p>
        </w:tc>
        <w:tc>
          <w:tcPr>
            <w:tcW w:w="802" w:type="pct"/>
            <w:vAlign w:val="center"/>
          </w:tcPr>
          <w:p w14:paraId="708C6739">
            <w:pPr>
              <w:shd w:val="clear" w:color="auto" w:fill="FFFFFF"/>
              <w:spacing w:before="40" w:after="40" w:line="240" w:lineRule="auto"/>
              <w:rPr>
                <w:color w:val="000000" w:themeColor="text1"/>
                <w:sz w:val="26"/>
                <w:szCs w:val="26"/>
                <w:lang w:eastAsia="ja-JP"/>
                <w14:textFill>
                  <w14:solidFill>
                    <w14:schemeClr w14:val="tx1"/>
                  </w14:solidFill>
                </w14:textFill>
              </w:rPr>
            </w:pPr>
          </w:p>
        </w:tc>
      </w:tr>
    </w:tbl>
    <w:p w14:paraId="708C673B">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Notes: </w:t>
      </w:r>
    </w:p>
    <w:p w14:paraId="708C673C">
      <w:pPr>
        <w:pStyle w:val="97"/>
        <w:widowControl w:val="0"/>
        <w:numPr>
          <w:ilvl w:val="0"/>
          <w:numId w:val="44"/>
        </w:numPr>
        <w:shd w:val="clear" w:color="auto" w:fill="FFFFFF"/>
        <w:spacing w:before="120"/>
        <w:ind w:left="0" w:firstLine="567"/>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bidder is considered responsiveness to technical requirement when all above contents (</w:t>
      </w:r>
      <w:r>
        <w:rPr>
          <w:b/>
          <w:bCs/>
          <w:i/>
          <w:iCs/>
          <w:color w:val="000000" w:themeColor="text1"/>
          <w:sz w:val="26"/>
          <w:szCs w:val="26"/>
          <w14:textFill>
            <w14:solidFill>
              <w14:schemeClr w14:val="tx1"/>
            </w14:solidFill>
          </w14:textFill>
        </w:rPr>
        <w:t>items 1 to 9</w:t>
      </w:r>
      <w:r>
        <w:rPr>
          <w:color w:val="000000" w:themeColor="text1"/>
          <w:sz w:val="26"/>
          <w:szCs w:val="26"/>
          <w14:textFill>
            <w14:solidFill>
              <w14:schemeClr w14:val="tx1"/>
            </w14:solidFill>
          </w14:textFill>
        </w:rPr>
        <w:t>) are evaluated as « comply ». In case one of above contents is evaluated as « not comply », then the bidder is considered unresponsiveness to technical requirement and the bid shall not be considered for further evaluation.</w:t>
      </w:r>
    </w:p>
    <w:p w14:paraId="708C673D">
      <w:pPr>
        <w:widowControl w:val="0"/>
        <w:shd w:val="clear" w:color="auto" w:fill="FFFFFF"/>
        <w:spacing w:before="120" w:after="0" w:line="240" w:lineRule="auto"/>
        <w:ind w:firstLine="567"/>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4. Evaluation criteria for Bid price</w:t>
      </w:r>
    </w:p>
    <w:p w14:paraId="708C673E">
      <w:pPr>
        <w:pStyle w:val="4"/>
        <w:keepNext w:val="0"/>
        <w:widowControl w:val="0"/>
        <w:shd w:val="clear" w:color="auto" w:fill="FFFFFF"/>
        <w:spacing w:before="120" w:after="0" w:line="240" w:lineRule="auto"/>
        <w:ind w:firstLine="567"/>
        <w:jc w:val="both"/>
        <w:rPr>
          <w:rFonts w:ascii="Times New Roman" w:hAnsi="Times New Roman"/>
          <w:b w:val="0"/>
          <w:iCs/>
          <w:color w:val="000000" w:themeColor="text1"/>
          <w14:textFill>
            <w14:solidFill>
              <w14:schemeClr w14:val="tx1"/>
            </w14:solidFill>
          </w14:textFill>
        </w:rPr>
      </w:pPr>
      <w:r>
        <w:rPr>
          <w:rFonts w:ascii="Times New Roman" w:hAnsi="Times New Roman"/>
          <w:b w:val="0"/>
          <w:bCs w:val="0"/>
          <w:iCs/>
          <w:color w:val="000000" w:themeColor="text1"/>
          <w14:textFill>
            <w14:solidFill>
              <w14:schemeClr w14:val="tx1"/>
            </w14:solidFill>
          </w14:textFill>
        </w:rPr>
        <w:t>The lowest price selection method shall be applied. Details are as follow:</w:t>
      </w:r>
    </w:p>
    <w:p w14:paraId="708C673F">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Step 1. Determination of bid price;</w:t>
      </w:r>
    </w:p>
    <w:p w14:paraId="708C6740">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Step 2. Correction of errors (as specified in ITB 31.1);</w:t>
      </w:r>
    </w:p>
    <w:p w14:paraId="708C6741">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Step 3. Adjustment of deviations (as specified in ITB 31.2); </w:t>
      </w:r>
    </w:p>
    <w:p w14:paraId="708C6742">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Step 4.  Determination of bid price after error correction, deviation adjustment and deducts of discount (if any);</w:t>
      </w:r>
    </w:p>
    <w:p w14:paraId="708C6743">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Step 5. Conversion to a common currency </w:t>
      </w:r>
    </w:p>
    <w:p w14:paraId="708C6744">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Step 6. Determination of preference value (if any) as specified in ITB 32.</w:t>
      </w:r>
    </w:p>
    <w:p w14:paraId="708C6745">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Step 7. Ranking of bidders:</w:t>
      </w:r>
    </w:p>
    <w:p w14:paraId="708C6746">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bid shall be ranked based on the bid prices (excluding taxes, fees and duties related to import, excise tax (if any), VAT for goods) after error correction, deviation adjustment and deducts of discount (if any) plus preference value (if any). The bidder with the lowest evaluated price will be ranked first.</w:t>
      </w:r>
    </w:p>
    <w:p w14:paraId="708C6747">
      <w:pPr>
        <w:widowControl w:val="0"/>
        <w:shd w:val="clear" w:color="auto" w:fill="FFFFFF"/>
        <w:spacing w:before="120" w:after="0" w:line="240" w:lineRule="auto"/>
        <w:ind w:firstLine="567"/>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5. Alternative technical solution in Bids: N/A</w:t>
      </w:r>
    </w:p>
    <w:p w14:paraId="708C6748">
      <w:pPr>
        <w:widowControl w:val="0"/>
        <w:shd w:val="clear" w:color="auto" w:fill="FFFFFF"/>
        <w:spacing w:before="120" w:after="0" w:line="240" w:lineRule="auto"/>
        <w:ind w:firstLine="567"/>
        <w:rPr>
          <w:b/>
          <w:bCs/>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6. </w:t>
      </w:r>
      <w:r>
        <w:rPr>
          <w:b/>
          <w:bCs/>
          <w:color w:val="000000" w:themeColor="text1"/>
          <w:sz w:val="26"/>
          <w:szCs w:val="26"/>
          <w14:textFill>
            <w14:solidFill>
              <w14:schemeClr w14:val="tx1"/>
            </w14:solidFill>
          </w14:textFill>
        </w:rPr>
        <w:t>In case the package is divided into separate lots: N/A</w:t>
      </w:r>
    </w:p>
    <w:p w14:paraId="708C6749">
      <w:pPr>
        <w:pStyle w:val="343"/>
        <w:widowControl w:val="0"/>
        <w:spacing w:before="120" w:after="120" w:line="264" w:lineRule="auto"/>
        <w:ind w:firstLine="567"/>
        <w:outlineLvl w:val="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br w:type="page"/>
      </w:r>
      <w:r>
        <w:rPr>
          <w:color w:val="000000" w:themeColor="text1"/>
          <w:sz w:val="26"/>
          <w:szCs w:val="26"/>
          <w14:textFill>
            <w14:solidFill>
              <w14:schemeClr w14:val="tx1"/>
            </w14:solidFill>
          </w14:textFill>
        </w:rPr>
        <w:t>SECTION IV. BIDDING FORMS</w:t>
      </w:r>
    </w:p>
    <w:p w14:paraId="708C674A">
      <w:pPr>
        <w:pStyle w:val="343"/>
        <w:widowControl w:val="0"/>
        <w:shd w:val="clear" w:color="auto" w:fill="FFFFFF"/>
        <w:spacing w:before="100"/>
        <w:ind w:firstLine="567"/>
        <w:jc w:val="both"/>
        <w:outlineLvl w:val="2"/>
        <w:rPr>
          <w:b w:val="0"/>
          <w:i/>
          <w:color w:val="000000" w:themeColor="text1"/>
          <w:sz w:val="26"/>
          <w:szCs w:val="26"/>
          <w14:textFill>
            <w14:solidFill>
              <w14:schemeClr w14:val="tx1"/>
            </w14:solidFill>
          </w14:textFill>
        </w:rPr>
      </w:pPr>
      <w:r>
        <w:rPr>
          <w:b w:val="0"/>
          <w:color w:val="000000" w:themeColor="text1"/>
          <w:sz w:val="26"/>
          <w:szCs w:val="26"/>
          <w14:textFill>
            <w14:solidFill>
              <w14:schemeClr w14:val="tx1"/>
            </w14:solidFill>
          </w14:textFill>
        </w:rPr>
        <w:t>Form 1. Letter of bid</w:t>
      </w:r>
    </w:p>
    <w:p w14:paraId="708C674B">
      <w:pPr>
        <w:pStyle w:val="4"/>
        <w:keepNext w:val="0"/>
        <w:widowControl w:val="0"/>
        <w:shd w:val="clear" w:color="auto" w:fill="FFFFFF"/>
        <w:spacing w:before="100" w:after="0" w:line="240" w:lineRule="auto"/>
        <w:ind w:firstLine="567"/>
        <w:jc w:val="both"/>
        <w:rPr>
          <w:rFonts w:ascii="Times New Roman" w:hAnsi="Times New Roman"/>
          <w:b w:val="0"/>
          <w:color w:val="000000" w:themeColor="text1"/>
          <w:vertAlign w:val="superscript"/>
          <w14:textFill>
            <w14:solidFill>
              <w14:schemeClr w14:val="tx1"/>
            </w14:solidFill>
          </w14:textFill>
        </w:rPr>
      </w:pPr>
      <w:r>
        <w:rPr>
          <w:rFonts w:ascii="Times New Roman" w:hAnsi="Times New Roman"/>
          <w:b w:val="0"/>
          <w:color w:val="000000" w:themeColor="text1"/>
          <w14:textFill>
            <w14:solidFill>
              <w14:schemeClr w14:val="tx1"/>
            </w14:solidFill>
          </w14:textFill>
        </w:rPr>
        <w:t>Form 2. Power of Attorney</w:t>
      </w:r>
    </w:p>
    <w:p w14:paraId="708C674C">
      <w:pPr>
        <w:pStyle w:val="311"/>
        <w:keepNext w:val="0"/>
        <w:widowControl w:val="0"/>
        <w:shd w:val="clear" w:color="auto" w:fill="FFFFFF"/>
        <w:spacing w:before="100" w:after="0"/>
        <w:jc w:val="both"/>
        <w:rPr>
          <w:rFonts w:ascii="Times New Roman" w:hAnsi="Times New Roman"/>
          <w:b w:val="0"/>
          <w:color w:val="000000" w:themeColor="text1"/>
          <w:sz w:val="26"/>
          <w:szCs w:val="26"/>
          <w:u w:val="none"/>
          <w:vertAlign w:val="superscript"/>
          <w:lang w:val="en-US"/>
          <w14:textFill>
            <w14:solidFill>
              <w14:schemeClr w14:val="tx1"/>
            </w14:solidFill>
          </w14:textFill>
        </w:rPr>
      </w:pPr>
      <w:r>
        <w:rPr>
          <w:rFonts w:ascii="Times New Roman" w:hAnsi="Times New Roman"/>
          <w:b w:val="0"/>
          <w:color w:val="000000" w:themeColor="text1"/>
          <w:sz w:val="26"/>
          <w:szCs w:val="26"/>
          <w:u w:val="none"/>
          <w:lang w:val="en-US"/>
          <w14:textFill>
            <w14:solidFill>
              <w14:schemeClr w14:val="tx1"/>
            </w14:solidFill>
          </w14:textFill>
        </w:rPr>
        <w:t>Form 3. Consortium agreement</w:t>
      </w:r>
    </w:p>
    <w:p w14:paraId="708C674D">
      <w:pPr>
        <w:pStyle w:val="4"/>
        <w:keepNext w:val="0"/>
        <w:widowControl w:val="0"/>
        <w:shd w:val="clear" w:color="auto" w:fill="FFFFFF"/>
        <w:spacing w:before="100" w:after="0" w:line="240" w:lineRule="auto"/>
        <w:ind w:firstLine="567"/>
        <w:jc w:val="both"/>
        <w:rPr>
          <w:rFonts w:ascii="Times New Roman" w:hAnsi="Times New Roman"/>
          <w:b w:val="0"/>
          <w:color w:val="000000" w:themeColor="text1"/>
          <w14:textFill>
            <w14:solidFill>
              <w14:schemeClr w14:val="tx1"/>
            </w14:solidFill>
          </w14:textFill>
        </w:rPr>
      </w:pPr>
      <w:r>
        <w:rPr>
          <w:rFonts w:ascii="Times New Roman" w:hAnsi="Times New Roman"/>
          <w:b w:val="0"/>
          <w:color w:val="000000" w:themeColor="text1"/>
          <w14:textFill>
            <w14:solidFill>
              <w14:schemeClr w14:val="tx1"/>
            </w14:solidFill>
          </w14:textFill>
        </w:rPr>
        <w:t xml:space="preserve">Form 4 (a). Bid security form </w:t>
      </w:r>
      <w:r>
        <w:rPr>
          <w:rFonts w:ascii="Times New Roman" w:hAnsi="Times New Roman"/>
          <w:b w:val="0"/>
          <w:i/>
          <w:color w:val="000000" w:themeColor="text1"/>
          <w14:textFill>
            <w14:solidFill>
              <w14:schemeClr w14:val="tx1"/>
            </w14:solidFill>
          </w14:textFill>
        </w:rPr>
        <w:t>(application for independent bidder)</w:t>
      </w:r>
    </w:p>
    <w:p w14:paraId="708C674E">
      <w:pPr>
        <w:widowControl w:val="0"/>
        <w:shd w:val="clear" w:color="auto" w:fill="FFFFFF"/>
        <w:spacing w:before="100" w:after="0" w:line="240" w:lineRule="auto"/>
        <w:ind w:firstLine="567"/>
        <w:jc w:val="both"/>
        <w:rPr>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Form 4 (b). Bid security form </w:t>
      </w:r>
      <w:r>
        <w:rPr>
          <w:i/>
          <w:color w:val="000000" w:themeColor="text1"/>
          <w:sz w:val="26"/>
          <w:szCs w:val="26"/>
          <w14:textFill>
            <w14:solidFill>
              <w14:schemeClr w14:val="tx1"/>
            </w14:solidFill>
          </w14:textFill>
        </w:rPr>
        <w:t>(application for Consortium)</w:t>
      </w:r>
    </w:p>
    <w:p w14:paraId="708C674F">
      <w:pPr>
        <w:widowControl w:val="0"/>
        <w:shd w:val="clear" w:color="auto" w:fill="FFFFFF"/>
        <w:spacing w:before="10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Form 5. Summary of bid price</w:t>
      </w:r>
      <w:r>
        <w:rPr>
          <w:color w:val="000000" w:themeColor="text1"/>
          <w:sz w:val="26"/>
          <w:szCs w:val="26"/>
          <w14:textFill>
            <w14:solidFill>
              <w14:schemeClr w14:val="tx1"/>
            </w14:solidFill>
          </w14:textFill>
        </w:rPr>
        <w:tab/>
      </w:r>
    </w:p>
    <w:p w14:paraId="708C6750">
      <w:pPr>
        <w:widowControl w:val="0"/>
        <w:shd w:val="clear" w:color="auto" w:fill="FFFFFF"/>
        <w:spacing w:before="100" w:after="0" w:line="240" w:lineRule="auto"/>
        <w:ind w:firstLine="567"/>
        <w:jc w:val="both"/>
        <w:rPr>
          <w:bCs/>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Form 5 (a1). Price Schedule for goods </w:t>
      </w:r>
      <w:r>
        <w:rPr>
          <w:bCs/>
          <w:i/>
          <w:color w:val="000000" w:themeColor="text1"/>
          <w:sz w:val="26"/>
          <w:szCs w:val="26"/>
          <w14:textFill>
            <w14:solidFill>
              <w14:schemeClr w14:val="tx1"/>
            </w14:solidFill>
          </w14:textFill>
        </w:rPr>
        <w:t>(application for Lumsump-Contract)</w:t>
      </w:r>
    </w:p>
    <w:p w14:paraId="708C6751">
      <w:pPr>
        <w:widowControl w:val="0"/>
        <w:shd w:val="clear" w:color="auto" w:fill="FFFFFF"/>
        <w:spacing w:before="100" w:after="0" w:line="240" w:lineRule="auto"/>
        <w:ind w:firstLine="567"/>
        <w:jc w:val="both"/>
        <w:rPr>
          <w:bCs/>
          <w:i/>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 xml:space="preserve">Form 5 (b1). Price Schedule for Related Services </w:t>
      </w:r>
      <w:r>
        <w:rPr>
          <w:bCs/>
          <w:i/>
          <w:color w:val="000000" w:themeColor="text1"/>
          <w:sz w:val="26"/>
          <w:szCs w:val="26"/>
          <w14:textFill>
            <w14:solidFill>
              <w14:schemeClr w14:val="tx1"/>
            </w14:solidFill>
          </w14:textFill>
        </w:rPr>
        <w:t>(application for Lumsump and Unit Price Contract)</w:t>
      </w:r>
    </w:p>
    <w:p w14:paraId="708C6752">
      <w:pPr>
        <w:widowControl w:val="0"/>
        <w:shd w:val="clear" w:color="auto" w:fill="FFFFFF"/>
        <w:spacing w:before="100" w:after="0" w:line="240" w:lineRule="auto"/>
        <w:ind w:firstLine="567"/>
        <w:jc w:val="both"/>
        <w:rPr>
          <w:bCs/>
          <w:iCs/>
          <w:color w:val="000000" w:themeColor="text1"/>
          <w:sz w:val="26"/>
          <w:szCs w:val="26"/>
          <w14:textFill>
            <w14:solidFill>
              <w14:schemeClr w14:val="tx1"/>
            </w14:solidFill>
          </w14:textFill>
        </w:rPr>
      </w:pPr>
      <w:r>
        <w:rPr>
          <w:bCs/>
          <w:iCs/>
          <w:color w:val="000000" w:themeColor="text1"/>
          <w:sz w:val="26"/>
          <w:szCs w:val="26"/>
          <w14:textFill>
            <w14:solidFill>
              <w14:schemeClr w14:val="tx1"/>
            </w14:solidFill>
          </w14:textFill>
        </w:rPr>
        <w:t>Form 6. Delivery Schedule</w:t>
      </w:r>
    </w:p>
    <w:p w14:paraId="708C6753">
      <w:pPr>
        <w:widowControl w:val="0"/>
        <w:shd w:val="clear" w:color="auto" w:fill="FFFFFF"/>
        <w:spacing w:before="10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Form 7(a). Declaration for preferential goods</w:t>
      </w:r>
    </w:p>
    <w:p w14:paraId="708C6754">
      <w:pPr>
        <w:widowControl w:val="0"/>
        <w:spacing w:before="100" w:after="0" w:line="240" w:lineRule="auto"/>
        <w:ind w:firstLine="567"/>
        <w:jc w:val="both"/>
        <w:rPr>
          <w:bCs/>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Form 7(a1),7(a2), List of declaration of domestic Production cost for Preferential goods</w:t>
      </w:r>
    </w:p>
    <w:p w14:paraId="708C6755">
      <w:pPr>
        <w:widowControl w:val="0"/>
        <w:shd w:val="clear" w:color="auto" w:fill="FFFFFF"/>
        <w:spacing w:before="100" w:after="0" w:line="240" w:lineRule="auto"/>
        <w:ind w:firstLine="567"/>
        <w:jc w:val="both"/>
        <w:rPr>
          <w:rFonts w:eastAsia="Times New Roman"/>
          <w:color w:val="000000" w:themeColor="text1"/>
          <w:sz w:val="26"/>
          <w:szCs w:val="26"/>
          <w14:textFill>
            <w14:solidFill>
              <w14:schemeClr w14:val="tx1"/>
            </w14:solidFill>
          </w14:textFill>
        </w:rPr>
      </w:pPr>
      <w:r>
        <w:rPr>
          <w:rFonts w:eastAsia="Times New Roman"/>
          <w:color w:val="000000" w:themeColor="text1"/>
          <w:sz w:val="26"/>
          <w:szCs w:val="26"/>
          <w14:textFill>
            <w14:solidFill>
              <w14:schemeClr w14:val="tx1"/>
            </w14:solidFill>
          </w14:textFill>
        </w:rPr>
        <w:t>Form 8 (a1). Declaration of information about the bidder (in case the bidder is not the manufacturer of goods offered)</w:t>
      </w:r>
    </w:p>
    <w:p w14:paraId="708C6756">
      <w:pPr>
        <w:widowControl w:val="0"/>
        <w:shd w:val="clear" w:color="auto" w:fill="FFFFFF"/>
        <w:spacing w:before="100" w:after="0" w:line="240" w:lineRule="auto"/>
        <w:ind w:firstLine="567"/>
        <w:jc w:val="both"/>
        <w:rPr>
          <w:rFonts w:eastAsia="Times New Roman"/>
          <w:color w:val="000000" w:themeColor="text1"/>
          <w:sz w:val="26"/>
          <w:szCs w:val="26"/>
          <w14:textFill>
            <w14:solidFill>
              <w14:schemeClr w14:val="tx1"/>
            </w14:solidFill>
          </w14:textFill>
        </w:rPr>
      </w:pPr>
      <w:r>
        <w:rPr>
          <w:rFonts w:eastAsia="Times New Roman"/>
          <w:color w:val="000000" w:themeColor="text1"/>
          <w:sz w:val="26"/>
          <w:szCs w:val="26"/>
          <w14:textFill>
            <w14:solidFill>
              <w14:schemeClr w14:val="tx1"/>
            </w14:solidFill>
          </w14:textFill>
        </w:rPr>
        <w:t>Form 8 (a2). Declaration of information about the bidder (in case the bidder is the manufacturer of goods offered in this package)</w:t>
      </w:r>
    </w:p>
    <w:p w14:paraId="708C6757">
      <w:pPr>
        <w:widowControl w:val="0"/>
        <w:shd w:val="clear" w:color="auto" w:fill="FFFFFF"/>
        <w:spacing w:before="100" w:after="0" w:line="240" w:lineRule="auto"/>
        <w:ind w:firstLine="567"/>
        <w:jc w:val="both"/>
        <w:rPr>
          <w:rFonts w:eastAsia="Times New Roman"/>
          <w:color w:val="000000" w:themeColor="text1"/>
          <w:sz w:val="26"/>
          <w:szCs w:val="26"/>
          <w14:textFill>
            <w14:solidFill>
              <w14:schemeClr w14:val="tx1"/>
            </w14:solidFill>
          </w14:textFill>
        </w:rPr>
      </w:pPr>
      <w:r>
        <w:rPr>
          <w:rFonts w:eastAsia="Times New Roman"/>
          <w:color w:val="000000" w:themeColor="text1"/>
          <w:sz w:val="26"/>
          <w:szCs w:val="26"/>
          <w14:textFill>
            <w14:solidFill>
              <w14:schemeClr w14:val="tx1"/>
            </w14:solidFill>
          </w14:textFill>
        </w:rPr>
        <w:t>Form 8 (b1). Declaration of information about the members of the consortium (in case the member of the consortium is not the manufacturer of goods offered)</w:t>
      </w:r>
    </w:p>
    <w:p w14:paraId="708C6758">
      <w:pPr>
        <w:widowControl w:val="0"/>
        <w:shd w:val="clear" w:color="auto" w:fill="FFFFFF"/>
        <w:spacing w:before="100" w:after="0" w:line="240" w:lineRule="auto"/>
        <w:ind w:firstLine="567"/>
        <w:jc w:val="both"/>
        <w:rPr>
          <w:rFonts w:eastAsia="Times New Roman"/>
          <w:color w:val="000000" w:themeColor="text1"/>
          <w:sz w:val="26"/>
          <w:szCs w:val="26"/>
          <w14:textFill>
            <w14:solidFill>
              <w14:schemeClr w14:val="tx1"/>
            </w14:solidFill>
          </w14:textFill>
        </w:rPr>
      </w:pPr>
      <w:r>
        <w:rPr>
          <w:rFonts w:eastAsia="Times New Roman"/>
          <w:color w:val="000000" w:themeColor="text1"/>
          <w:sz w:val="26"/>
          <w:szCs w:val="26"/>
          <w14:textFill>
            <w14:solidFill>
              <w14:schemeClr w14:val="tx1"/>
            </w14:solidFill>
          </w14:textFill>
        </w:rPr>
        <w:t>Form 8 (b2). The declaration of information about the members of the consortium (in case the member of the consortium is the manufacturer of goods offered)</w:t>
      </w:r>
    </w:p>
    <w:p w14:paraId="708C6759">
      <w:pPr>
        <w:widowControl w:val="0"/>
        <w:shd w:val="clear" w:color="auto" w:fill="FFFFFF"/>
        <w:spacing w:before="100" w:after="0" w:line="240" w:lineRule="auto"/>
        <w:ind w:firstLine="567"/>
        <w:jc w:val="both"/>
        <w:rPr>
          <w:rFonts w:eastAsia="Times New Roman"/>
          <w:color w:val="000000" w:themeColor="text1"/>
          <w:sz w:val="26"/>
          <w:szCs w:val="26"/>
          <w14:textFill>
            <w14:solidFill>
              <w14:schemeClr w14:val="tx1"/>
            </w14:solidFill>
          </w14:textFill>
        </w:rPr>
      </w:pPr>
      <w:r>
        <w:rPr>
          <w:rFonts w:eastAsia="Times New Roman"/>
          <w:color w:val="000000" w:themeColor="text1"/>
          <w:sz w:val="26"/>
          <w:szCs w:val="26"/>
          <w14:textFill>
            <w14:solidFill>
              <w14:schemeClr w14:val="tx1"/>
            </w14:solidFill>
          </w14:textFill>
        </w:rPr>
        <w:t>Form 9(a). Similar contracts having been performed by the bidder (in case the bidder is not the manufacturer of goods offered)</w:t>
      </w:r>
    </w:p>
    <w:p w14:paraId="708C675A">
      <w:pPr>
        <w:widowControl w:val="0"/>
        <w:shd w:val="clear" w:color="auto" w:fill="FFFFFF"/>
        <w:spacing w:before="100" w:after="0" w:line="240" w:lineRule="auto"/>
        <w:ind w:firstLine="567"/>
        <w:jc w:val="both"/>
        <w:rPr>
          <w:rFonts w:eastAsia="Times New Roman"/>
          <w:color w:val="000000" w:themeColor="text1"/>
          <w:sz w:val="26"/>
          <w:szCs w:val="26"/>
          <w14:textFill>
            <w14:solidFill>
              <w14:schemeClr w14:val="tx1"/>
            </w14:solidFill>
          </w14:textFill>
        </w:rPr>
      </w:pPr>
      <w:r>
        <w:rPr>
          <w:rFonts w:eastAsia="Times New Roman"/>
          <w:color w:val="000000" w:themeColor="text1"/>
          <w:sz w:val="26"/>
          <w:szCs w:val="26"/>
          <w14:textFill>
            <w14:solidFill>
              <w14:schemeClr w14:val="tx1"/>
            </w14:solidFill>
          </w14:textFill>
        </w:rPr>
        <w:t>Form 9(b). Declaration of goods production capacity (in case the bidder is the manufacturer of goods offered)</w:t>
      </w:r>
    </w:p>
    <w:p w14:paraId="708C675B">
      <w:pPr>
        <w:pStyle w:val="4"/>
        <w:keepNext w:val="0"/>
        <w:widowControl w:val="0"/>
        <w:shd w:val="clear" w:color="auto" w:fill="FFFFFF"/>
        <w:spacing w:before="100" w:after="0" w:line="240" w:lineRule="auto"/>
        <w:ind w:firstLine="567"/>
        <w:jc w:val="both"/>
        <w:rPr>
          <w:rStyle w:val="180"/>
          <w:rFonts w:ascii="Times New Roman" w:hAnsi="Times New Roman"/>
          <w:b w:val="0"/>
          <w:color w:val="000000" w:themeColor="text1"/>
          <w:sz w:val="26"/>
          <w14:textFill>
            <w14:solidFill>
              <w14:schemeClr w14:val="tx1"/>
            </w14:solidFill>
          </w14:textFill>
        </w:rPr>
      </w:pPr>
      <w:r>
        <w:rPr>
          <w:rFonts w:ascii="Times New Roman" w:hAnsi="Times New Roman"/>
          <w:b w:val="0"/>
          <w:color w:val="000000" w:themeColor="text1"/>
          <w14:textFill>
            <w14:solidFill>
              <w14:schemeClr w14:val="tx1"/>
            </w14:solidFill>
          </w14:textFill>
        </w:rPr>
        <w:t>Form 10. Proposed key personnel</w:t>
      </w:r>
    </w:p>
    <w:p w14:paraId="708C675C">
      <w:pPr>
        <w:pStyle w:val="4"/>
        <w:keepNext w:val="0"/>
        <w:widowControl w:val="0"/>
        <w:shd w:val="clear" w:color="auto" w:fill="FFFFFF"/>
        <w:spacing w:before="100" w:after="0" w:line="240" w:lineRule="auto"/>
        <w:ind w:firstLine="567"/>
        <w:jc w:val="both"/>
        <w:rPr>
          <w:rFonts w:ascii="Times New Roman" w:hAnsi="Times New Roman"/>
          <w:b w:val="0"/>
          <w:bCs w:val="0"/>
          <w:color w:val="000000" w:themeColor="text1"/>
          <w14:textFill>
            <w14:solidFill>
              <w14:schemeClr w14:val="tx1"/>
            </w14:solidFill>
          </w14:textFill>
        </w:rPr>
      </w:pPr>
      <w:r>
        <w:rPr>
          <w:rFonts w:ascii="Times New Roman" w:hAnsi="Times New Roman"/>
          <w:b w:val="0"/>
          <w:color w:val="000000" w:themeColor="text1"/>
          <w14:textFill>
            <w14:solidFill>
              <w14:schemeClr w14:val="tx1"/>
            </w14:solidFill>
          </w14:textFill>
        </w:rPr>
        <w:t>Form 10(a). Resume of proposed key personnel</w:t>
      </w:r>
    </w:p>
    <w:p w14:paraId="708C675D">
      <w:pPr>
        <w:pStyle w:val="4"/>
        <w:keepNext w:val="0"/>
        <w:widowControl w:val="0"/>
        <w:shd w:val="clear" w:color="auto" w:fill="FFFFFF"/>
        <w:spacing w:before="100" w:after="0" w:line="240" w:lineRule="auto"/>
        <w:ind w:firstLine="567"/>
        <w:jc w:val="both"/>
        <w:rPr>
          <w:rFonts w:ascii="Times New Roman" w:hAnsi="Times New Roman"/>
          <w:color w:val="000000" w:themeColor="text1"/>
          <w14:textFill>
            <w14:solidFill>
              <w14:schemeClr w14:val="tx1"/>
            </w14:solidFill>
          </w14:textFill>
        </w:rPr>
      </w:pPr>
      <w:r>
        <w:rPr>
          <w:rFonts w:ascii="Times New Roman" w:hAnsi="Times New Roman"/>
          <w:b w:val="0"/>
          <w:bCs w:val="0"/>
          <w:color w:val="000000" w:themeColor="text1"/>
          <w14:textFill>
            <w14:solidFill>
              <w14:schemeClr w14:val="tx1"/>
            </w14:solidFill>
          </w14:textFill>
        </w:rPr>
        <w:t xml:space="preserve">Form 10(b). Specific experience of </w:t>
      </w:r>
      <w:r>
        <w:rPr>
          <w:rFonts w:ascii="Times New Roman" w:hAnsi="Times New Roman"/>
          <w:b w:val="0"/>
          <w:color w:val="000000" w:themeColor="text1"/>
          <w14:textFill>
            <w14:solidFill>
              <w14:schemeClr w14:val="tx1"/>
            </w14:solidFill>
          </w14:textFill>
        </w:rPr>
        <w:t>proposed key personnel</w:t>
      </w:r>
    </w:p>
    <w:p w14:paraId="708C675E">
      <w:pPr>
        <w:widowControl w:val="0"/>
        <w:shd w:val="clear" w:color="auto" w:fill="FFFFFF"/>
        <w:spacing w:before="10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Form 11. Non-completed contracts due to bidder's fault in the past</w:t>
      </w:r>
    </w:p>
    <w:p w14:paraId="708C675F">
      <w:pPr>
        <w:pStyle w:val="347"/>
        <w:widowControl w:val="0"/>
        <w:shd w:val="clear" w:color="auto" w:fill="FFFFFF"/>
        <w:spacing w:before="100" w:after="0"/>
        <w:ind w:firstLine="567"/>
        <w:jc w:val="both"/>
        <w:outlineLvl w:val="2"/>
        <w:rPr>
          <w:b w:val="0"/>
          <w:bCs/>
          <w:color w:val="000000" w:themeColor="text1"/>
          <w:sz w:val="26"/>
          <w:szCs w:val="26"/>
          <w14:textFill>
            <w14:solidFill>
              <w14:schemeClr w14:val="tx1"/>
            </w14:solidFill>
          </w14:textFill>
        </w:rPr>
      </w:pPr>
      <w:r>
        <w:rPr>
          <w:b w:val="0"/>
          <w:color w:val="000000" w:themeColor="text1"/>
          <w:sz w:val="26"/>
          <w:szCs w:val="26"/>
          <w14:textFill>
            <w14:solidFill>
              <w14:schemeClr w14:val="tx1"/>
            </w14:solidFill>
          </w14:textFill>
        </w:rPr>
        <w:t>Form 12. Historical financial performance</w:t>
      </w:r>
    </w:p>
    <w:p w14:paraId="708C6760">
      <w:pPr>
        <w:pStyle w:val="4"/>
        <w:keepNext w:val="0"/>
        <w:widowControl w:val="0"/>
        <w:shd w:val="clear" w:color="auto" w:fill="FFFFFF"/>
        <w:spacing w:before="100" w:after="0" w:line="240" w:lineRule="auto"/>
        <w:ind w:firstLine="567"/>
        <w:jc w:val="both"/>
        <w:rPr>
          <w:rFonts w:ascii="Times New Roman" w:hAnsi="Times New Roman"/>
          <w:b w:val="0"/>
          <w:color w:val="000000" w:themeColor="text1"/>
          <w14:textFill>
            <w14:solidFill>
              <w14:schemeClr w14:val="tx1"/>
            </w14:solidFill>
          </w14:textFill>
        </w:rPr>
      </w:pPr>
      <w:r>
        <w:rPr>
          <w:rFonts w:ascii="Times New Roman" w:hAnsi="Times New Roman"/>
          <w:b w:val="0"/>
          <w:color w:val="000000" w:themeColor="text1"/>
          <w14:textFill>
            <w14:solidFill>
              <w14:schemeClr w14:val="tx1"/>
            </w14:solidFill>
          </w14:textFill>
        </w:rPr>
        <w:t xml:space="preserve">Form 13. Work’s scope of subcontractor </w:t>
      </w:r>
    </w:p>
    <w:p w14:paraId="708C6761">
      <w:pPr>
        <w:pStyle w:val="343"/>
        <w:widowControl w:val="0"/>
        <w:spacing w:before="120" w:after="120" w:line="264" w:lineRule="auto"/>
        <w:ind w:firstLine="567"/>
        <w:jc w:val="both"/>
        <w:outlineLvl w:val="2"/>
        <w:rPr>
          <w:b w:val="0"/>
          <w:bCs/>
          <w:color w:val="000000" w:themeColor="text1"/>
          <w:sz w:val="26"/>
          <w:szCs w:val="26"/>
          <w14:textFill>
            <w14:solidFill>
              <w14:schemeClr w14:val="tx1"/>
            </w14:solidFill>
          </w14:textFill>
        </w:rPr>
      </w:pPr>
      <w:r>
        <w:rPr>
          <w:b w:val="0"/>
          <w:bCs/>
          <w:color w:val="000000" w:themeColor="text1"/>
          <w:sz w:val="26"/>
          <w:szCs w:val="26"/>
          <w14:textFill>
            <w14:solidFill>
              <w14:schemeClr w14:val="tx1"/>
            </w14:solidFill>
          </w14:textFill>
        </w:rPr>
        <w:t>Form 14. List of subsidiaries and affiliates undertaking the work of the package</w:t>
      </w:r>
    </w:p>
    <w:p w14:paraId="708C6762">
      <w:pPr>
        <w:pStyle w:val="343"/>
        <w:widowControl w:val="0"/>
        <w:spacing w:before="120" w:after="120" w:line="264" w:lineRule="auto"/>
        <w:ind w:firstLine="567"/>
        <w:outlineLvl w:val="2"/>
        <w:rPr>
          <w:color w:val="000000" w:themeColor="text1"/>
          <w:sz w:val="26"/>
          <w:szCs w:val="26"/>
          <w14:textFill>
            <w14:solidFill>
              <w14:schemeClr w14:val="tx1"/>
            </w14:solidFill>
          </w14:textFill>
        </w:rPr>
      </w:pPr>
    </w:p>
    <w:p w14:paraId="708C6763">
      <w:pPr>
        <w:numPr>
          <w:ilvl w:val="0"/>
          <w:numId w:val="45"/>
        </w:numPr>
        <w:spacing w:after="0" w:line="240" w:lineRule="auto"/>
        <w:jc w:val="center"/>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br w:type="page"/>
      </w:r>
    </w:p>
    <w:p w14:paraId="708C6764">
      <w:pPr>
        <w:tabs>
          <w:tab w:val="right" w:pos="9000"/>
        </w:tabs>
        <w:wordWrap w:val="0"/>
        <w:jc w:val="right"/>
        <w:rPr>
          <w:b/>
          <w:color w:val="000000" w:themeColor="text1"/>
          <w:sz w:val="26"/>
          <w:szCs w:val="26"/>
          <w14:textFill>
            <w14:solidFill>
              <w14:schemeClr w14:val="tx1"/>
            </w14:solidFill>
          </w14:textFill>
        </w:rPr>
      </w:pPr>
      <w:bookmarkStart w:id="11" w:name="_Toc397006872"/>
      <w:bookmarkStart w:id="12" w:name="_Toc254796587"/>
      <w:bookmarkStart w:id="13" w:name="_Toc401566632"/>
      <w:bookmarkStart w:id="14" w:name="_Toc397009027"/>
      <w:bookmarkStart w:id="15" w:name="_Toc255029470"/>
      <w:bookmarkStart w:id="16" w:name="_Toc397008941"/>
      <w:r>
        <w:rPr>
          <w:b/>
          <w:color w:val="000000" w:themeColor="text1"/>
          <w:sz w:val="26"/>
          <w:szCs w:val="26"/>
          <w14:textFill>
            <w14:solidFill>
              <w14:schemeClr w14:val="tx1"/>
            </w14:solidFill>
          </w14:textFill>
        </w:rPr>
        <w:t xml:space="preserve">Form 1 </w:t>
      </w:r>
    </w:p>
    <w:bookmarkEnd w:id="11"/>
    <w:bookmarkEnd w:id="12"/>
    <w:bookmarkEnd w:id="13"/>
    <w:bookmarkEnd w:id="14"/>
    <w:bookmarkEnd w:id="15"/>
    <w:bookmarkEnd w:id="16"/>
    <w:p w14:paraId="708C6765">
      <w:pPr>
        <w:widowControl w:val="0"/>
        <w:shd w:val="clear" w:color="auto" w:fill="FFFFFF"/>
        <w:tabs>
          <w:tab w:val="right" w:pos="9000"/>
        </w:tabs>
        <w:spacing w:before="120" w:after="0" w:line="240" w:lineRule="auto"/>
        <w:jc w:val="center"/>
        <w:rPr>
          <w:b/>
          <w:color w:val="000000" w:themeColor="text1"/>
          <w:sz w:val="26"/>
          <w:szCs w:val="26"/>
          <w:vertAlign w:val="superscript"/>
          <w14:textFill>
            <w14:solidFill>
              <w14:schemeClr w14:val="tx1"/>
            </w14:solidFill>
          </w14:textFill>
        </w:rPr>
      </w:pPr>
      <w:r>
        <w:rPr>
          <w:b/>
          <w:color w:val="000000" w:themeColor="text1"/>
          <w:sz w:val="26"/>
          <w:szCs w:val="26"/>
          <w14:textFill>
            <w14:solidFill>
              <w14:schemeClr w14:val="tx1"/>
            </w14:solidFill>
          </w14:textFill>
        </w:rPr>
        <w:t>LETTER OF BID</w:t>
      </w:r>
      <w:r>
        <w:rPr>
          <w:b/>
          <w:color w:val="000000" w:themeColor="text1"/>
          <w:sz w:val="26"/>
          <w:szCs w:val="26"/>
          <w:vertAlign w:val="superscript"/>
          <w14:textFill>
            <w14:solidFill>
              <w14:schemeClr w14:val="tx1"/>
            </w14:solidFill>
          </w14:textFill>
        </w:rPr>
        <w:t xml:space="preserve">(1) </w:t>
      </w:r>
    </w:p>
    <w:p w14:paraId="708C6766">
      <w:pPr>
        <w:widowControl w:val="0"/>
        <w:shd w:val="clear" w:color="auto" w:fill="FFFFFF"/>
        <w:tabs>
          <w:tab w:val="right" w:pos="9000"/>
        </w:tabs>
        <w:spacing w:before="120" w:after="0" w:line="240" w:lineRule="auto"/>
        <w:ind w:firstLine="567"/>
        <w:jc w:val="center"/>
        <w:rPr>
          <w:i/>
          <w:iCs/>
          <w:color w:val="000000" w:themeColor="text1"/>
          <w:sz w:val="26"/>
          <w:szCs w:val="26"/>
          <w14:textFill>
            <w14:solidFill>
              <w14:schemeClr w14:val="tx1"/>
            </w14:solidFill>
          </w14:textFill>
        </w:rPr>
      </w:pPr>
    </w:p>
    <w:p w14:paraId="708C6767">
      <w:pPr>
        <w:widowControl w:val="0"/>
        <w:shd w:val="clear" w:color="auto" w:fill="FFFFFF"/>
        <w:tabs>
          <w:tab w:val="right" w:pos="9000"/>
        </w:tabs>
        <w:spacing w:before="120" w:after="0" w:line="240" w:lineRule="auto"/>
        <w:ind w:firstLine="567"/>
        <w:rPr>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Date: </w:t>
      </w:r>
      <w:r>
        <w:rPr>
          <w:i/>
          <w:color w:val="000000" w:themeColor="text1"/>
          <w:sz w:val="26"/>
          <w:szCs w:val="26"/>
          <w14:textFill>
            <w14:solidFill>
              <w14:schemeClr w14:val="tx1"/>
            </w14:solidFill>
          </w14:textFill>
        </w:rPr>
        <w:t>[insert date of bid submission signing]</w:t>
      </w:r>
    </w:p>
    <w:p w14:paraId="708C6768">
      <w:pPr>
        <w:widowControl w:val="0"/>
        <w:shd w:val="clear" w:color="auto" w:fill="FFFFFF"/>
        <w:tabs>
          <w:tab w:val="right" w:pos="9000"/>
        </w:tabs>
        <w:spacing w:before="120" w:after="0" w:line="240" w:lineRule="auto"/>
        <w:ind w:firstLine="567"/>
        <w:rPr>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Package: </w:t>
      </w:r>
      <w:r>
        <w:rPr>
          <w:i/>
          <w:color w:val="000000" w:themeColor="text1"/>
          <w:sz w:val="26"/>
          <w:szCs w:val="26"/>
          <w14:textFill>
            <w14:solidFill>
              <w14:schemeClr w14:val="tx1"/>
            </w14:solidFill>
          </w14:textFill>
        </w:rPr>
        <w:t>[insert package’s name according to invitation for bid]</w:t>
      </w:r>
    </w:p>
    <w:p w14:paraId="708C6769">
      <w:pPr>
        <w:widowControl w:val="0"/>
        <w:shd w:val="clear" w:color="auto" w:fill="FFFFFF"/>
        <w:tabs>
          <w:tab w:val="right" w:pos="9000"/>
        </w:tabs>
        <w:spacing w:before="120" w:after="0" w:line="240" w:lineRule="auto"/>
        <w:ind w:firstLine="567"/>
        <w:rPr>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Project: </w:t>
      </w:r>
      <w:r>
        <w:rPr>
          <w:i/>
          <w:color w:val="000000" w:themeColor="text1"/>
          <w:sz w:val="26"/>
          <w:szCs w:val="26"/>
          <w14:textFill>
            <w14:solidFill>
              <w14:schemeClr w14:val="tx1"/>
            </w14:solidFill>
          </w14:textFill>
        </w:rPr>
        <w:t>[insert name of the project]</w:t>
      </w:r>
    </w:p>
    <w:p w14:paraId="708C676A">
      <w:pPr>
        <w:widowControl w:val="0"/>
        <w:shd w:val="clear" w:color="auto" w:fill="FFFFFF"/>
        <w:tabs>
          <w:tab w:val="right" w:pos="9000"/>
        </w:tabs>
        <w:spacing w:before="120" w:after="0" w:line="240" w:lineRule="auto"/>
        <w:ind w:firstLine="567"/>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Invitation for Bid No.: </w:t>
      </w:r>
      <w:r>
        <w:rPr>
          <w:i/>
          <w:color w:val="000000" w:themeColor="text1"/>
          <w:sz w:val="26"/>
          <w:szCs w:val="26"/>
          <w14:textFill>
            <w14:solidFill>
              <w14:schemeClr w14:val="tx1"/>
            </w14:solidFill>
          </w14:textFill>
        </w:rPr>
        <w:t>[insert identification]</w:t>
      </w:r>
    </w:p>
    <w:p w14:paraId="708C676B">
      <w:pPr>
        <w:widowControl w:val="0"/>
        <w:shd w:val="clear" w:color="auto" w:fill="FFFFFF"/>
        <w:spacing w:before="120" w:after="0" w:line="240" w:lineRule="auto"/>
        <w:ind w:firstLine="567"/>
        <w:rPr>
          <w:b/>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To: </w:t>
      </w:r>
      <w:r>
        <w:rPr>
          <w:i/>
          <w:color w:val="000000" w:themeColor="text1"/>
          <w:sz w:val="26"/>
          <w:szCs w:val="26"/>
          <w14:textFill>
            <w14:solidFill>
              <w14:schemeClr w14:val="tx1"/>
            </w14:solidFill>
          </w14:textFill>
        </w:rPr>
        <w:t>[insert complete name of Purchaser]</w:t>
      </w:r>
    </w:p>
    <w:p w14:paraId="708C676C">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Having examined the Bidding Documents including Addenda No. </w:t>
      </w:r>
      <w:r>
        <w:rPr>
          <w:i/>
          <w:color w:val="000000" w:themeColor="text1"/>
          <w:sz w:val="26"/>
          <w:szCs w:val="26"/>
          <w14:textFill>
            <w14:solidFill>
              <w14:schemeClr w14:val="tx1"/>
            </w14:solidFill>
          </w14:textFill>
        </w:rPr>
        <w:t>[insert numbers, if any]</w:t>
      </w:r>
      <w:r>
        <w:rPr>
          <w:color w:val="000000" w:themeColor="text1"/>
          <w:sz w:val="26"/>
          <w:szCs w:val="26"/>
          <w14:textFill>
            <w14:solidFill>
              <w14:schemeClr w14:val="tx1"/>
            </w14:solidFill>
          </w14:textFill>
        </w:rPr>
        <w:t xml:space="preserve">, posted VNEPS by the Purchaser, we, </w:t>
      </w:r>
      <w:r>
        <w:rPr>
          <w:i/>
          <w:color w:val="000000" w:themeColor="text1"/>
          <w:sz w:val="26"/>
          <w:szCs w:val="26"/>
          <w14:textFill>
            <w14:solidFill>
              <w14:schemeClr w14:val="tx1"/>
            </w14:solidFill>
          </w14:textFill>
        </w:rPr>
        <w:t>____[insert the Bidder’s name],</w:t>
      </w:r>
      <w:r>
        <w:rPr>
          <w:color w:val="000000" w:themeColor="text1"/>
          <w:sz w:val="26"/>
          <w:szCs w:val="26"/>
          <w14:textFill>
            <w14:solidFill>
              <w14:schemeClr w14:val="tx1"/>
            </w14:solidFill>
          </w14:textFill>
        </w:rPr>
        <w:t xml:space="preserve"> pledge ourselves to perform </w:t>
      </w:r>
      <w:r>
        <w:rPr>
          <w:i/>
          <w:color w:val="000000" w:themeColor="text1"/>
          <w:sz w:val="26"/>
          <w:szCs w:val="26"/>
          <w14:textFill>
            <w14:solidFill>
              <w14:schemeClr w14:val="tx1"/>
            </w14:solidFill>
          </w14:textFill>
        </w:rPr>
        <w:t>_____[insert the name of procurement package]</w:t>
      </w:r>
      <w:r>
        <w:rPr>
          <w:color w:val="000000" w:themeColor="text1"/>
          <w:sz w:val="26"/>
          <w:szCs w:val="26"/>
          <w14:textFill>
            <w14:solidFill>
              <w14:schemeClr w14:val="tx1"/>
            </w14:solidFill>
          </w14:textFill>
        </w:rPr>
        <w:t xml:space="preserve"> in accordance with the Bidding Documents with the total amount </w:t>
      </w:r>
      <w:r>
        <w:rPr>
          <w:i/>
          <w:color w:val="000000" w:themeColor="text1"/>
          <w:sz w:val="26"/>
          <w:szCs w:val="26"/>
          <w14:textFill>
            <w14:solidFill>
              <w14:schemeClr w14:val="tx1"/>
            </w14:solidFill>
          </w14:textFill>
        </w:rPr>
        <w:t>____[insert the amount in figures, in words, and currency]</w:t>
      </w:r>
      <w:r>
        <w:rPr>
          <w:color w:val="000000" w:themeColor="text1"/>
          <w:sz w:val="26"/>
          <w:szCs w:val="26"/>
          <w14:textFill>
            <w14:solidFill>
              <w14:schemeClr w14:val="tx1"/>
            </w14:solidFill>
          </w14:textFill>
        </w:rPr>
        <w:t xml:space="preserve"> </w:t>
      </w:r>
      <w:r>
        <w:rPr>
          <w:color w:val="000000" w:themeColor="text1"/>
          <w:sz w:val="26"/>
          <w:szCs w:val="26"/>
          <w:vertAlign w:val="superscript"/>
          <w14:textFill>
            <w14:solidFill>
              <w14:schemeClr w14:val="tx1"/>
            </w14:solidFill>
          </w14:textFill>
        </w:rPr>
        <w:t>(2)</w:t>
      </w:r>
      <w:r>
        <w:rPr>
          <w:color w:val="000000" w:themeColor="text1"/>
          <w:sz w:val="26"/>
          <w:szCs w:val="26"/>
          <w14:textFill>
            <w14:solidFill>
              <w14:schemeClr w14:val="tx1"/>
            </w14:solidFill>
          </w14:textFill>
        </w:rPr>
        <w:t xml:space="preserve"> together with the Summary Table of bid price</w:t>
      </w:r>
      <w:r>
        <w:rPr>
          <w:color w:val="000000" w:themeColor="text1"/>
          <w:sz w:val="26"/>
          <w:szCs w:val="26"/>
          <w:vertAlign w:val="superscript"/>
          <w14:textFill>
            <w14:solidFill>
              <w14:schemeClr w14:val="tx1"/>
            </w14:solidFill>
          </w14:textFill>
        </w:rPr>
        <w:t>(3)</w:t>
      </w:r>
      <w:r>
        <w:rPr>
          <w:color w:val="000000" w:themeColor="text1"/>
          <w:sz w:val="26"/>
          <w:szCs w:val="26"/>
          <w14:textFill>
            <w14:solidFill>
              <w14:schemeClr w14:val="tx1"/>
            </w14:solidFill>
          </w14:textFill>
        </w:rPr>
        <w:t xml:space="preserve"> and with time for the package performance is </w:t>
      </w:r>
      <w:r>
        <w:rPr>
          <w:i/>
          <w:color w:val="000000" w:themeColor="text1"/>
          <w:sz w:val="26"/>
          <w:szCs w:val="26"/>
          <w14:textFill>
            <w14:solidFill>
              <w14:schemeClr w14:val="tx1"/>
            </w14:solidFill>
          </w14:textFill>
        </w:rPr>
        <w:t>[insert time for package performance pursuant to requirements of BDs]</w:t>
      </w:r>
      <w:r>
        <w:rPr>
          <w:color w:val="000000" w:themeColor="text1"/>
          <w:sz w:val="26"/>
          <w:szCs w:val="26"/>
          <w14:textFill>
            <w14:solidFill>
              <w14:schemeClr w14:val="tx1"/>
            </w14:solidFill>
          </w14:textFill>
        </w:rPr>
        <w:t xml:space="preserve">. </w:t>
      </w:r>
    </w:p>
    <w:p w14:paraId="708C676D">
      <w:pPr>
        <w:pStyle w:val="15"/>
        <w:widowControl w:val="0"/>
        <w:shd w:val="clear" w:color="auto" w:fill="FFFFFF"/>
        <w:spacing w:before="120" w:after="0" w:line="240" w:lineRule="auto"/>
        <w:ind w:firstLine="567"/>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We are committed</w:t>
      </w:r>
      <w:r>
        <w:rPr>
          <w:color w:val="000000" w:themeColor="text1"/>
          <w:sz w:val="26"/>
          <w:szCs w:val="26"/>
          <w:vertAlign w:val="superscript"/>
          <w14:textFill>
            <w14:solidFill>
              <w14:schemeClr w14:val="tx1"/>
            </w14:solidFill>
          </w14:textFill>
        </w:rPr>
        <w:t>(4)</w:t>
      </w:r>
      <w:r>
        <w:rPr>
          <w:color w:val="000000" w:themeColor="text1"/>
          <w:sz w:val="26"/>
          <w:szCs w:val="26"/>
          <w14:textFill>
            <w14:solidFill>
              <w14:schemeClr w14:val="tx1"/>
            </w14:solidFill>
          </w14:textFill>
        </w:rPr>
        <w:t>:</w:t>
      </w:r>
    </w:p>
    <w:p w14:paraId="708C676E">
      <w:pPr>
        <w:pStyle w:val="15"/>
        <w:widowControl w:val="0"/>
        <w:numPr>
          <w:ilvl w:val="1"/>
          <w:numId w:val="46"/>
        </w:numPr>
        <w:shd w:val="clear" w:color="auto" w:fill="FFFFFF"/>
        <w:spacing w:before="120" w:after="0" w:line="240" w:lineRule="auto"/>
        <w:ind w:left="567" w:hanging="425"/>
        <w:jc w:val="both"/>
        <w:rPr>
          <w:color w:val="000000" w:themeColor="text1"/>
          <w:sz w:val="26"/>
          <w:szCs w:val="26"/>
          <w14:textFill>
            <w14:solidFill>
              <w14:schemeClr w14:val="tx1"/>
            </w14:solidFill>
          </w14:textFill>
        </w:rPr>
      </w:pPr>
      <w:r>
        <w:rPr>
          <w:color w:val="000000"/>
          <w:sz w:val="26"/>
          <w:szCs w:val="26"/>
        </w:rPr>
        <w:t>Only participate in one Bid as a single entity or member of a consortium (in case of consortium);</w:t>
      </w:r>
    </w:p>
    <w:p w14:paraId="708C676F">
      <w:pPr>
        <w:pStyle w:val="15"/>
        <w:widowControl w:val="0"/>
        <w:numPr>
          <w:ilvl w:val="1"/>
          <w:numId w:val="46"/>
        </w:numPr>
        <w:shd w:val="clear" w:color="auto" w:fill="FFFFFF"/>
        <w:spacing w:before="120" w:after="0" w:line="240" w:lineRule="auto"/>
        <w:ind w:left="567" w:hanging="425"/>
        <w:jc w:val="both"/>
        <w:rPr>
          <w:color w:val="000000" w:themeColor="text1"/>
          <w:sz w:val="26"/>
          <w:szCs w:val="26"/>
          <w14:textFill>
            <w14:solidFill>
              <w14:schemeClr w14:val="tx1"/>
            </w14:solidFill>
          </w14:textFill>
        </w:rPr>
      </w:pPr>
      <w:r>
        <w:rPr>
          <w:color w:val="000000" w:themeColor="text1"/>
          <w:spacing w:val="3"/>
          <w:sz w:val="26"/>
          <w:szCs w:val="26"/>
          <w:shd w:val="clear" w:color="auto" w:fill="FFFFFF"/>
          <w14:textFill>
            <w14:solidFill>
              <w14:schemeClr w14:val="tx1"/>
            </w14:solidFill>
          </w14:textFill>
        </w:rPr>
        <w:t xml:space="preserve">Neither undergoing dissolution procedures nor having its enterprise registration certificate, cooperative registration certificate or certificate of registration of union of cooperatives or cooperative group revoked; not falling into a case of insolvency specified by the bankruptcy law; </w:t>
      </w:r>
    </w:p>
    <w:p w14:paraId="708C6770">
      <w:pPr>
        <w:pStyle w:val="15"/>
        <w:widowControl w:val="0"/>
        <w:numPr>
          <w:ilvl w:val="1"/>
          <w:numId w:val="46"/>
        </w:numPr>
        <w:shd w:val="clear" w:color="auto" w:fill="FFFFFF"/>
        <w:spacing w:before="120" w:after="0" w:line="240" w:lineRule="auto"/>
        <w:ind w:left="567" w:hanging="425"/>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To not breach of provisions on ensuring competition in procurement;</w:t>
      </w:r>
    </w:p>
    <w:p w14:paraId="708C6771">
      <w:pPr>
        <w:pStyle w:val="15"/>
        <w:widowControl w:val="0"/>
        <w:numPr>
          <w:ilvl w:val="1"/>
          <w:numId w:val="46"/>
        </w:numPr>
        <w:shd w:val="clear" w:color="auto" w:fill="FFFFFF"/>
        <w:spacing w:before="120" w:after="0" w:line="240" w:lineRule="auto"/>
        <w:ind w:left="567" w:hanging="425"/>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To have fulfilled tax obligations for the most recent fiscal year compared to the bid closing date;</w:t>
      </w:r>
    </w:p>
    <w:p w14:paraId="708C6772">
      <w:pPr>
        <w:pStyle w:val="15"/>
        <w:widowControl w:val="0"/>
        <w:numPr>
          <w:ilvl w:val="1"/>
          <w:numId w:val="46"/>
        </w:numPr>
        <w:shd w:val="clear" w:color="auto" w:fill="FFFFFF"/>
        <w:spacing w:before="120" w:after="0" w:line="240" w:lineRule="auto"/>
        <w:ind w:left="567" w:hanging="425"/>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Not</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being</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banned</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from</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participating</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in</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bidding</w:t>
      </w:r>
      <w:r>
        <w:rPr>
          <w:color w:val="000000" w:themeColor="text1"/>
          <w:spacing w:val="1"/>
          <w:sz w:val="26"/>
          <w:szCs w:val="26"/>
          <w14:textFill>
            <w14:solidFill>
              <w14:schemeClr w14:val="tx1"/>
            </w14:solidFill>
          </w14:textFill>
        </w:rPr>
        <w:t xml:space="preserve"> according to the provisions of the Procurement law</w:t>
      </w:r>
      <w:r>
        <w:rPr>
          <w:color w:val="000000" w:themeColor="text1"/>
          <w:sz w:val="26"/>
          <w:szCs w:val="26"/>
          <w14:textFill>
            <w14:solidFill>
              <w14:schemeClr w14:val="tx1"/>
            </w14:solidFill>
          </w14:textFill>
        </w:rPr>
        <w:t>;</w:t>
      </w:r>
    </w:p>
    <w:p w14:paraId="708C6773">
      <w:pPr>
        <w:pStyle w:val="15"/>
        <w:widowControl w:val="0"/>
        <w:numPr>
          <w:ilvl w:val="1"/>
          <w:numId w:val="46"/>
        </w:numPr>
        <w:shd w:val="clear" w:color="auto" w:fill="FFFFFF"/>
        <w:spacing w:before="120" w:after="0" w:line="240" w:lineRule="auto"/>
        <w:ind w:left="567" w:hanging="425"/>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Having registered on VNEPS before approving the bidder selection results. All members of the Consortium must meet this requirement</w:t>
      </w:r>
    </w:p>
    <w:p w14:paraId="708C6774">
      <w:pPr>
        <w:pStyle w:val="15"/>
        <w:widowControl w:val="0"/>
        <w:numPr>
          <w:ilvl w:val="1"/>
          <w:numId w:val="46"/>
        </w:numPr>
        <w:shd w:val="clear" w:color="auto" w:fill="FFFFFF"/>
        <w:spacing w:before="120" w:after="0" w:line="240" w:lineRule="auto"/>
        <w:ind w:left="567" w:hanging="425"/>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Not being examined for criminal liability;</w:t>
      </w:r>
    </w:p>
    <w:p w14:paraId="708C6775">
      <w:pPr>
        <w:pStyle w:val="15"/>
        <w:widowControl w:val="0"/>
        <w:numPr>
          <w:ilvl w:val="1"/>
          <w:numId w:val="46"/>
        </w:numPr>
        <w:shd w:val="clear" w:color="auto" w:fill="FFFFFF"/>
        <w:spacing w:before="120" w:after="0" w:line="240" w:lineRule="auto"/>
        <w:ind w:left="567" w:hanging="425"/>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Not to proceed any practices of corruption, bribe, collusion, obstruction and other violated provisions of the Procurement law when participating in this package.</w:t>
      </w:r>
    </w:p>
    <w:p w14:paraId="708C6776">
      <w:pPr>
        <w:pStyle w:val="15"/>
        <w:widowControl w:val="0"/>
        <w:numPr>
          <w:ilvl w:val="1"/>
          <w:numId w:val="46"/>
        </w:numPr>
        <w:shd w:val="clear" w:color="auto" w:fill="FFFFFF"/>
        <w:spacing w:before="120" w:after="0" w:line="240" w:lineRule="auto"/>
        <w:ind w:left="567" w:hanging="425"/>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Not being found to have serious or frequent violations of important obligations in one or more contracts within the last 5 years.</w:t>
      </w:r>
    </w:p>
    <w:p w14:paraId="708C6777">
      <w:pPr>
        <w:pStyle w:val="15"/>
        <w:widowControl w:val="0"/>
        <w:numPr>
          <w:ilvl w:val="1"/>
          <w:numId w:val="46"/>
        </w:numPr>
        <w:shd w:val="clear" w:color="auto" w:fill="FFFFFF"/>
        <w:spacing w:before="120" w:after="0" w:line="240" w:lineRule="auto"/>
        <w:ind w:left="567" w:hanging="425"/>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Not be subject to a final court judgment for a serious crime or other serious violation within 03 years prior to the deadline form submission of Bids.</w:t>
      </w:r>
    </w:p>
    <w:p w14:paraId="708C6778">
      <w:pPr>
        <w:pStyle w:val="15"/>
        <w:widowControl w:val="0"/>
        <w:numPr>
          <w:ilvl w:val="1"/>
          <w:numId w:val="46"/>
        </w:numPr>
        <w:shd w:val="clear" w:color="auto" w:fill="FFFFFF"/>
        <w:spacing w:before="120" w:after="0" w:line="240" w:lineRule="auto"/>
        <w:ind w:left="567" w:hanging="425"/>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There is no evidence that the bidder has seriously violated professional ethics within 03 years prior to the deadline form submission of Bids.</w:t>
      </w:r>
    </w:p>
    <w:p w14:paraId="708C6779">
      <w:pPr>
        <w:pStyle w:val="15"/>
        <w:widowControl w:val="0"/>
        <w:numPr>
          <w:ilvl w:val="1"/>
          <w:numId w:val="46"/>
        </w:numPr>
        <w:shd w:val="clear" w:color="auto" w:fill="FFFFFF"/>
        <w:spacing w:before="120" w:after="0" w:line="240" w:lineRule="auto"/>
        <w:ind w:left="567" w:hanging="425"/>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Within an interval of 3 years before the deadline for bid submission, none of personnel of the Bidder (personnel signed in labor contract with the Bidder at time that such personnel committed violations) was convicted of violations of bidding provisions result in serious consequence as specified in Criminal law the purpose of which is to support the Bidder to win bidding package;</w:t>
      </w:r>
    </w:p>
    <w:p w14:paraId="708C677A">
      <w:pPr>
        <w:pStyle w:val="15"/>
        <w:widowControl w:val="0"/>
        <w:numPr>
          <w:ilvl w:val="1"/>
          <w:numId w:val="46"/>
        </w:numPr>
        <w:shd w:val="clear" w:color="auto" w:fill="FFFFFF"/>
        <w:spacing w:before="120" w:after="0" w:line="240" w:lineRule="auto"/>
        <w:ind w:left="567" w:hanging="425"/>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All information declared in the Bid is truthful;</w:t>
      </w:r>
    </w:p>
    <w:p w14:paraId="708C677B">
      <w:pPr>
        <w:pStyle w:val="15"/>
        <w:widowControl w:val="0"/>
        <w:numPr>
          <w:ilvl w:val="1"/>
          <w:numId w:val="46"/>
        </w:numPr>
        <w:shd w:val="clear" w:color="auto" w:fill="FFFFFF"/>
        <w:spacing w:before="120" w:after="0" w:line="240" w:lineRule="auto"/>
        <w:ind w:left="567" w:hanging="425"/>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In case of winning the Bid, the Bid and its clarification, supplemental documents shall constitute agreement of binding responsibilities two parties until contract is signed.</w:t>
      </w:r>
    </w:p>
    <w:p w14:paraId="708C677C">
      <w:pPr>
        <w:pStyle w:val="15"/>
        <w:widowControl w:val="0"/>
        <w:numPr>
          <w:ilvl w:val="1"/>
          <w:numId w:val="46"/>
        </w:numPr>
        <w:shd w:val="clear" w:color="auto" w:fill="FFFFFF"/>
        <w:spacing w:before="120" w:after="0" w:line="240" w:lineRule="auto"/>
        <w:ind w:left="567" w:hanging="425"/>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If our bid is accepted, we commit to obtain a performance security in accordance with ITB 41 of the Bidding Documents.</w:t>
      </w:r>
    </w:p>
    <w:p w14:paraId="708C677D">
      <w:pPr>
        <w:pStyle w:val="15"/>
        <w:widowControl w:val="0"/>
        <w:shd w:val="clear" w:color="auto" w:fill="FFFFFF"/>
        <w:spacing w:before="120" w:after="0" w:line="240" w:lineRule="auto"/>
        <w:ind w:firstLine="567"/>
        <w:jc w:val="both"/>
        <w:rPr>
          <w:color w:val="000000" w:themeColor="text1"/>
          <w:sz w:val="26"/>
          <w:szCs w:val="26"/>
          <w:vertAlign w:val="superscript"/>
          <w14:textFill>
            <w14:solidFill>
              <w14:schemeClr w14:val="tx1"/>
            </w14:solidFill>
          </w14:textFill>
        </w:rPr>
      </w:pPr>
      <w:r>
        <w:rPr>
          <w:color w:val="000000" w:themeColor="text1"/>
          <w:sz w:val="26"/>
          <w:szCs w:val="26"/>
          <w14:textFill>
            <w14:solidFill>
              <w14:schemeClr w14:val="tx1"/>
            </w14:solidFill>
          </w14:textFill>
        </w:rPr>
        <w:t xml:space="preserve">This Bid shall be valid for a period of </w:t>
      </w:r>
      <w:r>
        <w:rPr>
          <w:i/>
          <w:color w:val="000000" w:themeColor="text1"/>
          <w:sz w:val="26"/>
          <w:szCs w:val="26"/>
          <w14:textFill>
            <w14:solidFill>
              <w14:schemeClr w14:val="tx1"/>
            </w14:solidFill>
          </w14:textFill>
        </w:rPr>
        <w:t>…….</w:t>
      </w:r>
      <w:r>
        <w:rPr>
          <w:i/>
          <w:color w:val="000000" w:themeColor="text1"/>
          <w:sz w:val="26"/>
          <w:szCs w:val="26"/>
          <w:vertAlign w:val="superscript"/>
          <w14:textFill>
            <w14:solidFill>
              <w14:schemeClr w14:val="tx1"/>
            </w14:solidFill>
          </w14:textFill>
        </w:rPr>
        <w:t>(5)</w:t>
      </w:r>
      <w:r>
        <w:rPr>
          <w:i/>
          <w:color w:val="000000" w:themeColor="text1"/>
          <w:sz w:val="26"/>
          <w:szCs w:val="26"/>
          <w14:textFill>
            <w14:solidFill>
              <w14:schemeClr w14:val="tx1"/>
            </w14:solidFill>
          </w14:textFill>
        </w:rPr>
        <w:t xml:space="preserve"> </w:t>
      </w:r>
      <w:r>
        <w:rPr>
          <w:color w:val="000000" w:themeColor="text1"/>
          <w:sz w:val="26"/>
          <w:szCs w:val="26"/>
          <w14:textFill>
            <w14:solidFill>
              <w14:schemeClr w14:val="tx1"/>
            </w14:solidFill>
          </w14:textFill>
        </w:rPr>
        <w:t>days from…..</w:t>
      </w:r>
      <w:r>
        <w:rPr>
          <w:color w:val="000000" w:themeColor="text1"/>
          <w:sz w:val="26"/>
          <w:szCs w:val="26"/>
          <w:vertAlign w:val="superscript"/>
          <w14:textFill>
            <w14:solidFill>
              <w14:schemeClr w14:val="tx1"/>
            </w14:solidFill>
          </w14:textFill>
        </w:rPr>
        <w:t>(6)</w:t>
      </w:r>
    </w:p>
    <w:p w14:paraId="708C677E">
      <w:pPr>
        <w:pStyle w:val="15"/>
        <w:widowControl w:val="0"/>
        <w:shd w:val="clear" w:color="auto" w:fill="FFFFFF"/>
        <w:spacing w:before="120" w:after="0" w:line="240" w:lineRule="auto"/>
        <w:ind w:firstLine="567"/>
        <w:jc w:val="right"/>
        <w:rPr>
          <w:b/>
          <w:color w:val="000000" w:themeColor="text1"/>
          <w:sz w:val="26"/>
          <w:szCs w:val="26"/>
          <w:vertAlign w:val="superscript"/>
          <w14:textFill>
            <w14:solidFill>
              <w14:schemeClr w14:val="tx1"/>
            </w14:solidFill>
          </w14:textFill>
        </w:rPr>
      </w:pPr>
      <w:r>
        <w:rPr>
          <w:b/>
          <w:color w:val="000000" w:themeColor="text1"/>
          <w:sz w:val="26"/>
          <w:szCs w:val="26"/>
          <w14:textFill>
            <w14:solidFill>
              <w14:schemeClr w14:val="tx1"/>
            </w14:solidFill>
          </w14:textFill>
        </w:rPr>
        <w:t>Legal representative of the Bidder</w:t>
      </w:r>
      <w:r>
        <w:rPr>
          <w:b/>
          <w:color w:val="000000" w:themeColor="text1"/>
          <w:sz w:val="26"/>
          <w:szCs w:val="26"/>
          <w:vertAlign w:val="superscript"/>
          <w14:textFill>
            <w14:solidFill>
              <w14:schemeClr w14:val="tx1"/>
            </w14:solidFill>
          </w14:textFill>
        </w:rPr>
        <w:t>(7)</w:t>
      </w:r>
    </w:p>
    <w:p w14:paraId="708C677F">
      <w:pPr>
        <w:pStyle w:val="15"/>
        <w:widowControl w:val="0"/>
        <w:shd w:val="clear" w:color="auto" w:fill="FFFFFF"/>
        <w:spacing w:before="120" w:after="0" w:line="240" w:lineRule="auto"/>
        <w:ind w:firstLine="567"/>
        <w:jc w:val="right"/>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(Full name, position, signature and seal)</w:t>
      </w:r>
    </w:p>
    <w:p w14:paraId="708C6780">
      <w:pPr>
        <w:pStyle w:val="15"/>
        <w:widowControl w:val="0"/>
        <w:shd w:val="clear" w:color="auto" w:fill="FFFFFF"/>
        <w:spacing w:before="120" w:after="0" w:line="240" w:lineRule="auto"/>
        <w:ind w:firstLine="567"/>
        <w:jc w:val="both"/>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Notes:</w:t>
      </w:r>
    </w:p>
    <w:p w14:paraId="708C6781">
      <w:pPr>
        <w:pStyle w:val="15"/>
        <w:widowControl w:val="0"/>
        <w:numPr>
          <w:ilvl w:val="2"/>
          <w:numId w:val="46"/>
        </w:numPr>
        <w:shd w:val="clear" w:color="auto" w:fill="FFFFFF"/>
        <w:spacing w:before="120" w:after="0" w:line="240" w:lineRule="auto"/>
        <w:ind w:left="-142" w:firstLine="142"/>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Bidders should note that the letter of bid must be filled with complete and accurate information about the name of Purchaser, Bidder, name of package and project.</w:t>
      </w:r>
    </w:p>
    <w:p w14:paraId="708C6782">
      <w:pPr>
        <w:pStyle w:val="15"/>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The letter of bid must be signed and stamped (if any) by the bidder's legal representative, the validity period of the bid must meet the requirements of the BDs, and the time for signing the letter of bid must be consistent with the time of starting the bidder selection organization as prescribed in Section III. </w:t>
      </w:r>
    </w:p>
    <w:p w14:paraId="708C6783">
      <w:pPr>
        <w:pStyle w:val="15"/>
        <w:widowControl w:val="0"/>
        <w:numPr>
          <w:ilvl w:val="2"/>
          <w:numId w:val="46"/>
        </w:numPr>
        <w:shd w:val="clear" w:color="auto" w:fill="FFFFFF"/>
        <w:spacing w:before="120" w:after="0" w:line="240" w:lineRule="auto"/>
        <w:ind w:left="0" w:firstLine="0"/>
        <w:jc w:val="both"/>
        <w:rPr>
          <w:rStyle w:val="341"/>
          <w:color w:val="000000" w:themeColor="text1"/>
          <w:sz w:val="26"/>
          <w:szCs w:val="26"/>
          <w:lang w:val="en"/>
          <w14:textFill>
            <w14:solidFill>
              <w14:schemeClr w14:val="tx1"/>
            </w14:solidFill>
          </w14:textFill>
        </w:rPr>
      </w:pPr>
      <w:r>
        <w:rPr>
          <w:color w:val="000000" w:themeColor="text1"/>
          <w:sz w:val="26"/>
          <w:szCs w:val="26"/>
          <w14:textFill>
            <w14:solidFill>
              <w14:schemeClr w14:val="tx1"/>
            </w14:solidFill>
          </w14:textFill>
        </w:rPr>
        <w:t xml:space="preserve">The bid price stated in the letter of bid must be specific, fixed by number, by words, logical, consistent with the total bid price recorded in the Summary of bid price, does not propose another bid price or have attached several disadvantageous conditions to the Purchaser. In case the package divided into lots, the bidder must offer bid price for each lot and the total bid price for the lots which bidders participate. </w:t>
      </w:r>
    </w:p>
    <w:p w14:paraId="708C6784">
      <w:pPr>
        <w:pStyle w:val="15"/>
        <w:widowControl w:val="0"/>
        <w:numPr>
          <w:ilvl w:val="2"/>
          <w:numId w:val="46"/>
        </w:numPr>
        <w:shd w:val="clear" w:color="auto" w:fill="FFFFFF"/>
        <w:spacing w:before="120" w:after="0" w:line="240" w:lineRule="auto"/>
        <w:ind w:left="0" w:firstLine="0"/>
        <w:jc w:val="both"/>
        <w:rPr>
          <w:rStyle w:val="341"/>
          <w:color w:val="000000" w:themeColor="text1"/>
          <w:sz w:val="26"/>
          <w:szCs w:val="26"/>
          <w:lang w:val="en"/>
          <w14:textFill>
            <w14:solidFill>
              <w14:schemeClr w14:val="tx1"/>
            </w14:solidFill>
          </w14:textFill>
        </w:rPr>
      </w:pPr>
      <w:r>
        <w:rPr>
          <w:color w:val="000000" w:themeColor="text1"/>
          <w:sz w:val="26"/>
          <w:szCs w:val="26"/>
          <w14:textFill>
            <w14:solidFill>
              <w14:schemeClr w14:val="tx1"/>
            </w14:solidFill>
          </w14:textFill>
        </w:rPr>
        <w:t>If the bidder has a proposal for a discount, submit a separate letter of discount or write the discount value in the letter of bid</w:t>
      </w:r>
      <w:r>
        <w:rPr>
          <w:rStyle w:val="341"/>
          <w:color w:val="000000" w:themeColor="text1"/>
          <w:sz w:val="26"/>
          <w:szCs w:val="26"/>
          <w:lang w:val="en"/>
          <w14:textFill>
            <w14:solidFill>
              <w14:schemeClr w14:val="tx1"/>
            </w14:solidFill>
          </w14:textFill>
        </w:rPr>
        <w:t>.</w:t>
      </w:r>
    </w:p>
    <w:p w14:paraId="708C6785">
      <w:pPr>
        <w:pStyle w:val="15"/>
        <w:widowControl w:val="0"/>
        <w:numPr>
          <w:ilvl w:val="2"/>
          <w:numId w:val="46"/>
        </w:numPr>
        <w:shd w:val="clear" w:color="auto" w:fill="FFFFFF"/>
        <w:spacing w:before="120" w:after="0" w:line="240" w:lineRule="auto"/>
        <w:ind w:left="0" w:firstLine="0"/>
        <w:jc w:val="both"/>
        <w:rPr>
          <w:color w:val="000000" w:themeColor="text1"/>
          <w:sz w:val="26"/>
          <w:szCs w:val="26"/>
          <w:lang w:val="en"/>
          <w14:textFill>
            <w14:solidFill>
              <w14:schemeClr w14:val="tx1"/>
            </w14:solidFill>
          </w14:textFill>
        </w:rPr>
      </w:pPr>
      <w:r>
        <w:rPr>
          <w:color w:val="000000" w:themeColor="text1"/>
          <w:sz w:val="26"/>
          <w:szCs w:val="26"/>
          <w14:textFill>
            <w14:solidFill>
              <w14:schemeClr w14:val="tx1"/>
            </w14:solidFill>
          </w14:textFill>
        </w:rPr>
        <w:t>In case the Purchaser detects that the bidder violates these commitments, the bid will be rejected and the bidder will be handled for violations according to regulations.</w:t>
      </w:r>
    </w:p>
    <w:p w14:paraId="708C6786">
      <w:pPr>
        <w:pStyle w:val="15"/>
        <w:widowControl w:val="0"/>
        <w:numPr>
          <w:ilvl w:val="2"/>
          <w:numId w:val="46"/>
        </w:numPr>
        <w:shd w:val="clear" w:color="auto" w:fill="FFFFFF"/>
        <w:spacing w:before="120" w:after="0" w:line="240" w:lineRule="auto"/>
        <w:ind w:left="0" w:firstLine="0"/>
        <w:jc w:val="both"/>
        <w:rPr>
          <w:color w:val="000000" w:themeColor="text1"/>
          <w:sz w:val="26"/>
          <w:szCs w:val="26"/>
          <w:lang w:val="en"/>
          <w14:textFill>
            <w14:solidFill>
              <w14:schemeClr w14:val="tx1"/>
            </w14:solidFill>
          </w14:textFill>
        </w:rPr>
      </w:pPr>
      <w:r>
        <w:rPr>
          <w:color w:val="000000" w:themeColor="text1"/>
          <w:sz w:val="26"/>
          <w:szCs w:val="26"/>
          <w14:textFill>
            <w14:solidFill>
              <w14:schemeClr w14:val="tx1"/>
            </w14:solidFill>
          </w14:textFill>
        </w:rPr>
        <w:t>The validity period of the Bid is calculated from the date for Bid closing to the last effective date as specified in the BDs. From the deadline for submission of Bids until the end of 24 hours of the day with the deadline for submission of Bid, it shall be counted as 01 day.</w:t>
      </w:r>
    </w:p>
    <w:p w14:paraId="708C6787">
      <w:pPr>
        <w:pStyle w:val="15"/>
        <w:widowControl w:val="0"/>
        <w:numPr>
          <w:ilvl w:val="2"/>
          <w:numId w:val="46"/>
        </w:numPr>
        <w:shd w:val="clear" w:color="auto" w:fill="FFFFFF"/>
        <w:spacing w:before="120" w:after="0" w:line="240" w:lineRule="auto"/>
        <w:ind w:left="0" w:firstLine="0"/>
        <w:jc w:val="both"/>
        <w:rPr>
          <w:color w:val="000000" w:themeColor="text1"/>
          <w:sz w:val="26"/>
          <w:szCs w:val="26"/>
          <w:lang w:val="en"/>
          <w14:textFill>
            <w14:solidFill>
              <w14:schemeClr w14:val="tx1"/>
            </w14:solidFill>
          </w14:textFill>
        </w:rPr>
      </w:pPr>
      <w:r>
        <w:rPr>
          <w:color w:val="000000" w:themeColor="text1"/>
          <w:sz w:val="26"/>
          <w:szCs w:val="26"/>
          <w14:textFill>
            <w14:solidFill>
              <w14:schemeClr w14:val="tx1"/>
            </w14:solidFill>
          </w14:textFill>
        </w:rPr>
        <w:t>Enter the deadline for submission of Bid as prescribed in BDS 21.1.</w:t>
      </w:r>
    </w:p>
    <w:p w14:paraId="708C6788">
      <w:pPr>
        <w:pStyle w:val="15"/>
        <w:widowControl w:val="0"/>
        <w:numPr>
          <w:ilvl w:val="2"/>
          <w:numId w:val="46"/>
        </w:numPr>
        <w:shd w:val="clear" w:color="auto" w:fill="FFFFFF"/>
        <w:spacing w:before="120" w:after="0" w:line="240" w:lineRule="auto"/>
        <w:ind w:left="0" w:firstLine="0"/>
        <w:jc w:val="both"/>
        <w:rPr>
          <w:color w:val="000000" w:themeColor="text1"/>
          <w:sz w:val="26"/>
          <w:szCs w:val="26"/>
          <w:lang w:val="en"/>
          <w14:textFill>
            <w14:solidFill>
              <w14:schemeClr w14:val="tx1"/>
            </w14:solidFill>
          </w14:textFill>
        </w:rPr>
      </w:pPr>
      <w:r>
        <w:rPr>
          <w:color w:val="000000" w:themeColor="text1"/>
          <w:sz w:val="26"/>
          <w:szCs w:val="26"/>
          <w14:textFill>
            <w14:solidFill>
              <w14:schemeClr w14:val="tx1"/>
            </w14:solidFill>
          </w14:textFill>
        </w:rPr>
        <w:t>In case the bidder's legal representative authorizes a subordinate to the letter of bid, the power of attorney must be enclosed with the Form No. 02 of this Section; In case the company charter or other relevant documents assign responsibilities to the subordinates to sign the letter of bid, these documents must be attached (no need to make a Power of Attorney according to Form No. 02 of this Section). In case the bidder is the consortium, the letter of bid must be signed by the legal representative of each member of consortium or the member assigned on behalf of the consortium sign according to the assignment of responsibilities in the consortium agreement, according to Form No. 03 of this Section. In case each member of the consortium has been authorized, authorization shall be performed as specified for independent bidders.</w:t>
      </w:r>
    </w:p>
    <w:p w14:paraId="708C6789">
      <w:pPr>
        <w:pStyle w:val="15"/>
        <w:widowControl w:val="0"/>
        <w:shd w:val="clear" w:color="auto" w:fill="FFFFFF"/>
        <w:tabs>
          <w:tab w:val="right" w:pos="9000"/>
        </w:tabs>
        <w:spacing w:before="120" w:after="0" w:line="240" w:lineRule="auto"/>
        <w:jc w:val="both"/>
        <w:rPr>
          <w:bCs/>
          <w:iCs/>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If foreign bidders do not apply seal, then a competent organization's certification must be submitted to prove that the signature in the Letter of bid and other documents in the Bid are of the Bider's legal representative.</w:t>
      </w:r>
    </w:p>
    <w:p w14:paraId="708C678A">
      <w:pPr>
        <w:widowControl w:val="0"/>
        <w:shd w:val="clear" w:color="auto" w:fill="FFFFFF"/>
        <w:tabs>
          <w:tab w:val="right" w:pos="9000"/>
        </w:tabs>
        <w:spacing w:before="120" w:after="0" w:line="240" w:lineRule="auto"/>
        <w:ind w:left="709"/>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t>
      </w:r>
    </w:p>
    <w:p w14:paraId="708C678B">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8C">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8D">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8E">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8F">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90">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91">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92">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93">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94">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95">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96">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97">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98">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99">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9A">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9B">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9C">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9D">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9E">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9F">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A0">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A1">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A2">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A3">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A4">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A5">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A6">
      <w:pPr>
        <w:widowControl w:val="0"/>
        <w:spacing w:before="120" w:after="120" w:line="264" w:lineRule="auto"/>
        <w:ind w:firstLine="567"/>
        <w:jc w:val="right"/>
        <w:rPr>
          <w:b/>
          <w:color w:val="000000" w:themeColor="text1"/>
          <w:sz w:val="26"/>
          <w:szCs w:val="26"/>
          <w14:textFill>
            <w14:solidFill>
              <w14:schemeClr w14:val="tx1"/>
            </w14:solidFill>
          </w14:textFill>
        </w:rPr>
      </w:pPr>
    </w:p>
    <w:p w14:paraId="708C67A7">
      <w:pPr>
        <w:widowControl w:val="0"/>
        <w:spacing w:before="120" w:after="120" w:line="264" w:lineRule="auto"/>
        <w:ind w:firstLine="567"/>
        <w:jc w:val="right"/>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Form 2</w:t>
      </w:r>
    </w:p>
    <w:p w14:paraId="708C67A8">
      <w:pPr>
        <w:pStyle w:val="5"/>
        <w:keepNext w:val="0"/>
        <w:widowControl w:val="0"/>
        <w:spacing w:before="120" w:after="120" w:line="264" w:lineRule="auto"/>
        <w:ind w:firstLine="567"/>
        <w:jc w:val="center"/>
        <w:rPr>
          <w:rFonts w:ascii="Times New Roman" w:hAnsi="Times New Roman"/>
          <w:i w:val="0"/>
          <w:color w:val="000000" w:themeColor="text1"/>
          <w:sz w:val="26"/>
          <w:szCs w:val="26"/>
          <w:vertAlign w:val="superscript"/>
          <w14:textFill>
            <w14:solidFill>
              <w14:schemeClr w14:val="tx1"/>
            </w14:solidFill>
          </w14:textFill>
        </w:rPr>
      </w:pPr>
      <w:r>
        <w:rPr>
          <w:rFonts w:ascii="Times New Roman" w:hAnsi="Times New Roman" w:eastAsia="Calibri"/>
          <w:bCs w:val="0"/>
          <w:i w:val="0"/>
          <w:color w:val="000000" w:themeColor="text1"/>
          <w:sz w:val="26"/>
          <w:szCs w:val="26"/>
          <w14:textFill>
            <w14:solidFill>
              <w14:schemeClr w14:val="tx1"/>
            </w14:solidFill>
          </w14:textFill>
        </w:rPr>
        <w:t>POWER OF ATTORNEY</w:t>
      </w:r>
      <w:r>
        <w:rPr>
          <w:rFonts w:ascii="Times New Roman" w:hAnsi="Times New Roman"/>
          <w:i w:val="0"/>
          <w:color w:val="000000" w:themeColor="text1"/>
          <w:sz w:val="26"/>
          <w:szCs w:val="26"/>
          <w:vertAlign w:val="superscript"/>
          <w14:textFill>
            <w14:solidFill>
              <w14:schemeClr w14:val="tx1"/>
            </w14:solidFill>
          </w14:textFill>
        </w:rPr>
        <w:t>(1)</w:t>
      </w:r>
    </w:p>
    <w:p w14:paraId="708C67A9">
      <w:pPr>
        <w:widowControl w:val="0"/>
        <w:spacing w:before="120" w:after="120" w:line="264" w:lineRule="auto"/>
        <w:ind w:firstLine="567"/>
        <w:rPr>
          <w:iCs/>
          <w:color w:val="000000" w:themeColor="text1"/>
          <w:sz w:val="26"/>
          <w:szCs w:val="26"/>
          <w14:textFill>
            <w14:solidFill>
              <w14:schemeClr w14:val="tx1"/>
            </w14:solidFill>
          </w14:textFill>
        </w:rPr>
      </w:pPr>
      <w:r>
        <w:rPr>
          <w:iCs/>
          <w:color w:val="000000" w:themeColor="text1"/>
          <w:sz w:val="26"/>
          <w:szCs w:val="26"/>
          <w14:textFill>
            <w14:solidFill>
              <w14:schemeClr w14:val="tx1"/>
            </w14:solidFill>
          </w14:textFill>
        </w:rPr>
        <w:tab/>
      </w:r>
    </w:p>
    <w:p w14:paraId="708C67AA">
      <w:pPr>
        <w:widowControl w:val="0"/>
        <w:spacing w:before="120" w:after="120" w:line="264" w:lineRule="auto"/>
        <w:ind w:firstLine="567"/>
        <w:rPr>
          <w:iCs/>
          <w:color w:val="000000" w:themeColor="text1"/>
          <w:sz w:val="26"/>
          <w:szCs w:val="26"/>
          <w14:textFill>
            <w14:solidFill>
              <w14:schemeClr w14:val="tx1"/>
            </w14:solidFill>
          </w14:textFill>
        </w:rPr>
      </w:pPr>
      <w:r>
        <w:rPr>
          <w:iCs/>
          <w:color w:val="000000" w:themeColor="text1"/>
          <w:sz w:val="26"/>
          <w:szCs w:val="26"/>
          <w14:textFill>
            <w14:solidFill>
              <w14:schemeClr w14:val="tx1"/>
            </w14:solidFill>
          </w14:textFill>
        </w:rPr>
        <w:t>Today, [insert date of signing], in [insert place of signing]</w:t>
      </w:r>
    </w:p>
    <w:p w14:paraId="708C67AB">
      <w:pPr>
        <w:widowControl w:val="0"/>
        <w:spacing w:before="80" w:after="80"/>
        <w:ind w:firstLine="567"/>
        <w:jc w:val="both"/>
        <w:rPr>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I [insert complete name, number of identification or passport, title of legal representative of Bidder], who is lawful representative of bidder [insert name of bidder], having address at [insert address of bidder], do hereby authorize [insert name, number of identification or passport, title of person who is authorized] shall implement the following works in during participating the package</w:t>
      </w:r>
      <w:r>
        <w:rPr>
          <w:i/>
          <w:color w:val="000000" w:themeColor="text1"/>
          <w:sz w:val="26"/>
          <w:szCs w:val="26"/>
          <w14:textFill>
            <w14:solidFill>
              <w14:schemeClr w14:val="tx1"/>
            </w14:solidFill>
          </w14:textFill>
        </w:rPr>
        <w:t xml:space="preserve"> [insert name of package]</w:t>
      </w:r>
      <w:r>
        <w:rPr>
          <w:color w:val="000000" w:themeColor="text1"/>
          <w:sz w:val="26"/>
          <w:szCs w:val="26"/>
          <w14:textFill>
            <w14:solidFill>
              <w14:schemeClr w14:val="tx1"/>
            </w14:solidFill>
          </w14:textFill>
        </w:rPr>
        <w:t xml:space="preserve"> under the project</w:t>
      </w:r>
      <w:r>
        <w:rPr>
          <w:i/>
          <w:color w:val="000000" w:themeColor="text1"/>
          <w:sz w:val="26"/>
          <w:szCs w:val="26"/>
          <w14:textFill>
            <w14:solidFill>
              <w14:schemeClr w14:val="tx1"/>
            </w14:solidFill>
          </w14:textFill>
        </w:rPr>
        <w:t xml:space="preserve"> [insert name of project] </w:t>
      </w:r>
      <w:r>
        <w:rPr>
          <w:color w:val="000000" w:themeColor="text1"/>
          <w:sz w:val="26"/>
          <w:szCs w:val="26"/>
          <w14:textFill>
            <w14:solidFill>
              <w14:schemeClr w14:val="tx1"/>
            </w14:solidFill>
          </w14:textFill>
        </w:rPr>
        <w:t>organized by</w:t>
      </w:r>
      <w:r>
        <w:rPr>
          <w:i/>
          <w:color w:val="000000" w:themeColor="text1"/>
          <w:sz w:val="26"/>
          <w:szCs w:val="26"/>
          <w14:textFill>
            <w14:solidFill>
              <w14:schemeClr w14:val="tx1"/>
            </w14:solidFill>
          </w14:textFill>
        </w:rPr>
        <w:t xml:space="preserve"> [insert name of Purchaser]:</w:t>
      </w:r>
    </w:p>
    <w:p w14:paraId="708C67AC">
      <w:pPr>
        <w:widowControl w:val="0"/>
        <w:numPr>
          <w:ilvl w:val="0"/>
          <w:numId w:val="47"/>
        </w:numPr>
        <w:spacing w:before="80" w:after="8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Signing the letter of bid;</w:t>
      </w:r>
    </w:p>
    <w:p w14:paraId="708C67AD">
      <w:pPr>
        <w:widowControl w:val="0"/>
        <w:numPr>
          <w:ilvl w:val="0"/>
          <w:numId w:val="47"/>
        </w:numPr>
        <w:spacing w:before="80" w:after="8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Signing the consortium agreement (if any); </w:t>
      </w:r>
    </w:p>
    <w:p w14:paraId="708C67AE">
      <w:pPr>
        <w:widowControl w:val="0"/>
        <w:numPr>
          <w:ilvl w:val="0"/>
          <w:numId w:val="47"/>
        </w:numPr>
        <w:spacing w:before="80" w:after="8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Signing all letters, documents for correspondence with the Purchaser in during the bidding, including request writing for clarification of BDs as well as writing for clarification of bids or substitution, modification, alternative of Bids;</w:t>
      </w:r>
    </w:p>
    <w:p w14:paraId="708C67AF">
      <w:pPr>
        <w:widowControl w:val="0"/>
        <w:numPr>
          <w:ilvl w:val="0"/>
          <w:numId w:val="47"/>
        </w:numPr>
        <w:spacing w:before="80" w:after="80" w:line="240" w:lineRule="auto"/>
        <w:jc w:val="both"/>
        <w:rPr>
          <w:color w:val="000000" w:themeColor="text1"/>
          <w:sz w:val="26"/>
          <w:szCs w:val="26"/>
          <w14:textFill>
            <w14:solidFill>
              <w14:schemeClr w14:val="tx1"/>
            </w14:solidFill>
          </w14:textFill>
        </w:rPr>
      </w:pPr>
      <w:r>
        <w:rPr>
          <w:sz w:val="26"/>
          <w:szCs w:val="26"/>
        </w:rPr>
        <w:t>Participating in the negotiation process (if any) and completion</w:t>
      </w:r>
      <w:r>
        <w:rPr>
          <w:color w:val="000000" w:themeColor="text1"/>
          <w:sz w:val="26"/>
          <w:szCs w:val="26"/>
          <w14:textFill>
            <w14:solidFill>
              <w14:schemeClr w14:val="tx1"/>
            </w14:solidFill>
          </w14:textFill>
        </w:rPr>
        <w:t xml:space="preserve"> of contract;</w:t>
      </w:r>
    </w:p>
    <w:p w14:paraId="708C67B0">
      <w:pPr>
        <w:widowControl w:val="0"/>
        <w:numPr>
          <w:ilvl w:val="0"/>
          <w:numId w:val="47"/>
        </w:numPr>
        <w:spacing w:before="80" w:after="8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Signing the petition letter in case of the bidder having requirement;</w:t>
      </w:r>
    </w:p>
    <w:p w14:paraId="708C67B1">
      <w:pPr>
        <w:widowControl w:val="0"/>
        <w:numPr>
          <w:ilvl w:val="0"/>
          <w:numId w:val="47"/>
        </w:numPr>
        <w:spacing w:before="80" w:after="8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Signing the contract with the Purchaser if selected </w:t>
      </w:r>
      <w:r>
        <w:rPr>
          <w:color w:val="000000" w:themeColor="text1"/>
          <w:sz w:val="26"/>
          <w:szCs w:val="26"/>
          <w:vertAlign w:val="superscript"/>
          <w14:textFill>
            <w14:solidFill>
              <w14:schemeClr w14:val="tx1"/>
            </w14:solidFill>
          </w14:textFill>
        </w:rPr>
        <w:t>(2)</w:t>
      </w:r>
      <w:r>
        <w:rPr>
          <w:color w:val="000000" w:themeColor="text1"/>
          <w:sz w:val="26"/>
          <w:szCs w:val="26"/>
          <w14:textFill>
            <w14:solidFill>
              <w14:schemeClr w14:val="tx1"/>
            </w14:solidFill>
          </w14:textFill>
        </w:rPr>
        <w:t>.</w:t>
      </w:r>
    </w:p>
    <w:p w14:paraId="708C67B2">
      <w:pPr>
        <w:widowControl w:val="0"/>
        <w:spacing w:before="80" w:after="80"/>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The above authorized person only implements works in scope of authorization on behalf of </w:t>
      </w:r>
      <w:r>
        <w:rPr>
          <w:i/>
          <w:color w:val="000000" w:themeColor="text1"/>
          <w:sz w:val="26"/>
          <w:szCs w:val="26"/>
          <w14:textFill>
            <w14:solidFill>
              <w14:schemeClr w14:val="tx1"/>
            </w14:solidFill>
          </w14:textFill>
        </w:rPr>
        <w:t xml:space="preserve">[insert name of bidder]. [Insert name of legal representative of Bidder] </w:t>
      </w:r>
      <w:r>
        <w:rPr>
          <w:color w:val="000000" w:themeColor="text1"/>
          <w:sz w:val="26"/>
          <w:szCs w:val="26"/>
          <w14:textFill>
            <w14:solidFill>
              <w14:schemeClr w14:val="tx1"/>
            </w14:solidFill>
          </w14:textFill>
        </w:rPr>
        <w:t xml:space="preserve">shall bear full responsibilities for items executed by </w:t>
      </w:r>
      <w:r>
        <w:rPr>
          <w:i/>
          <w:color w:val="000000" w:themeColor="text1"/>
          <w:sz w:val="26"/>
          <w:szCs w:val="26"/>
          <w14:textFill>
            <w14:solidFill>
              <w14:schemeClr w14:val="tx1"/>
            </w14:solidFill>
          </w14:textFill>
        </w:rPr>
        <w:t xml:space="preserve">[insert name of authorized person] </w:t>
      </w:r>
      <w:r>
        <w:rPr>
          <w:color w:val="000000" w:themeColor="text1"/>
          <w:sz w:val="26"/>
          <w:szCs w:val="26"/>
          <w14:textFill>
            <w14:solidFill>
              <w14:schemeClr w14:val="tx1"/>
            </w14:solidFill>
          </w14:textFill>
        </w:rPr>
        <w:t>in scope of authorization.</w:t>
      </w:r>
    </w:p>
    <w:p w14:paraId="708C67B3">
      <w:pPr>
        <w:widowControl w:val="0"/>
        <w:spacing w:before="120" w:after="120" w:line="264"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Letter of attorney has validity from the date …./…./…… to …./…./…..</w:t>
      </w:r>
      <w:r>
        <w:rPr>
          <w:color w:val="000000" w:themeColor="text1"/>
          <w:sz w:val="26"/>
          <w:szCs w:val="26"/>
          <w:vertAlign w:val="superscript"/>
          <w14:textFill>
            <w14:solidFill>
              <w14:schemeClr w14:val="tx1"/>
            </w14:solidFill>
          </w14:textFill>
        </w:rPr>
        <w:t>(3)</w:t>
      </w:r>
      <w:r>
        <w:rPr>
          <w:color w:val="000000" w:themeColor="text1"/>
          <w:sz w:val="26"/>
          <w:szCs w:val="26"/>
          <w14:textFill>
            <w14:solidFill>
              <w14:schemeClr w14:val="tx1"/>
            </w14:solidFill>
          </w14:textFill>
        </w:rPr>
        <w:t>. This letter of attorney shall be prepared in … originals having equal validity, the authorized person shall keep one original, the authorizing person shall keep one original and the Purchaser shall keep one original.</w:t>
      </w:r>
    </w:p>
    <w:tbl>
      <w:tblPr>
        <w:tblStyle w:val="12"/>
        <w:tblW w:w="9144" w:type="dxa"/>
        <w:tblInd w:w="0" w:type="dxa"/>
        <w:tblLayout w:type="autofit"/>
        <w:tblCellMar>
          <w:top w:w="0" w:type="dxa"/>
          <w:left w:w="108" w:type="dxa"/>
          <w:bottom w:w="0" w:type="dxa"/>
          <w:right w:w="108" w:type="dxa"/>
        </w:tblCellMar>
      </w:tblPr>
      <w:tblGrid>
        <w:gridCol w:w="4582"/>
        <w:gridCol w:w="4562"/>
      </w:tblGrid>
      <w:tr w14:paraId="708C67B9">
        <w:tblPrEx>
          <w:tblCellMar>
            <w:top w:w="0" w:type="dxa"/>
            <w:left w:w="108" w:type="dxa"/>
            <w:bottom w:w="0" w:type="dxa"/>
            <w:right w:w="108" w:type="dxa"/>
          </w:tblCellMar>
        </w:tblPrEx>
        <w:tc>
          <w:tcPr>
            <w:tcW w:w="4582" w:type="dxa"/>
          </w:tcPr>
          <w:p w14:paraId="708C67B4">
            <w:pPr>
              <w:widowControl w:val="0"/>
              <w:spacing w:before="120" w:after="120" w:line="264"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Authorized Person</w:t>
            </w:r>
          </w:p>
          <w:p w14:paraId="708C67B5">
            <w:pPr>
              <w:widowControl w:val="0"/>
              <w:spacing w:before="120" w:after="120" w:line="264"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(State full name, position, sign and seal)</w:t>
            </w:r>
          </w:p>
        </w:tc>
        <w:tc>
          <w:tcPr>
            <w:tcW w:w="4562" w:type="dxa"/>
          </w:tcPr>
          <w:p w14:paraId="708C67B6">
            <w:pPr>
              <w:widowControl w:val="0"/>
              <w:spacing w:before="120" w:after="120" w:line="264"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Authorizing Person</w:t>
            </w:r>
          </w:p>
          <w:p w14:paraId="708C67B7">
            <w:pPr>
              <w:widowControl w:val="0"/>
              <w:spacing w:before="120" w:after="120" w:line="264"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(State full name of lawful representative of Bidder, position, sign and seal)</w:t>
            </w:r>
          </w:p>
          <w:p w14:paraId="708C67B8">
            <w:pPr>
              <w:widowControl w:val="0"/>
              <w:spacing w:before="120" w:after="120" w:line="264" w:lineRule="auto"/>
              <w:ind w:firstLine="567"/>
              <w:jc w:val="center"/>
              <w:rPr>
                <w:color w:val="000000" w:themeColor="text1"/>
                <w:sz w:val="26"/>
                <w:szCs w:val="26"/>
                <w14:textFill>
                  <w14:solidFill>
                    <w14:schemeClr w14:val="tx1"/>
                  </w14:solidFill>
                </w14:textFill>
              </w:rPr>
            </w:pPr>
          </w:p>
        </w:tc>
      </w:tr>
    </w:tbl>
    <w:p w14:paraId="708C67BA">
      <w:pPr>
        <w:widowControl w:val="0"/>
        <w:spacing w:before="120" w:after="120" w:line="264" w:lineRule="auto"/>
        <w:ind w:firstLine="567"/>
        <w:jc w:val="both"/>
        <w:rPr>
          <w:color w:val="000000" w:themeColor="text1"/>
          <w:sz w:val="26"/>
          <w:szCs w:val="26"/>
          <w14:textFill>
            <w14:solidFill>
              <w14:schemeClr w14:val="tx1"/>
            </w14:solidFill>
          </w14:textFill>
        </w:rPr>
      </w:pPr>
      <w:bookmarkStart w:id="17" w:name="_Toc282516805"/>
      <w:r>
        <w:rPr>
          <w:color w:val="000000" w:themeColor="text1"/>
          <w:sz w:val="26"/>
          <w:szCs w:val="26"/>
          <w14:textFill>
            <w14:solidFill>
              <w14:schemeClr w14:val="tx1"/>
            </w14:solidFill>
          </w14:textFill>
        </w:rPr>
        <w:t>Notes:</w:t>
      </w:r>
      <w:bookmarkEnd w:id="17"/>
    </w:p>
    <w:p w14:paraId="708C67BB">
      <w:pPr>
        <w:widowControl w:val="0"/>
        <w:tabs>
          <w:tab w:val="left" w:pos="540"/>
        </w:tabs>
        <w:spacing w:before="120" w:after="120" w:line="264"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(1) The Bidder must submit the original to the Purchaser, if authorized, together with the bids as specified in ITB 19.3. The authorizing of lawful representative of bidder for deputy of director, subordinates, director of branch, leader of representative office of the bidder to be on behalf of the lawful representatives of bidder for implementation one or some contents of work as the above specified. The use of stamp (if any) in case of authorizing can be stamp of the bidder or stamp of organization that related individuals are being authorized. </w:t>
      </w:r>
      <w:r>
        <w:rPr>
          <w:rStyle w:val="94"/>
          <w:color w:val="000000" w:themeColor="text1"/>
          <w:sz w:val="26"/>
          <w:szCs w:val="26"/>
          <w14:textFill>
            <w14:solidFill>
              <w14:schemeClr w14:val="tx1"/>
            </w14:solidFill>
          </w14:textFill>
        </w:rPr>
        <w:t>The authorized person must not continue to authorize others.</w:t>
      </w:r>
    </w:p>
    <w:p w14:paraId="708C67BC">
      <w:pPr>
        <w:widowControl w:val="0"/>
        <w:tabs>
          <w:tab w:val="left" w:pos="540"/>
        </w:tabs>
        <w:spacing w:before="120" w:after="120" w:line="264"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 Scope of authorizing is inclusive of one or many works as the above stated.</w:t>
      </w:r>
    </w:p>
    <w:p w14:paraId="708C67BD">
      <w:pPr>
        <w:widowControl w:val="0"/>
        <w:tabs>
          <w:tab w:val="left" w:pos="540"/>
        </w:tabs>
        <w:spacing w:before="120" w:after="120" w:line="264" w:lineRule="auto"/>
        <w:ind w:firstLine="567"/>
        <w:jc w:val="both"/>
        <w:rPr>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(3) Inserting the valid date and invalid date of the letter of attorney in accordance with participation in bidding process.</w:t>
      </w:r>
    </w:p>
    <w:p w14:paraId="708C67BE">
      <w:pPr>
        <w:pStyle w:val="18"/>
        <w:widowControl w:val="0"/>
        <w:spacing w:before="120" w:line="264" w:lineRule="auto"/>
        <w:ind w:left="0" w:firstLine="567"/>
        <w:rPr>
          <w:color w:val="000000" w:themeColor="text1"/>
          <w:sz w:val="26"/>
          <w:szCs w:val="26"/>
          <w14:textFill>
            <w14:solidFill>
              <w14:schemeClr w14:val="tx1"/>
            </w14:solidFill>
          </w14:textFill>
        </w:rPr>
      </w:pPr>
    </w:p>
    <w:p w14:paraId="708C67BF">
      <w:pPr>
        <w:widowControl w:val="0"/>
        <w:spacing w:before="120" w:after="120" w:line="264" w:lineRule="auto"/>
        <w:ind w:firstLine="567"/>
        <w:jc w:val="right"/>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br w:type="page"/>
      </w:r>
      <w:r>
        <w:rPr>
          <w:b/>
          <w:color w:val="000000" w:themeColor="text1"/>
          <w:sz w:val="26"/>
          <w:szCs w:val="26"/>
          <w14:textFill>
            <w14:solidFill>
              <w14:schemeClr w14:val="tx1"/>
            </w14:solidFill>
          </w14:textFill>
        </w:rPr>
        <w:t>Form 3</w:t>
      </w:r>
    </w:p>
    <w:p w14:paraId="708C67C0">
      <w:pPr>
        <w:pStyle w:val="4"/>
        <w:widowControl w:val="0"/>
        <w:ind w:left="720" w:hanging="720"/>
        <w:jc w:val="center"/>
        <w:rPr>
          <w:rFonts w:ascii="Times New Roman" w:hAnsi="Times New Roman"/>
          <w:color w:val="000000" w:themeColor="text1"/>
          <w14:textFill>
            <w14:solidFill>
              <w14:schemeClr w14:val="tx1"/>
            </w14:solidFill>
          </w14:textFill>
        </w:rPr>
      </w:pPr>
      <w:bookmarkStart w:id="18" w:name="_Toc415063599"/>
      <w:r>
        <w:rPr>
          <w:rFonts w:ascii="Times New Roman" w:hAnsi="Times New Roman"/>
          <w:color w:val="000000" w:themeColor="text1"/>
          <w14:textFill>
            <w14:solidFill>
              <w14:schemeClr w14:val="tx1"/>
            </w14:solidFill>
          </w14:textFill>
        </w:rPr>
        <w:t>CONSORTIUM AGREEMENT</w:t>
      </w:r>
      <w:bookmarkEnd w:id="18"/>
    </w:p>
    <w:p w14:paraId="708C67C1">
      <w:pPr>
        <w:widowControl w:val="0"/>
        <w:spacing w:before="120" w:after="120" w:line="240" w:lineRule="auto"/>
        <w:jc w:val="right"/>
        <w:rPr>
          <w:color w:val="000000" w:themeColor="text1"/>
          <w:sz w:val="26"/>
          <w:szCs w:val="26"/>
          <w14:textFill>
            <w14:solidFill>
              <w14:schemeClr w14:val="tx1"/>
            </w14:solidFill>
          </w14:textFill>
        </w:rPr>
      </w:pPr>
    </w:p>
    <w:p w14:paraId="708C67C2">
      <w:pPr>
        <w:widowControl w:val="0"/>
        <w:spacing w:before="120" w:after="120" w:line="240" w:lineRule="auto"/>
        <w:jc w:val="right"/>
        <w:rPr>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____, ___/ ___/____</w:t>
      </w:r>
      <w:r>
        <w:rPr>
          <w:i/>
          <w:color w:val="000000" w:themeColor="text1"/>
          <w:sz w:val="26"/>
          <w:szCs w:val="26"/>
          <w14:textFill>
            <w14:solidFill>
              <w14:schemeClr w14:val="tx1"/>
            </w14:solidFill>
          </w14:textFill>
        </w:rPr>
        <w:t>[insert place and date of signing]</w:t>
      </w:r>
    </w:p>
    <w:p w14:paraId="708C67C3">
      <w:pPr>
        <w:widowControl w:val="0"/>
        <w:tabs>
          <w:tab w:val="right" w:pos="9000"/>
        </w:tabs>
        <w:spacing w:before="120" w:after="120" w:line="264" w:lineRule="auto"/>
        <w:ind w:firstLine="567"/>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Package: </w:t>
      </w:r>
      <w:r>
        <w:rPr>
          <w:i/>
          <w:color w:val="000000" w:themeColor="text1"/>
          <w:sz w:val="26"/>
          <w:szCs w:val="26"/>
          <w14:textFill>
            <w14:solidFill>
              <w14:schemeClr w14:val="tx1"/>
            </w14:solidFill>
          </w14:textFill>
        </w:rPr>
        <w:t>[insert package’s name]</w:t>
      </w:r>
    </w:p>
    <w:p w14:paraId="708C67C4">
      <w:pPr>
        <w:widowControl w:val="0"/>
        <w:tabs>
          <w:tab w:val="right" w:pos="9000"/>
        </w:tabs>
        <w:spacing w:before="120" w:after="120" w:line="264" w:lineRule="auto"/>
        <w:ind w:firstLine="567"/>
        <w:rPr>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Project: </w:t>
      </w:r>
      <w:r>
        <w:rPr>
          <w:i/>
          <w:color w:val="000000" w:themeColor="text1"/>
          <w:sz w:val="26"/>
          <w:szCs w:val="26"/>
          <w14:textFill>
            <w14:solidFill>
              <w14:schemeClr w14:val="tx1"/>
            </w14:solidFill>
          </w14:textFill>
        </w:rPr>
        <w:t>[insert name of the project]</w:t>
      </w:r>
    </w:p>
    <w:p w14:paraId="708C67C5">
      <w:pPr>
        <w:widowControl w:val="0"/>
        <w:spacing w:before="120" w:after="12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Whereas the Procurement Law No.22/2023/QH15 dated one June 23</w:t>
      </w:r>
      <w:r>
        <w:rPr>
          <w:color w:val="000000" w:themeColor="text1"/>
          <w:sz w:val="26"/>
          <w:szCs w:val="26"/>
          <w:vertAlign w:val="superscript"/>
          <w14:textFill>
            <w14:solidFill>
              <w14:schemeClr w14:val="tx1"/>
            </w14:solidFill>
          </w14:textFill>
        </w:rPr>
        <w:t>rd</w:t>
      </w:r>
      <w:r>
        <w:rPr>
          <w:color w:val="000000" w:themeColor="text1"/>
          <w:sz w:val="26"/>
          <w:szCs w:val="26"/>
          <w14:textFill>
            <w14:solidFill>
              <w14:schemeClr w14:val="tx1"/>
            </w14:solidFill>
          </w14:textFill>
        </w:rPr>
        <w:t xml:space="preserve"> 2023 of National Assembly;</w:t>
      </w:r>
    </w:p>
    <w:p w14:paraId="708C67C6">
      <w:pPr>
        <w:widowControl w:val="0"/>
        <w:spacing w:before="120" w:after="120" w:line="240" w:lineRule="auto"/>
        <w:ind w:firstLine="567"/>
        <w:jc w:val="both"/>
        <w:rPr>
          <w:rFonts w:hint="default"/>
          <w:color w:val="000000" w:themeColor="text1"/>
          <w:sz w:val="26"/>
          <w:szCs w:val="26"/>
          <w:lang w:val="en-US"/>
          <w14:textFill>
            <w14:solidFill>
              <w14:schemeClr w14:val="tx1"/>
            </w14:solidFill>
          </w14:textFill>
        </w:rPr>
      </w:pPr>
      <w:r>
        <w:rPr>
          <w:color w:val="000000" w:themeColor="text1"/>
          <w:sz w:val="26"/>
          <w:szCs w:val="26"/>
          <w14:textFill>
            <w14:solidFill>
              <w14:schemeClr w14:val="tx1"/>
            </w14:solidFill>
          </w14:textFill>
        </w:rPr>
        <w:t xml:space="preserve">Whereas </w:t>
      </w:r>
      <w:r>
        <w:rPr>
          <w:sz w:val="27"/>
          <w:szCs w:val="27"/>
        </w:rPr>
        <w:t>the Law amending and supplementing a number of articles of the Law on Planning, the Law on Investment, the Law on Investment under the form of public-private partnership and the Law on Bidding No.57/2024/QH15 dated November 29, 2024;</w:t>
      </w:r>
      <w:r>
        <w:rPr>
          <w:rFonts w:hint="default"/>
          <w:sz w:val="27"/>
          <w:szCs w:val="27"/>
          <w:lang w:val="en-US"/>
        </w:rPr>
        <w:t xml:space="preserve"> Law 90/2025/QH15 dated July 01</w:t>
      </w:r>
      <w:r>
        <w:rPr>
          <w:rFonts w:hint="default"/>
          <w:sz w:val="27"/>
          <w:szCs w:val="27"/>
          <w:vertAlign w:val="superscript"/>
          <w:lang w:val="en-US"/>
        </w:rPr>
        <w:t>st</w:t>
      </w:r>
      <w:r>
        <w:rPr>
          <w:rFonts w:hint="default"/>
          <w:sz w:val="27"/>
          <w:szCs w:val="27"/>
          <w:lang w:val="en-US"/>
        </w:rPr>
        <w:t xml:space="preserve"> 2025.</w:t>
      </w:r>
    </w:p>
    <w:p w14:paraId="708C67C7">
      <w:pPr>
        <w:widowControl w:val="0"/>
        <w:spacing w:before="120" w:after="12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Whereas the </w:t>
      </w:r>
      <w:r>
        <w:rPr>
          <w:color w:val="auto"/>
          <w:sz w:val="26"/>
          <w:szCs w:val="26"/>
          <w:highlight w:val="none"/>
        </w:rPr>
        <w:t>Decree No.214/2025/ND-CP dated on August 04</w:t>
      </w:r>
      <w:r>
        <w:rPr>
          <w:color w:val="auto"/>
          <w:sz w:val="26"/>
          <w:szCs w:val="26"/>
          <w:highlight w:val="none"/>
          <w:vertAlign w:val="superscript"/>
        </w:rPr>
        <w:t>th</w:t>
      </w:r>
      <w:r>
        <w:rPr>
          <w:color w:val="auto"/>
          <w:sz w:val="26"/>
          <w:szCs w:val="26"/>
          <w:highlight w:val="none"/>
        </w:rPr>
        <w:t xml:space="preserve"> 2025 </w:t>
      </w:r>
      <w:r>
        <w:rPr>
          <w:color w:val="000000" w:themeColor="text1"/>
          <w:sz w:val="26"/>
          <w:szCs w:val="26"/>
          <w14:textFill>
            <w14:solidFill>
              <w14:schemeClr w14:val="tx1"/>
            </w14:solidFill>
          </w14:textFill>
        </w:rPr>
        <w:t>of the Government providing guidelines the implementation of Procurement Law on selection of contractor;</w:t>
      </w:r>
    </w:p>
    <w:p w14:paraId="708C67C8">
      <w:pPr>
        <w:widowControl w:val="0"/>
        <w:spacing w:before="120" w:after="12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Whereas the </w:t>
      </w:r>
      <w:r>
        <w:rPr>
          <w:sz w:val="27"/>
          <w:szCs w:val="27"/>
        </w:rPr>
        <w:t>Decree No.17/2025/ND-CP dated February 6, 2025 of the Government amending and supplementing a number of articles of the Decrees detailing a number of articles and measures to implement the Law on Bidding;</w:t>
      </w:r>
    </w:p>
    <w:p w14:paraId="708C67C9">
      <w:pPr>
        <w:widowControl w:val="0"/>
        <w:spacing w:before="120" w:after="12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Whereas the BDs for Package </w:t>
      </w:r>
      <w:r>
        <w:rPr>
          <w:i/>
          <w:color w:val="000000" w:themeColor="text1"/>
          <w:sz w:val="26"/>
          <w:szCs w:val="26"/>
          <w14:textFill>
            <w14:solidFill>
              <w14:schemeClr w14:val="tx1"/>
            </w14:solidFill>
          </w14:textFill>
        </w:rPr>
        <w:t xml:space="preserve">[insert name of package] </w:t>
      </w:r>
      <w:r>
        <w:rPr>
          <w:color w:val="000000" w:themeColor="text1"/>
          <w:sz w:val="26"/>
          <w:szCs w:val="26"/>
          <w14:textFill>
            <w14:solidFill>
              <w14:schemeClr w14:val="tx1"/>
            </w14:solidFill>
          </w14:textFill>
        </w:rPr>
        <w:t xml:space="preserve">dated on </w:t>
      </w:r>
      <w:r>
        <w:rPr>
          <w:i/>
          <w:color w:val="000000" w:themeColor="text1"/>
          <w:sz w:val="26"/>
          <w:szCs w:val="26"/>
          <w14:textFill>
            <w14:solidFill>
              <w14:schemeClr w14:val="tx1"/>
            </w14:solidFill>
          </w14:textFill>
        </w:rPr>
        <w:t>[insert issued date of BDs]</w:t>
      </w:r>
      <w:r>
        <w:rPr>
          <w:color w:val="000000" w:themeColor="text1"/>
          <w:sz w:val="26"/>
          <w:szCs w:val="26"/>
          <w14:textFill>
            <w14:solidFill>
              <w14:schemeClr w14:val="tx1"/>
            </w14:solidFill>
          </w14:textFill>
        </w:rPr>
        <w:t xml:space="preserve">. </w:t>
      </w:r>
    </w:p>
    <w:p w14:paraId="708C67CA">
      <w:pPr>
        <w:widowControl w:val="0"/>
        <w:spacing w:before="120" w:after="12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We, parties to this consortium Agreement:</w:t>
      </w:r>
    </w:p>
    <w:p w14:paraId="708C67CB">
      <w:pPr>
        <w:widowControl w:val="0"/>
        <w:shd w:val="clear" w:color="auto" w:fill="FFFFFF"/>
        <w:spacing w:before="120" w:after="0" w:line="240" w:lineRule="auto"/>
        <w:jc w:val="both"/>
        <w:rPr>
          <w:i/>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Name of the first consortium member </w:t>
      </w:r>
      <w:r>
        <w:rPr>
          <w:i/>
          <w:color w:val="000000" w:themeColor="text1"/>
          <w:sz w:val="26"/>
          <w:szCs w:val="26"/>
          <w14:textFill>
            <w14:solidFill>
              <w14:schemeClr w14:val="tx1"/>
            </w14:solidFill>
          </w14:textFill>
        </w:rPr>
        <w:t>[insert name of the first consortium member]:</w:t>
      </w:r>
    </w:p>
    <w:p w14:paraId="708C67CC">
      <w:pPr>
        <w:widowControl w:val="0"/>
        <w:shd w:val="clear" w:color="auto" w:fill="FFFFFF"/>
        <w:tabs>
          <w:tab w:val="left" w:pos="9000"/>
        </w:tabs>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Representative: Mr./Mrs./Ms.</w:t>
      </w:r>
    </w:p>
    <w:p w14:paraId="708C67CD">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Title:</w:t>
      </w:r>
    </w:p>
    <w:p w14:paraId="708C67CE">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Address:</w:t>
      </w:r>
    </w:p>
    <w:p w14:paraId="708C67CF">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Telephone:</w:t>
      </w:r>
    </w:p>
    <w:p w14:paraId="708C67D0">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Fax:</w:t>
      </w:r>
    </w:p>
    <w:p w14:paraId="708C67D1">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Email:</w:t>
      </w:r>
    </w:p>
    <w:p w14:paraId="708C67D2">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Account No.:</w:t>
      </w:r>
    </w:p>
    <w:p w14:paraId="708C67D3">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Tax reference number:</w:t>
      </w:r>
    </w:p>
    <w:p w14:paraId="708C67D4">
      <w:pPr>
        <w:widowControl w:val="0"/>
        <w:shd w:val="clear" w:color="auto" w:fill="FFFFFF"/>
        <w:spacing w:before="120" w:after="0" w:line="240" w:lineRule="auto"/>
        <w:ind w:firstLine="567"/>
        <w:jc w:val="both"/>
        <w:rPr>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Power of Attorney No. (for signing of the consortium Agreement): dated on ...../..../…… </w:t>
      </w:r>
      <w:r>
        <w:rPr>
          <w:i/>
          <w:color w:val="000000" w:themeColor="text1"/>
          <w:sz w:val="26"/>
          <w:szCs w:val="26"/>
          <w14:textFill>
            <w14:solidFill>
              <w14:schemeClr w14:val="tx1"/>
            </w14:solidFill>
          </w14:textFill>
        </w:rPr>
        <w:t>(if any)</w:t>
      </w:r>
    </w:p>
    <w:p w14:paraId="708C67D5">
      <w:pPr>
        <w:widowControl w:val="0"/>
        <w:shd w:val="clear" w:color="auto" w:fill="FFFFFF"/>
        <w:spacing w:before="120" w:after="0" w:line="240" w:lineRule="auto"/>
        <w:jc w:val="both"/>
        <w:rPr>
          <w:i/>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Name of the second consortium member </w:t>
      </w:r>
      <w:r>
        <w:rPr>
          <w:i/>
          <w:color w:val="000000" w:themeColor="text1"/>
          <w:sz w:val="26"/>
          <w:szCs w:val="26"/>
          <w14:textFill>
            <w14:solidFill>
              <w14:schemeClr w14:val="tx1"/>
            </w14:solidFill>
          </w14:textFill>
        </w:rPr>
        <w:t>[insert name of the second consortium member]:</w:t>
      </w:r>
    </w:p>
    <w:p w14:paraId="708C67D6">
      <w:pPr>
        <w:widowControl w:val="0"/>
        <w:shd w:val="clear" w:color="auto" w:fill="FFFFFF"/>
        <w:tabs>
          <w:tab w:val="left" w:pos="9000"/>
        </w:tabs>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Representative: Mr./Mrs./Ms.</w:t>
      </w:r>
    </w:p>
    <w:p w14:paraId="708C67D7">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Title:</w:t>
      </w:r>
    </w:p>
    <w:p w14:paraId="708C67D8">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Address:</w:t>
      </w:r>
    </w:p>
    <w:p w14:paraId="708C67D9">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Telephone:</w:t>
      </w:r>
    </w:p>
    <w:p w14:paraId="708C67DA">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Fax:</w:t>
      </w:r>
    </w:p>
    <w:p w14:paraId="708C67DB">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Email:</w:t>
      </w:r>
    </w:p>
    <w:p w14:paraId="708C67DC">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Account No.:</w:t>
      </w:r>
    </w:p>
    <w:p w14:paraId="708C67DD">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Tax reference number:</w:t>
      </w:r>
    </w:p>
    <w:p w14:paraId="708C67DE">
      <w:pPr>
        <w:widowControl w:val="0"/>
        <w:shd w:val="clear" w:color="auto" w:fill="FFFFFF"/>
        <w:spacing w:before="120" w:after="0" w:line="240" w:lineRule="auto"/>
        <w:ind w:firstLine="567"/>
        <w:jc w:val="both"/>
        <w:rPr>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Power of Attorney No. (for signing of the consortium Agreement): dated on ...../..../…… </w:t>
      </w:r>
      <w:r>
        <w:rPr>
          <w:i/>
          <w:color w:val="000000" w:themeColor="text1"/>
          <w:sz w:val="26"/>
          <w:szCs w:val="26"/>
          <w14:textFill>
            <w14:solidFill>
              <w14:schemeClr w14:val="tx1"/>
            </w14:solidFill>
          </w14:textFill>
        </w:rPr>
        <w:t>(if any)</w:t>
      </w:r>
    </w:p>
    <w:p w14:paraId="708C67DF">
      <w:pPr>
        <w:widowControl w:val="0"/>
        <w:shd w:val="clear" w:color="auto" w:fill="FFFFFF"/>
        <w:spacing w:before="120" w:after="0" w:line="240" w:lineRule="auto"/>
        <w:jc w:val="both"/>
        <w:rPr>
          <w:i/>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Name of the n</w:t>
      </w:r>
      <w:r>
        <w:rPr>
          <w:b/>
          <w:color w:val="000000" w:themeColor="text1"/>
          <w:sz w:val="26"/>
          <w:szCs w:val="26"/>
          <w:vertAlign w:val="superscript"/>
          <w14:textFill>
            <w14:solidFill>
              <w14:schemeClr w14:val="tx1"/>
            </w14:solidFill>
          </w14:textFill>
        </w:rPr>
        <w:t>th</w:t>
      </w:r>
      <w:r>
        <w:rPr>
          <w:b/>
          <w:color w:val="000000" w:themeColor="text1"/>
          <w:sz w:val="26"/>
          <w:szCs w:val="26"/>
          <w14:textFill>
            <w14:solidFill>
              <w14:schemeClr w14:val="tx1"/>
            </w14:solidFill>
          </w14:textFill>
        </w:rPr>
        <w:t xml:space="preserve"> consortium member </w:t>
      </w:r>
      <w:r>
        <w:rPr>
          <w:i/>
          <w:color w:val="000000" w:themeColor="text1"/>
          <w:sz w:val="26"/>
          <w:szCs w:val="26"/>
          <w14:textFill>
            <w14:solidFill>
              <w14:schemeClr w14:val="tx1"/>
            </w14:solidFill>
          </w14:textFill>
        </w:rPr>
        <w:t>[insert name of the first consortium member]:</w:t>
      </w:r>
    </w:p>
    <w:p w14:paraId="708C67E0">
      <w:pPr>
        <w:widowControl w:val="0"/>
        <w:shd w:val="clear" w:color="auto" w:fill="FFFFFF"/>
        <w:tabs>
          <w:tab w:val="left" w:pos="9000"/>
        </w:tabs>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Representative: Mr./Mrs./Ms.</w:t>
      </w:r>
    </w:p>
    <w:p w14:paraId="708C67E1">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Title:</w:t>
      </w:r>
    </w:p>
    <w:p w14:paraId="708C67E2">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Address:</w:t>
      </w:r>
    </w:p>
    <w:p w14:paraId="708C67E3">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Telephone:</w:t>
      </w:r>
    </w:p>
    <w:p w14:paraId="708C67E4">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Fax:</w:t>
      </w:r>
    </w:p>
    <w:p w14:paraId="708C67E5">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Email:</w:t>
      </w:r>
    </w:p>
    <w:p w14:paraId="708C67E6">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Account No.:</w:t>
      </w:r>
    </w:p>
    <w:p w14:paraId="708C67E7">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Tax reference number:</w:t>
      </w:r>
    </w:p>
    <w:p w14:paraId="708C67E8">
      <w:pPr>
        <w:widowControl w:val="0"/>
        <w:shd w:val="clear" w:color="auto" w:fill="FFFFFF"/>
        <w:spacing w:before="120" w:after="0" w:line="240" w:lineRule="auto"/>
        <w:ind w:firstLine="567"/>
        <w:jc w:val="both"/>
        <w:rPr>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Power of Attorney No. (for signing of the consortium Agreement): dated on ...../..../…… </w:t>
      </w:r>
      <w:r>
        <w:rPr>
          <w:i/>
          <w:color w:val="000000" w:themeColor="text1"/>
          <w:sz w:val="26"/>
          <w:szCs w:val="26"/>
          <w14:textFill>
            <w14:solidFill>
              <w14:schemeClr w14:val="tx1"/>
            </w14:solidFill>
          </w14:textFill>
        </w:rPr>
        <w:t>(if any)</w:t>
      </w:r>
    </w:p>
    <w:p w14:paraId="708C67E9">
      <w:pPr>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Patties (hereinafter referred to as “The Member”) agree to sign the consortium Agreement with the following contents:</w:t>
      </w:r>
    </w:p>
    <w:p w14:paraId="708C67EA">
      <w:pPr>
        <w:widowControl w:val="0"/>
        <w:spacing w:before="120" w:after="120" w:line="240" w:lineRule="auto"/>
        <w:ind w:firstLine="567"/>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Article 1: General principle</w:t>
      </w:r>
    </w:p>
    <w:p w14:paraId="708C67EB">
      <w:pPr>
        <w:pStyle w:val="15"/>
        <w:widowControl w:val="0"/>
        <w:numPr>
          <w:ilvl w:val="0"/>
          <w:numId w:val="48"/>
        </w:numPr>
        <w:spacing w:before="120" w:line="240" w:lineRule="auto"/>
        <w:jc w:val="both"/>
        <w:rPr>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All the member volunteer to take shape the consortium to participate in</w:t>
      </w:r>
      <w:r>
        <w:rPr>
          <w:i/>
          <w:color w:val="000000" w:themeColor="text1"/>
          <w:sz w:val="26"/>
          <w:szCs w:val="26"/>
          <w14:textFill>
            <w14:solidFill>
              <w14:schemeClr w14:val="tx1"/>
            </w14:solidFill>
          </w14:textFill>
        </w:rPr>
        <w:t xml:space="preserve"> [insert name of package] </w:t>
      </w:r>
      <w:r>
        <w:rPr>
          <w:color w:val="000000" w:themeColor="text1"/>
          <w:sz w:val="26"/>
          <w:szCs w:val="26"/>
          <w14:textFill>
            <w14:solidFill>
              <w14:schemeClr w14:val="tx1"/>
            </w14:solidFill>
          </w14:textFill>
        </w:rPr>
        <w:t xml:space="preserve">of </w:t>
      </w:r>
      <w:r>
        <w:rPr>
          <w:i/>
          <w:color w:val="000000" w:themeColor="text1"/>
          <w:sz w:val="26"/>
          <w:szCs w:val="26"/>
          <w14:textFill>
            <w14:solidFill>
              <w14:schemeClr w14:val="tx1"/>
            </w14:solidFill>
          </w14:textFill>
        </w:rPr>
        <w:t>[insert name of project]</w:t>
      </w:r>
    </w:p>
    <w:p w14:paraId="708C67EC">
      <w:pPr>
        <w:pStyle w:val="15"/>
        <w:widowControl w:val="0"/>
        <w:numPr>
          <w:ilvl w:val="0"/>
          <w:numId w:val="48"/>
        </w:numPr>
        <w:spacing w:before="120" w:line="240" w:lineRule="auto"/>
        <w:jc w:val="both"/>
        <w:rPr>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Consortium members are unanimous in the name of the consortium for all the transaction relating to this package being: </w:t>
      </w:r>
      <w:r>
        <w:rPr>
          <w:i/>
          <w:color w:val="000000" w:themeColor="text1"/>
          <w:sz w:val="26"/>
          <w:szCs w:val="26"/>
          <w14:textFill>
            <w14:solidFill>
              <w14:schemeClr w14:val="tx1"/>
            </w14:solidFill>
          </w14:textFill>
        </w:rPr>
        <w:t>[name of the consortium as agreed]</w:t>
      </w:r>
    </w:p>
    <w:p w14:paraId="708C67ED">
      <w:pPr>
        <w:pStyle w:val="15"/>
        <w:widowControl w:val="0"/>
        <w:numPr>
          <w:ilvl w:val="0"/>
          <w:numId w:val="48"/>
        </w:numPr>
        <w:spacing w:before="120" w:line="240" w:lineRule="auto"/>
        <w:jc w:val="both"/>
        <w:rPr>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Consortium member shall commit that none of consortium member takes part in this bidding independently or in a form of another consortium. In case of awarding the contract, none of the consortium member has the right to refuse to execute all the responsibilities and assignments as regulated in the contract. In case that the consortium member refuse to complete his responsibilities as agreed, that consortium member shall be dealt as follows:</w:t>
      </w:r>
    </w:p>
    <w:p w14:paraId="708C67EE">
      <w:pPr>
        <w:pStyle w:val="15"/>
        <w:widowControl w:val="0"/>
        <w:numPr>
          <w:ilvl w:val="0"/>
          <w:numId w:val="49"/>
        </w:numPr>
        <w:spacing w:before="120" w:line="240" w:lineRule="auto"/>
        <w:jc w:val="both"/>
        <w:rPr>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Compensating for all the loss of parties in consortium;</w:t>
      </w:r>
    </w:p>
    <w:p w14:paraId="708C67EF">
      <w:pPr>
        <w:pStyle w:val="15"/>
        <w:widowControl w:val="0"/>
        <w:numPr>
          <w:ilvl w:val="0"/>
          <w:numId w:val="49"/>
        </w:numPr>
        <w:spacing w:before="120" w:line="240" w:lineRule="auto"/>
        <w:ind w:right="-72"/>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Compensating for all the loss of the Purchaser according to the regulations in the contract;</w:t>
      </w:r>
    </w:p>
    <w:p w14:paraId="708C67F0">
      <w:pPr>
        <w:pStyle w:val="15"/>
        <w:widowControl w:val="0"/>
        <w:numPr>
          <w:ilvl w:val="0"/>
          <w:numId w:val="49"/>
        </w:numPr>
        <w:spacing w:before="120" w:line="240" w:lineRule="auto"/>
        <w:ind w:right="-72"/>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Another form of treatment </w:t>
      </w:r>
      <w:r>
        <w:rPr>
          <w:i/>
          <w:color w:val="000000" w:themeColor="text1"/>
          <w:sz w:val="26"/>
          <w:szCs w:val="26"/>
          <w14:textFill>
            <w14:solidFill>
              <w14:schemeClr w14:val="tx1"/>
            </w14:solidFill>
          </w14:textFill>
        </w:rPr>
        <w:t>[specify the form of treatment]</w:t>
      </w:r>
      <w:r>
        <w:rPr>
          <w:color w:val="000000" w:themeColor="text1"/>
          <w:sz w:val="26"/>
          <w:szCs w:val="26"/>
          <w14:textFill>
            <w14:solidFill>
              <w14:schemeClr w14:val="tx1"/>
            </w14:solidFill>
          </w14:textFill>
        </w:rPr>
        <w:t>.</w:t>
      </w:r>
    </w:p>
    <w:p w14:paraId="708C67F1">
      <w:pPr>
        <w:widowControl w:val="0"/>
        <w:spacing w:before="120" w:after="120" w:line="240" w:lineRule="auto"/>
        <w:ind w:firstLine="567"/>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Article 2: Task Assignment</w:t>
      </w:r>
    </w:p>
    <w:p w14:paraId="708C67F2">
      <w:pPr>
        <w:widowControl w:val="0"/>
        <w:spacing w:before="120" w:after="12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Consortium members are absolutely together on assigning the tasks for executing</w:t>
      </w:r>
      <w:r>
        <w:rPr>
          <w:i/>
          <w:color w:val="000000" w:themeColor="text1"/>
          <w:sz w:val="26"/>
          <w:szCs w:val="26"/>
          <w14:textFill>
            <w14:solidFill>
              <w14:schemeClr w14:val="tx1"/>
            </w14:solidFill>
          </w14:textFill>
        </w:rPr>
        <w:t xml:space="preserve"> [insert name of package] </w:t>
      </w:r>
      <w:r>
        <w:rPr>
          <w:color w:val="000000" w:themeColor="text1"/>
          <w:sz w:val="26"/>
          <w:szCs w:val="26"/>
          <w14:textFill>
            <w14:solidFill>
              <w14:schemeClr w14:val="tx1"/>
            </w14:solidFill>
          </w14:textFill>
        </w:rPr>
        <w:t xml:space="preserve">of </w:t>
      </w:r>
      <w:r>
        <w:rPr>
          <w:i/>
          <w:color w:val="000000" w:themeColor="text1"/>
          <w:sz w:val="26"/>
          <w:szCs w:val="26"/>
          <w14:textFill>
            <w14:solidFill>
              <w14:schemeClr w14:val="tx1"/>
            </w14:solidFill>
          </w14:textFill>
        </w:rPr>
        <w:t>[insert name of project]</w:t>
      </w:r>
      <w:r>
        <w:rPr>
          <w:color w:val="000000" w:themeColor="text1"/>
          <w:sz w:val="26"/>
          <w:szCs w:val="26"/>
          <w14:textFill>
            <w14:solidFill>
              <w14:schemeClr w14:val="tx1"/>
            </w14:solidFill>
          </w14:textFill>
        </w:rPr>
        <w:t xml:space="preserve"> to each member as follows:</w:t>
      </w:r>
    </w:p>
    <w:p w14:paraId="708C67F3">
      <w:pPr>
        <w:pStyle w:val="15"/>
        <w:widowControl w:val="0"/>
        <w:numPr>
          <w:ilvl w:val="0"/>
          <w:numId w:val="50"/>
        </w:numPr>
        <w:spacing w:before="12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head of consortium member:</w:t>
      </w:r>
    </w:p>
    <w:p w14:paraId="708C67F4">
      <w:pPr>
        <w:widowControl w:val="0"/>
        <w:spacing w:before="120" w:after="120" w:line="240" w:lineRule="auto"/>
        <w:ind w:left="92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Parties should unite in assigning the </w:t>
      </w:r>
      <w:r>
        <w:rPr>
          <w:i/>
          <w:color w:val="000000" w:themeColor="text1"/>
          <w:sz w:val="26"/>
          <w:szCs w:val="26"/>
          <w14:textFill>
            <w14:solidFill>
              <w14:schemeClr w14:val="tx1"/>
            </w14:solidFill>
          </w14:textFill>
        </w:rPr>
        <w:t>[name of one party]</w:t>
      </w:r>
      <w:r>
        <w:rPr>
          <w:color w:val="000000" w:themeColor="text1"/>
          <w:sz w:val="26"/>
          <w:szCs w:val="26"/>
          <w14:textFill>
            <w14:solidFill>
              <w14:schemeClr w14:val="tx1"/>
            </w14:solidFill>
          </w14:textFill>
        </w:rPr>
        <w:t xml:space="preserve"> to be the head of the consortium, to be the representative of the consortium for the following tasks</w:t>
      </w:r>
      <w:r>
        <w:rPr>
          <w:color w:val="000000" w:themeColor="text1"/>
          <w:sz w:val="26"/>
          <w:szCs w:val="26"/>
          <w:vertAlign w:val="superscript"/>
          <w14:textFill>
            <w14:solidFill>
              <w14:schemeClr w14:val="tx1"/>
            </w14:solidFill>
          </w14:textFill>
        </w:rPr>
        <w:t>(1)</w:t>
      </w:r>
      <w:r>
        <w:rPr>
          <w:color w:val="000000" w:themeColor="text1"/>
          <w:sz w:val="26"/>
          <w:szCs w:val="26"/>
          <w14:textFill>
            <w14:solidFill>
              <w14:schemeClr w14:val="tx1"/>
            </w14:solidFill>
          </w14:textFill>
        </w:rPr>
        <w:t>:</w:t>
      </w:r>
    </w:p>
    <w:p w14:paraId="708C67F5">
      <w:pPr>
        <w:widowControl w:val="0"/>
        <w:spacing w:before="120" w:after="120" w:line="240" w:lineRule="auto"/>
        <w:ind w:left="1440"/>
        <w:jc w:val="both"/>
        <w:rPr>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[Sign the letter of bid.</w:t>
      </w:r>
    </w:p>
    <w:p w14:paraId="708C67F6">
      <w:pPr>
        <w:widowControl w:val="0"/>
        <w:spacing w:before="120" w:after="120" w:line="240" w:lineRule="auto"/>
        <w:ind w:left="1440"/>
        <w:jc w:val="both"/>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Sign all letters, documents for correspondence with the Purchaser in during the bidding, including request writing for clarification of BDs as well as writing for clarification of bids or substitution, modification, alternative of bids.</w:t>
      </w:r>
    </w:p>
    <w:p w14:paraId="708C67F7">
      <w:pPr>
        <w:widowControl w:val="0"/>
        <w:spacing w:before="120" w:after="120" w:line="240" w:lineRule="auto"/>
        <w:ind w:left="1440"/>
        <w:jc w:val="both"/>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Furnish the Bid security on behalf of some members of consortium or of the entire consortium</w:t>
      </w:r>
    </w:p>
    <w:p w14:paraId="708C67F8">
      <w:pPr>
        <w:widowControl w:val="0"/>
        <w:spacing w:before="120" w:after="120" w:line="240" w:lineRule="auto"/>
        <w:ind w:left="1440"/>
        <w:jc w:val="both"/>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 xml:space="preserve">Participate </w:t>
      </w:r>
      <w:r>
        <w:rPr>
          <w:i/>
          <w:sz w:val="26"/>
          <w:szCs w:val="26"/>
        </w:rPr>
        <w:t xml:space="preserve">in the negotiation process (if any) and </w:t>
      </w:r>
      <w:r>
        <w:rPr>
          <w:i/>
          <w:color w:val="000000" w:themeColor="text1"/>
          <w:sz w:val="26"/>
          <w:szCs w:val="26"/>
          <w14:textFill>
            <w14:solidFill>
              <w14:schemeClr w14:val="tx1"/>
            </w14:solidFill>
          </w14:textFill>
        </w:rPr>
        <w:t xml:space="preserve"> completion the contract.</w:t>
      </w:r>
    </w:p>
    <w:p w14:paraId="708C67F9">
      <w:pPr>
        <w:widowControl w:val="0"/>
        <w:spacing w:before="120" w:after="120" w:line="240" w:lineRule="auto"/>
        <w:ind w:left="1440"/>
        <w:jc w:val="both"/>
        <w:rPr>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 xml:space="preserve">Sign the petition letter in case the bidder has the petition. </w:t>
      </w:r>
    </w:p>
    <w:p w14:paraId="708C67FA">
      <w:pPr>
        <w:widowControl w:val="0"/>
        <w:spacing w:before="120" w:after="120" w:line="240" w:lineRule="auto"/>
        <w:ind w:left="1440"/>
        <w:jc w:val="both"/>
        <w:rPr>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Other tasks except for the signing of the contract [writing down the contents of other tasks (if any)]</w:t>
      </w:r>
    </w:p>
    <w:p w14:paraId="708C67FB">
      <w:pPr>
        <w:pStyle w:val="15"/>
        <w:widowControl w:val="0"/>
        <w:numPr>
          <w:ilvl w:val="0"/>
          <w:numId w:val="50"/>
        </w:numPr>
        <w:spacing w:before="120" w:line="240" w:lineRule="auto"/>
        <w:jc w:val="both"/>
        <w:rPr>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All consortium members agree assigning responsibility for each member as follows</w:t>
      </w:r>
      <w:r>
        <w:rPr>
          <w:color w:val="000000" w:themeColor="text1"/>
          <w:sz w:val="26"/>
          <w:szCs w:val="26"/>
          <w:vertAlign w:val="superscript"/>
          <w14:textFill>
            <w14:solidFill>
              <w14:schemeClr w14:val="tx1"/>
            </w14:solidFill>
          </w14:textFill>
        </w:rPr>
        <w:t>(2)</w:t>
      </w:r>
      <w:r>
        <w:rPr>
          <w:color w:val="000000" w:themeColor="text1"/>
          <w:sz w:val="26"/>
          <w:szCs w:val="26"/>
          <w14:textFill>
            <w14:solidFill>
              <w14:schemeClr w14:val="tx1"/>
            </w14:solidFill>
          </w14:textFill>
        </w:rPr>
        <w:t xml:space="preserve">: </w:t>
      </w:r>
    </w:p>
    <w:tbl>
      <w:tblPr>
        <w:tblStyle w:val="12"/>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8"/>
        <w:gridCol w:w="3016"/>
        <w:gridCol w:w="2245"/>
        <w:gridCol w:w="2110"/>
      </w:tblGrid>
      <w:tr w14:paraId="708C6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98" w:type="dxa"/>
            <w:vAlign w:val="center"/>
          </w:tcPr>
          <w:p w14:paraId="708C67FC">
            <w:pPr>
              <w:spacing w:after="0"/>
              <w:jc w:val="center"/>
              <w:rPr>
                <w:b/>
                <w:color w:val="000000" w:themeColor="text1"/>
                <w:spacing w:val="-4"/>
                <w:sz w:val="26"/>
                <w:szCs w:val="26"/>
                <w14:textFill>
                  <w14:solidFill>
                    <w14:schemeClr w14:val="tx1"/>
                  </w14:solidFill>
                </w14:textFill>
              </w:rPr>
            </w:pPr>
            <w:r>
              <w:rPr>
                <w:b/>
                <w:color w:val="000000" w:themeColor="text1"/>
                <w:spacing w:val="-4"/>
                <w:sz w:val="26"/>
                <w:szCs w:val="26"/>
                <w14:textFill>
                  <w14:solidFill>
                    <w14:schemeClr w14:val="tx1"/>
                  </w14:solidFill>
                </w14:textFill>
              </w:rPr>
              <w:t>No.</w:t>
            </w:r>
          </w:p>
        </w:tc>
        <w:tc>
          <w:tcPr>
            <w:tcW w:w="3016" w:type="dxa"/>
            <w:vAlign w:val="center"/>
          </w:tcPr>
          <w:p w14:paraId="708C67FD">
            <w:pPr>
              <w:spacing w:after="0"/>
              <w:jc w:val="center"/>
              <w:rPr>
                <w:b/>
                <w:color w:val="000000" w:themeColor="text1"/>
                <w:spacing w:val="-4"/>
                <w:sz w:val="26"/>
                <w:szCs w:val="26"/>
                <w14:textFill>
                  <w14:solidFill>
                    <w14:schemeClr w14:val="tx1"/>
                  </w14:solidFill>
                </w14:textFill>
              </w:rPr>
            </w:pPr>
            <w:r>
              <w:rPr>
                <w:b/>
                <w:color w:val="000000" w:themeColor="text1"/>
                <w:spacing w:val="-4"/>
                <w:sz w:val="26"/>
                <w:szCs w:val="26"/>
                <w14:textFill>
                  <w14:solidFill>
                    <w14:schemeClr w14:val="tx1"/>
                  </w14:solidFill>
                </w14:textFill>
              </w:rPr>
              <w:t>Name of member</w:t>
            </w:r>
          </w:p>
        </w:tc>
        <w:tc>
          <w:tcPr>
            <w:tcW w:w="2245" w:type="dxa"/>
            <w:vAlign w:val="center"/>
          </w:tcPr>
          <w:p w14:paraId="708C67FE">
            <w:pPr>
              <w:spacing w:after="0"/>
              <w:jc w:val="center"/>
              <w:rPr>
                <w:b/>
                <w:color w:val="000000" w:themeColor="text1"/>
                <w:spacing w:val="-4"/>
                <w:sz w:val="26"/>
                <w:szCs w:val="26"/>
                <w14:textFill>
                  <w14:solidFill>
                    <w14:schemeClr w14:val="tx1"/>
                  </w14:solidFill>
                </w14:textFill>
              </w:rPr>
            </w:pPr>
            <w:r>
              <w:rPr>
                <w:b/>
                <w:color w:val="000000" w:themeColor="text1"/>
                <w:spacing w:val="-4"/>
                <w:sz w:val="26"/>
                <w:szCs w:val="26"/>
                <w14:textFill>
                  <w14:solidFill>
                    <w14:schemeClr w14:val="tx1"/>
                  </w14:solidFill>
                </w14:textFill>
              </w:rPr>
              <w:t>Description of work’s scope</w:t>
            </w:r>
          </w:p>
        </w:tc>
        <w:tc>
          <w:tcPr>
            <w:tcW w:w="2110" w:type="dxa"/>
            <w:vAlign w:val="center"/>
          </w:tcPr>
          <w:p w14:paraId="708C67FF">
            <w:pPr>
              <w:spacing w:after="0"/>
              <w:jc w:val="center"/>
              <w:rPr>
                <w:b/>
                <w:color w:val="000000" w:themeColor="text1"/>
                <w:spacing w:val="-4"/>
                <w:sz w:val="26"/>
                <w:szCs w:val="26"/>
                <w14:textFill>
                  <w14:solidFill>
                    <w14:schemeClr w14:val="tx1"/>
                  </w14:solidFill>
                </w14:textFill>
              </w:rPr>
            </w:pPr>
            <w:r>
              <w:rPr>
                <w:b/>
                <w:color w:val="000000" w:themeColor="text1"/>
                <w:spacing w:val="-4"/>
                <w:sz w:val="26"/>
                <w:szCs w:val="26"/>
                <w14:textFill>
                  <w14:solidFill>
                    <w14:schemeClr w14:val="tx1"/>
                  </w14:solidFill>
                </w14:textFill>
              </w:rPr>
              <w:t>Rate (%) per total bid price</w:t>
            </w:r>
          </w:p>
        </w:tc>
      </w:tr>
      <w:tr w14:paraId="708C6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98" w:type="dxa"/>
          </w:tcPr>
          <w:p w14:paraId="708C6801">
            <w:pPr>
              <w:spacing w:after="0"/>
              <w:rPr>
                <w:color w:val="000000" w:themeColor="text1"/>
                <w:spacing w:val="-4"/>
                <w:sz w:val="26"/>
                <w:szCs w:val="26"/>
                <w14:textFill>
                  <w14:solidFill>
                    <w14:schemeClr w14:val="tx1"/>
                  </w14:solidFill>
                </w14:textFill>
              </w:rPr>
            </w:pPr>
            <w:r>
              <w:rPr>
                <w:color w:val="000000" w:themeColor="text1"/>
                <w:spacing w:val="-4"/>
                <w:sz w:val="26"/>
                <w:szCs w:val="26"/>
                <w14:textFill>
                  <w14:solidFill>
                    <w14:schemeClr w14:val="tx1"/>
                  </w14:solidFill>
                </w14:textFill>
              </w:rPr>
              <w:t>1</w:t>
            </w:r>
          </w:p>
        </w:tc>
        <w:tc>
          <w:tcPr>
            <w:tcW w:w="3016" w:type="dxa"/>
          </w:tcPr>
          <w:p w14:paraId="708C6802">
            <w:pPr>
              <w:spacing w:after="0"/>
              <w:rPr>
                <w:i/>
                <w:color w:val="000000" w:themeColor="text1"/>
                <w:spacing w:val="-4"/>
                <w:sz w:val="26"/>
                <w:szCs w:val="26"/>
                <w14:textFill>
                  <w14:solidFill>
                    <w14:schemeClr w14:val="tx1"/>
                  </w14:solidFill>
                </w14:textFill>
              </w:rPr>
            </w:pPr>
            <w:r>
              <w:rPr>
                <w:i/>
                <w:color w:val="000000" w:themeColor="text1"/>
                <w:spacing w:val="-4"/>
                <w:sz w:val="26"/>
                <w:szCs w:val="26"/>
                <w14:textFill>
                  <w14:solidFill>
                    <w14:schemeClr w14:val="tx1"/>
                  </w14:solidFill>
                </w14:textFill>
              </w:rPr>
              <w:t>[name of head consortium member]</w:t>
            </w:r>
          </w:p>
        </w:tc>
        <w:tc>
          <w:tcPr>
            <w:tcW w:w="2245" w:type="dxa"/>
          </w:tcPr>
          <w:p w14:paraId="708C6803">
            <w:pPr>
              <w:spacing w:after="0"/>
              <w:jc w:val="center"/>
              <w:rPr>
                <w:color w:val="000000" w:themeColor="text1"/>
                <w:spacing w:val="-4"/>
                <w:sz w:val="26"/>
                <w:szCs w:val="26"/>
                <w14:textFill>
                  <w14:solidFill>
                    <w14:schemeClr w14:val="tx1"/>
                  </w14:solidFill>
                </w14:textFill>
              </w:rPr>
            </w:pPr>
            <w:r>
              <w:rPr>
                <w:color w:val="000000" w:themeColor="text1"/>
                <w:spacing w:val="-4"/>
                <w:sz w:val="26"/>
                <w:szCs w:val="26"/>
                <w14:textFill>
                  <w14:solidFill>
                    <w14:schemeClr w14:val="tx1"/>
                  </w14:solidFill>
                </w14:textFill>
              </w:rPr>
              <w:t>- ___</w:t>
            </w:r>
          </w:p>
          <w:p w14:paraId="708C6804">
            <w:pPr>
              <w:spacing w:after="0"/>
              <w:jc w:val="center"/>
              <w:rPr>
                <w:color w:val="000000" w:themeColor="text1"/>
                <w:spacing w:val="-4"/>
                <w:sz w:val="26"/>
                <w:szCs w:val="26"/>
                <w14:textFill>
                  <w14:solidFill>
                    <w14:schemeClr w14:val="tx1"/>
                  </w14:solidFill>
                </w14:textFill>
              </w:rPr>
            </w:pPr>
            <w:r>
              <w:rPr>
                <w:color w:val="000000" w:themeColor="text1"/>
                <w:spacing w:val="-4"/>
                <w:sz w:val="26"/>
                <w:szCs w:val="26"/>
                <w14:textFill>
                  <w14:solidFill>
                    <w14:schemeClr w14:val="tx1"/>
                  </w14:solidFill>
                </w14:textFill>
              </w:rPr>
              <w:t>- ___</w:t>
            </w:r>
          </w:p>
        </w:tc>
        <w:tc>
          <w:tcPr>
            <w:tcW w:w="2110" w:type="dxa"/>
          </w:tcPr>
          <w:p w14:paraId="708C6805">
            <w:pPr>
              <w:spacing w:after="0"/>
              <w:jc w:val="center"/>
              <w:rPr>
                <w:color w:val="000000" w:themeColor="text1"/>
                <w:spacing w:val="-4"/>
                <w:sz w:val="26"/>
                <w:szCs w:val="26"/>
                <w14:textFill>
                  <w14:solidFill>
                    <w14:schemeClr w14:val="tx1"/>
                  </w14:solidFill>
                </w14:textFill>
              </w:rPr>
            </w:pPr>
            <w:r>
              <w:rPr>
                <w:color w:val="000000" w:themeColor="text1"/>
                <w:spacing w:val="-4"/>
                <w:sz w:val="26"/>
                <w:szCs w:val="26"/>
                <w14:textFill>
                  <w14:solidFill>
                    <w14:schemeClr w14:val="tx1"/>
                  </w14:solidFill>
                </w14:textFill>
              </w:rPr>
              <w:t>- ___%</w:t>
            </w:r>
          </w:p>
          <w:p w14:paraId="708C6806">
            <w:pPr>
              <w:spacing w:after="0"/>
              <w:jc w:val="center"/>
              <w:rPr>
                <w:color w:val="000000" w:themeColor="text1"/>
                <w:spacing w:val="-4"/>
                <w:sz w:val="26"/>
                <w:szCs w:val="26"/>
                <w14:textFill>
                  <w14:solidFill>
                    <w14:schemeClr w14:val="tx1"/>
                  </w14:solidFill>
                </w14:textFill>
              </w:rPr>
            </w:pPr>
            <w:r>
              <w:rPr>
                <w:color w:val="000000" w:themeColor="text1"/>
                <w:spacing w:val="-4"/>
                <w:sz w:val="26"/>
                <w:szCs w:val="26"/>
                <w14:textFill>
                  <w14:solidFill>
                    <w14:schemeClr w14:val="tx1"/>
                  </w14:solidFill>
                </w14:textFill>
              </w:rPr>
              <w:t>- ___%</w:t>
            </w:r>
          </w:p>
        </w:tc>
      </w:tr>
      <w:tr w14:paraId="708C6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98" w:type="dxa"/>
          </w:tcPr>
          <w:p w14:paraId="708C6808">
            <w:pPr>
              <w:spacing w:after="0"/>
              <w:rPr>
                <w:color w:val="000000" w:themeColor="text1"/>
                <w:spacing w:val="-4"/>
                <w:sz w:val="26"/>
                <w:szCs w:val="26"/>
                <w14:textFill>
                  <w14:solidFill>
                    <w14:schemeClr w14:val="tx1"/>
                  </w14:solidFill>
                </w14:textFill>
              </w:rPr>
            </w:pPr>
            <w:r>
              <w:rPr>
                <w:color w:val="000000" w:themeColor="text1"/>
                <w:spacing w:val="-4"/>
                <w:sz w:val="26"/>
                <w:szCs w:val="26"/>
                <w14:textFill>
                  <w14:solidFill>
                    <w14:schemeClr w14:val="tx1"/>
                  </w14:solidFill>
                </w14:textFill>
              </w:rPr>
              <w:t>2</w:t>
            </w:r>
          </w:p>
        </w:tc>
        <w:tc>
          <w:tcPr>
            <w:tcW w:w="3016" w:type="dxa"/>
          </w:tcPr>
          <w:p w14:paraId="708C6809">
            <w:pPr>
              <w:spacing w:after="0"/>
              <w:rPr>
                <w:i/>
                <w:color w:val="000000" w:themeColor="text1"/>
                <w:spacing w:val="-4"/>
                <w:sz w:val="26"/>
                <w:szCs w:val="26"/>
                <w14:textFill>
                  <w14:solidFill>
                    <w14:schemeClr w14:val="tx1"/>
                  </w14:solidFill>
                </w14:textFill>
              </w:rPr>
            </w:pPr>
            <w:r>
              <w:rPr>
                <w:i/>
                <w:color w:val="000000" w:themeColor="text1"/>
                <w:spacing w:val="-4"/>
                <w:sz w:val="26"/>
                <w:szCs w:val="26"/>
                <w14:textFill>
                  <w14:solidFill>
                    <w14:schemeClr w14:val="tx1"/>
                  </w14:solidFill>
                </w14:textFill>
              </w:rPr>
              <w:t>[name of member the 2nd]</w:t>
            </w:r>
          </w:p>
        </w:tc>
        <w:tc>
          <w:tcPr>
            <w:tcW w:w="2245" w:type="dxa"/>
          </w:tcPr>
          <w:p w14:paraId="708C680A">
            <w:pPr>
              <w:spacing w:after="0"/>
              <w:jc w:val="center"/>
              <w:rPr>
                <w:color w:val="000000" w:themeColor="text1"/>
                <w:spacing w:val="-4"/>
                <w:sz w:val="26"/>
                <w:szCs w:val="26"/>
                <w14:textFill>
                  <w14:solidFill>
                    <w14:schemeClr w14:val="tx1"/>
                  </w14:solidFill>
                </w14:textFill>
              </w:rPr>
            </w:pPr>
            <w:r>
              <w:rPr>
                <w:color w:val="000000" w:themeColor="text1"/>
                <w:spacing w:val="-4"/>
                <w:sz w:val="26"/>
                <w:szCs w:val="26"/>
                <w14:textFill>
                  <w14:solidFill>
                    <w14:schemeClr w14:val="tx1"/>
                  </w14:solidFill>
                </w14:textFill>
              </w:rPr>
              <w:t>- ___</w:t>
            </w:r>
          </w:p>
          <w:p w14:paraId="708C680B">
            <w:pPr>
              <w:spacing w:after="0"/>
              <w:jc w:val="center"/>
              <w:rPr>
                <w:color w:val="000000" w:themeColor="text1"/>
                <w:spacing w:val="-4"/>
                <w:sz w:val="26"/>
                <w:szCs w:val="26"/>
                <w14:textFill>
                  <w14:solidFill>
                    <w14:schemeClr w14:val="tx1"/>
                  </w14:solidFill>
                </w14:textFill>
              </w:rPr>
            </w:pPr>
            <w:r>
              <w:rPr>
                <w:color w:val="000000" w:themeColor="text1"/>
                <w:spacing w:val="-4"/>
                <w:sz w:val="26"/>
                <w:szCs w:val="26"/>
                <w14:textFill>
                  <w14:solidFill>
                    <w14:schemeClr w14:val="tx1"/>
                  </w14:solidFill>
                </w14:textFill>
              </w:rPr>
              <w:t>- ___</w:t>
            </w:r>
          </w:p>
        </w:tc>
        <w:tc>
          <w:tcPr>
            <w:tcW w:w="2110" w:type="dxa"/>
          </w:tcPr>
          <w:p w14:paraId="708C680C">
            <w:pPr>
              <w:spacing w:after="0"/>
              <w:jc w:val="center"/>
              <w:rPr>
                <w:color w:val="000000" w:themeColor="text1"/>
                <w:spacing w:val="-4"/>
                <w:sz w:val="26"/>
                <w:szCs w:val="26"/>
                <w14:textFill>
                  <w14:solidFill>
                    <w14:schemeClr w14:val="tx1"/>
                  </w14:solidFill>
                </w14:textFill>
              </w:rPr>
            </w:pPr>
            <w:r>
              <w:rPr>
                <w:color w:val="000000" w:themeColor="text1"/>
                <w:spacing w:val="-4"/>
                <w:sz w:val="26"/>
                <w:szCs w:val="26"/>
                <w14:textFill>
                  <w14:solidFill>
                    <w14:schemeClr w14:val="tx1"/>
                  </w14:solidFill>
                </w14:textFill>
              </w:rPr>
              <w:t>- ___%</w:t>
            </w:r>
          </w:p>
          <w:p w14:paraId="708C680D">
            <w:pPr>
              <w:spacing w:after="0"/>
              <w:jc w:val="center"/>
              <w:rPr>
                <w:color w:val="000000" w:themeColor="text1"/>
                <w:spacing w:val="-4"/>
                <w:sz w:val="26"/>
                <w:szCs w:val="26"/>
                <w14:textFill>
                  <w14:solidFill>
                    <w14:schemeClr w14:val="tx1"/>
                  </w14:solidFill>
                </w14:textFill>
              </w:rPr>
            </w:pPr>
            <w:r>
              <w:rPr>
                <w:color w:val="000000" w:themeColor="text1"/>
                <w:spacing w:val="-4"/>
                <w:sz w:val="26"/>
                <w:szCs w:val="26"/>
                <w14:textFill>
                  <w14:solidFill>
                    <w14:schemeClr w14:val="tx1"/>
                  </w14:solidFill>
                </w14:textFill>
              </w:rPr>
              <w:t>- ___%</w:t>
            </w:r>
          </w:p>
        </w:tc>
      </w:tr>
      <w:tr w14:paraId="708C6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right"/>
        </w:trPr>
        <w:tc>
          <w:tcPr>
            <w:tcW w:w="998" w:type="dxa"/>
          </w:tcPr>
          <w:p w14:paraId="708C680F">
            <w:pPr>
              <w:spacing w:after="0"/>
              <w:rPr>
                <w:color w:val="000000" w:themeColor="text1"/>
                <w:spacing w:val="-4"/>
                <w:sz w:val="26"/>
                <w:szCs w:val="26"/>
                <w14:textFill>
                  <w14:solidFill>
                    <w14:schemeClr w14:val="tx1"/>
                  </w14:solidFill>
                </w14:textFill>
              </w:rPr>
            </w:pPr>
            <w:r>
              <w:rPr>
                <w:color w:val="000000" w:themeColor="text1"/>
                <w:spacing w:val="-4"/>
                <w:sz w:val="26"/>
                <w:szCs w:val="26"/>
                <w14:textFill>
                  <w14:solidFill>
                    <w14:schemeClr w14:val="tx1"/>
                  </w14:solidFill>
                </w14:textFill>
              </w:rPr>
              <w:t>....</w:t>
            </w:r>
          </w:p>
        </w:tc>
        <w:tc>
          <w:tcPr>
            <w:tcW w:w="3016" w:type="dxa"/>
          </w:tcPr>
          <w:p w14:paraId="708C6810">
            <w:pPr>
              <w:spacing w:after="0"/>
              <w:rPr>
                <w:color w:val="000000" w:themeColor="text1"/>
                <w:spacing w:val="-4"/>
                <w:sz w:val="26"/>
                <w:szCs w:val="26"/>
                <w14:textFill>
                  <w14:solidFill>
                    <w14:schemeClr w14:val="tx1"/>
                  </w14:solidFill>
                </w14:textFill>
              </w:rPr>
            </w:pPr>
            <w:r>
              <w:rPr>
                <w:color w:val="000000" w:themeColor="text1"/>
                <w:spacing w:val="-4"/>
                <w:sz w:val="26"/>
                <w:szCs w:val="26"/>
                <w14:textFill>
                  <w14:solidFill>
                    <w14:schemeClr w14:val="tx1"/>
                  </w14:solidFill>
                </w14:textFill>
              </w:rPr>
              <w:t>....</w:t>
            </w:r>
          </w:p>
        </w:tc>
        <w:tc>
          <w:tcPr>
            <w:tcW w:w="2245" w:type="dxa"/>
          </w:tcPr>
          <w:p w14:paraId="708C6811">
            <w:pPr>
              <w:spacing w:after="0"/>
              <w:jc w:val="center"/>
              <w:rPr>
                <w:color w:val="000000" w:themeColor="text1"/>
                <w:spacing w:val="-4"/>
                <w:sz w:val="26"/>
                <w:szCs w:val="26"/>
                <w14:textFill>
                  <w14:solidFill>
                    <w14:schemeClr w14:val="tx1"/>
                  </w14:solidFill>
                </w14:textFill>
              </w:rPr>
            </w:pPr>
            <w:r>
              <w:rPr>
                <w:color w:val="000000" w:themeColor="text1"/>
                <w:spacing w:val="-4"/>
                <w:sz w:val="26"/>
                <w:szCs w:val="26"/>
                <w14:textFill>
                  <w14:solidFill>
                    <w14:schemeClr w14:val="tx1"/>
                  </w14:solidFill>
                </w14:textFill>
              </w:rPr>
              <w:t>....</w:t>
            </w:r>
          </w:p>
        </w:tc>
        <w:tc>
          <w:tcPr>
            <w:tcW w:w="2110" w:type="dxa"/>
          </w:tcPr>
          <w:p w14:paraId="708C6812">
            <w:pPr>
              <w:spacing w:after="0"/>
              <w:jc w:val="center"/>
              <w:rPr>
                <w:color w:val="000000" w:themeColor="text1"/>
                <w:spacing w:val="-4"/>
                <w:sz w:val="26"/>
                <w:szCs w:val="26"/>
                <w14:textFill>
                  <w14:solidFill>
                    <w14:schemeClr w14:val="tx1"/>
                  </w14:solidFill>
                </w14:textFill>
              </w:rPr>
            </w:pPr>
            <w:r>
              <w:rPr>
                <w:color w:val="000000" w:themeColor="text1"/>
                <w:spacing w:val="-4"/>
                <w:sz w:val="26"/>
                <w:szCs w:val="26"/>
                <w14:textFill>
                  <w14:solidFill>
                    <w14:schemeClr w14:val="tx1"/>
                  </w14:solidFill>
                </w14:textFill>
              </w:rPr>
              <w:t>......</w:t>
            </w:r>
          </w:p>
        </w:tc>
      </w:tr>
      <w:tr w14:paraId="708C6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4014" w:type="dxa"/>
            <w:gridSpan w:val="2"/>
            <w:vAlign w:val="center"/>
          </w:tcPr>
          <w:p w14:paraId="708C6814">
            <w:pPr>
              <w:spacing w:after="0"/>
              <w:jc w:val="center"/>
              <w:rPr>
                <w:b/>
                <w:color w:val="000000" w:themeColor="text1"/>
                <w:spacing w:val="-4"/>
                <w:sz w:val="26"/>
                <w:szCs w:val="26"/>
                <w14:textFill>
                  <w14:solidFill>
                    <w14:schemeClr w14:val="tx1"/>
                  </w14:solidFill>
                </w14:textFill>
              </w:rPr>
            </w:pPr>
            <w:r>
              <w:rPr>
                <w:b/>
                <w:color w:val="000000" w:themeColor="text1"/>
                <w:spacing w:val="-4"/>
                <w:sz w:val="26"/>
                <w:szCs w:val="26"/>
                <w14:textFill>
                  <w14:solidFill>
                    <w14:schemeClr w14:val="tx1"/>
                  </w14:solidFill>
                </w14:textFill>
              </w:rPr>
              <w:t>Total</w:t>
            </w:r>
          </w:p>
        </w:tc>
        <w:tc>
          <w:tcPr>
            <w:tcW w:w="2245" w:type="dxa"/>
            <w:vAlign w:val="center"/>
          </w:tcPr>
          <w:p w14:paraId="708C6815">
            <w:pPr>
              <w:spacing w:after="0"/>
              <w:jc w:val="center"/>
              <w:rPr>
                <w:b/>
                <w:color w:val="000000" w:themeColor="text1"/>
                <w:spacing w:val="-4"/>
                <w:sz w:val="26"/>
                <w:szCs w:val="26"/>
                <w14:textFill>
                  <w14:solidFill>
                    <w14:schemeClr w14:val="tx1"/>
                  </w14:solidFill>
                </w14:textFill>
              </w:rPr>
            </w:pPr>
            <w:r>
              <w:rPr>
                <w:b/>
                <w:color w:val="000000" w:themeColor="text1"/>
                <w:spacing w:val="-4"/>
                <w:sz w:val="26"/>
                <w:szCs w:val="26"/>
                <w14:textFill>
                  <w14:solidFill>
                    <w14:schemeClr w14:val="tx1"/>
                  </w14:solidFill>
                </w14:textFill>
              </w:rPr>
              <w:t>All of work for contract performance</w:t>
            </w:r>
          </w:p>
        </w:tc>
        <w:tc>
          <w:tcPr>
            <w:tcW w:w="2110" w:type="dxa"/>
            <w:vAlign w:val="center"/>
          </w:tcPr>
          <w:p w14:paraId="708C6816">
            <w:pPr>
              <w:spacing w:after="0"/>
              <w:jc w:val="center"/>
              <w:rPr>
                <w:b/>
                <w:color w:val="000000" w:themeColor="text1"/>
                <w:spacing w:val="-4"/>
                <w:sz w:val="26"/>
                <w:szCs w:val="26"/>
                <w14:textFill>
                  <w14:solidFill>
                    <w14:schemeClr w14:val="tx1"/>
                  </w14:solidFill>
                </w14:textFill>
              </w:rPr>
            </w:pPr>
            <w:r>
              <w:rPr>
                <w:b/>
                <w:color w:val="000000" w:themeColor="text1"/>
                <w:spacing w:val="-4"/>
                <w:sz w:val="26"/>
                <w:szCs w:val="26"/>
                <w14:textFill>
                  <w14:solidFill>
                    <w14:schemeClr w14:val="tx1"/>
                  </w14:solidFill>
                </w14:textFill>
              </w:rPr>
              <w:t>100%</w:t>
            </w:r>
          </w:p>
        </w:tc>
      </w:tr>
    </w:tbl>
    <w:p w14:paraId="708C6818">
      <w:pPr>
        <w:widowControl w:val="0"/>
        <w:spacing w:before="120" w:after="120" w:line="240" w:lineRule="auto"/>
        <w:ind w:firstLine="567"/>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Article 3: Effectiveness of consortium Agreement</w:t>
      </w:r>
    </w:p>
    <w:p w14:paraId="708C6819">
      <w:pPr>
        <w:widowControl w:val="0"/>
        <w:numPr>
          <w:ilvl w:val="0"/>
          <w:numId w:val="48"/>
        </w:numPr>
        <w:spacing w:before="120" w:after="12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Consortium agreement is effective from the signing date.</w:t>
      </w:r>
    </w:p>
    <w:p w14:paraId="708C681A">
      <w:pPr>
        <w:widowControl w:val="0"/>
        <w:numPr>
          <w:ilvl w:val="0"/>
          <w:numId w:val="48"/>
        </w:numPr>
        <w:spacing w:before="120" w:after="12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Consortium agreement is non-effective in the following cases:</w:t>
      </w:r>
    </w:p>
    <w:p w14:paraId="708C681B">
      <w:pPr>
        <w:widowControl w:val="0"/>
        <w:numPr>
          <w:ilvl w:val="0"/>
          <w:numId w:val="51"/>
        </w:numPr>
        <w:tabs>
          <w:tab w:val="left" w:pos="1287"/>
          <w:tab w:val="clear" w:pos="1080"/>
        </w:tabs>
        <w:spacing w:before="120" w:after="120" w:line="240" w:lineRule="auto"/>
        <w:ind w:left="128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All the parties complete their duties, functions and shall carry out liquidation.</w:t>
      </w:r>
    </w:p>
    <w:p w14:paraId="708C681C">
      <w:pPr>
        <w:widowControl w:val="0"/>
        <w:numPr>
          <w:ilvl w:val="0"/>
          <w:numId w:val="51"/>
        </w:numPr>
        <w:tabs>
          <w:tab w:val="left" w:pos="1287"/>
          <w:tab w:val="clear" w:pos="1080"/>
        </w:tabs>
        <w:spacing w:before="120" w:after="120" w:line="240" w:lineRule="auto"/>
        <w:ind w:left="128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All the parties mutually agree to terminate.</w:t>
      </w:r>
    </w:p>
    <w:p w14:paraId="708C681D">
      <w:pPr>
        <w:widowControl w:val="0"/>
        <w:numPr>
          <w:ilvl w:val="0"/>
          <w:numId w:val="51"/>
        </w:numPr>
        <w:tabs>
          <w:tab w:val="left" w:pos="1287"/>
          <w:tab w:val="clear" w:pos="1080"/>
        </w:tabs>
        <w:spacing w:before="120" w:after="120" w:line="240" w:lineRule="auto"/>
        <w:ind w:left="128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Consortium did not win the bid;</w:t>
      </w:r>
    </w:p>
    <w:p w14:paraId="708C681E">
      <w:pPr>
        <w:widowControl w:val="0"/>
        <w:numPr>
          <w:ilvl w:val="0"/>
          <w:numId w:val="51"/>
        </w:numPr>
        <w:tabs>
          <w:tab w:val="left" w:pos="1287"/>
          <w:tab w:val="clear" w:pos="1080"/>
        </w:tabs>
        <w:spacing w:before="120" w:after="120" w:line="240" w:lineRule="auto"/>
        <w:ind w:left="128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Cancel the bidding for </w:t>
      </w:r>
      <w:r>
        <w:rPr>
          <w:i/>
          <w:color w:val="000000" w:themeColor="text1"/>
          <w:sz w:val="26"/>
          <w:szCs w:val="26"/>
          <w14:textFill>
            <w14:solidFill>
              <w14:schemeClr w14:val="tx1"/>
            </w14:solidFill>
          </w14:textFill>
        </w:rPr>
        <w:t xml:space="preserve">[insert name of package] </w:t>
      </w:r>
      <w:r>
        <w:rPr>
          <w:color w:val="000000" w:themeColor="text1"/>
          <w:sz w:val="26"/>
          <w:szCs w:val="26"/>
          <w14:textFill>
            <w14:solidFill>
              <w14:schemeClr w14:val="tx1"/>
            </w14:solidFill>
          </w14:textFill>
        </w:rPr>
        <w:t xml:space="preserve">of </w:t>
      </w:r>
      <w:r>
        <w:rPr>
          <w:i/>
          <w:color w:val="000000" w:themeColor="text1"/>
          <w:sz w:val="26"/>
          <w:szCs w:val="26"/>
          <w14:textFill>
            <w14:solidFill>
              <w14:schemeClr w14:val="tx1"/>
            </w14:solidFill>
          </w14:textFill>
        </w:rPr>
        <w:t>[insert name of project]</w:t>
      </w:r>
      <w:r>
        <w:rPr>
          <w:color w:val="000000" w:themeColor="text1"/>
          <w:sz w:val="26"/>
          <w:szCs w:val="26"/>
          <w14:textFill>
            <w14:solidFill>
              <w14:schemeClr w14:val="tx1"/>
            </w14:solidFill>
          </w14:textFill>
        </w:rPr>
        <w:t xml:space="preserve"> according to the notification of the Purchaser.</w:t>
      </w:r>
    </w:p>
    <w:p w14:paraId="708C681F">
      <w:pPr>
        <w:widowControl w:val="0"/>
        <w:spacing w:before="120" w:after="12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This consortium Agreement is signed on and executed in ___ originals which having equal validity, each party shall keep ___ original(s).</w:t>
      </w:r>
    </w:p>
    <w:p w14:paraId="708C6820">
      <w:pPr>
        <w:widowControl w:val="0"/>
        <w:spacing w:before="120" w:after="120" w:line="240" w:lineRule="auto"/>
        <w:rPr>
          <w:color w:val="000000" w:themeColor="text1"/>
          <w:sz w:val="26"/>
          <w:szCs w:val="26"/>
          <w14:textFill>
            <w14:solidFill>
              <w14:schemeClr w14:val="tx1"/>
            </w14:solidFill>
          </w14:textFill>
        </w:rPr>
      </w:pPr>
    </w:p>
    <w:p w14:paraId="708C6821">
      <w:pPr>
        <w:widowControl w:val="0"/>
        <w:spacing w:before="120" w:after="120" w:line="240" w:lineRule="auto"/>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Legal head consortium member’s representative</w:t>
      </w:r>
      <w:r>
        <w:rPr>
          <w:b/>
          <w:color w:val="000000" w:themeColor="text1"/>
          <w:sz w:val="26"/>
          <w:szCs w:val="26"/>
          <w14:textFill>
            <w14:solidFill>
              <w14:schemeClr w14:val="tx1"/>
            </w14:solidFill>
          </w14:textFill>
        </w:rPr>
        <w:tab/>
      </w:r>
      <w:r>
        <w:rPr>
          <w:b/>
          <w:color w:val="000000" w:themeColor="text1"/>
          <w:sz w:val="26"/>
          <w:szCs w:val="26"/>
          <w14:textFill>
            <w14:solidFill>
              <w14:schemeClr w14:val="tx1"/>
            </w14:solidFill>
          </w14:textFill>
        </w:rPr>
        <w:tab/>
      </w:r>
    </w:p>
    <w:p w14:paraId="708C6822">
      <w:pPr>
        <w:widowControl w:val="0"/>
        <w:spacing w:before="120" w:after="120" w:line="240" w:lineRule="auto"/>
        <w:jc w:val="both"/>
        <w:rPr>
          <w:b/>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[State full name, position, sign and seal]</w:t>
      </w:r>
    </w:p>
    <w:p w14:paraId="708C6823">
      <w:pPr>
        <w:widowControl w:val="0"/>
        <w:spacing w:before="120" w:after="120" w:line="240" w:lineRule="auto"/>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Legal consortium member’s representative</w:t>
      </w:r>
      <w:r>
        <w:rPr>
          <w:b/>
          <w:color w:val="000000" w:themeColor="text1"/>
          <w:sz w:val="26"/>
          <w:szCs w:val="26"/>
          <w14:textFill>
            <w14:solidFill>
              <w14:schemeClr w14:val="tx1"/>
            </w14:solidFill>
          </w14:textFill>
        </w:rPr>
        <w:tab/>
      </w:r>
      <w:r>
        <w:rPr>
          <w:b/>
          <w:color w:val="000000" w:themeColor="text1"/>
          <w:sz w:val="26"/>
          <w:szCs w:val="26"/>
          <w14:textFill>
            <w14:solidFill>
              <w14:schemeClr w14:val="tx1"/>
            </w14:solidFill>
          </w14:textFill>
        </w:rPr>
        <w:tab/>
      </w:r>
    </w:p>
    <w:p w14:paraId="708C6824">
      <w:pPr>
        <w:widowControl w:val="0"/>
        <w:spacing w:before="120" w:after="120" w:line="240" w:lineRule="auto"/>
        <w:jc w:val="both"/>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[State full name, position, sign and seal]</w:t>
      </w:r>
    </w:p>
    <w:p w14:paraId="708C6825">
      <w:pPr>
        <w:widowControl w:val="0"/>
        <w:spacing w:before="120" w:after="120" w:line="240" w:lineRule="auto"/>
        <w:jc w:val="both"/>
        <w:rPr>
          <w:i/>
          <w:color w:val="000000" w:themeColor="text1"/>
          <w:sz w:val="26"/>
          <w:szCs w:val="26"/>
          <w14:textFill>
            <w14:solidFill>
              <w14:schemeClr w14:val="tx1"/>
            </w14:solidFill>
          </w14:textFill>
        </w:rPr>
      </w:pPr>
    </w:p>
    <w:p w14:paraId="708C6826">
      <w:pPr>
        <w:widowControl w:val="0"/>
        <w:spacing w:before="120" w:after="120" w:line="240" w:lineRule="auto"/>
        <w:jc w:val="both"/>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Note:</w:t>
      </w:r>
    </w:p>
    <w:p w14:paraId="708C6827">
      <w:pPr>
        <w:pStyle w:val="97"/>
        <w:widowControl w:val="0"/>
        <w:numPr>
          <w:ilvl w:val="0"/>
          <w:numId w:val="52"/>
        </w:numPr>
        <w:spacing w:before="120" w:after="120"/>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The assignment of responsibilities includes one or more of the above tasks. In case the consortium assigns a member other than the head of the consortium to sign the bid, it must be clearly stated in Article 2.</w:t>
      </w:r>
    </w:p>
    <w:p w14:paraId="708C6828">
      <w:pPr>
        <w:pStyle w:val="97"/>
        <w:widowControl w:val="0"/>
        <w:numPr>
          <w:ilvl w:val="0"/>
          <w:numId w:val="52"/>
        </w:numPr>
        <w:spacing w:before="120" w:after="120"/>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The Bidder must clearly state the specific work content and the corresponding estimated value that each member of the consortium will perform, the common and individual responsibilities of each member, including the head of the consortium. The division of work in the consortium must be based on the items listed in the bid price list of goods specified in Form No. 05(a) of this Section and related services specified in Form No. 05(b) of this Section; work that is not included in the items specified in Form No. 05(a), 05(b) of this Section must not be divided.</w:t>
      </w:r>
    </w:p>
    <w:p w14:paraId="708C6829">
      <w:pPr>
        <w:pStyle w:val="311"/>
        <w:keepNext w:val="0"/>
        <w:widowControl w:val="0"/>
        <w:spacing w:before="120" w:line="264" w:lineRule="auto"/>
        <w:jc w:val="center"/>
        <w:rPr>
          <w:rFonts w:ascii="Times New Roman" w:hAnsi="Times New Roman"/>
          <w:color w:val="000000" w:themeColor="text1"/>
          <w:sz w:val="26"/>
          <w:szCs w:val="26"/>
          <w:u w:val="none"/>
          <w:lang w:val="en-US"/>
          <w14:textFill>
            <w14:solidFill>
              <w14:schemeClr w14:val="tx1"/>
            </w14:solidFill>
          </w14:textFill>
        </w:rPr>
      </w:pPr>
    </w:p>
    <w:p w14:paraId="708C682A">
      <w:pPr>
        <w:pStyle w:val="4"/>
        <w:widowControl w:val="0"/>
        <w:spacing w:before="120" w:after="120" w:line="264" w:lineRule="auto"/>
        <w:ind w:firstLine="567"/>
        <w:jc w:val="right"/>
        <w:rPr>
          <w:rFonts w:ascii="Times New Roman" w:hAnsi="Times New Roman"/>
          <w:b w:val="0"/>
          <w:color w:val="000000" w:themeColor="text1"/>
          <w14:textFill>
            <w14:solidFill>
              <w14:schemeClr w14:val="tx1"/>
            </w14:solidFill>
          </w14:textFill>
        </w:rPr>
      </w:pPr>
      <w:r>
        <w:rPr>
          <w:rFonts w:ascii="Times New Roman" w:hAnsi="Times New Roman"/>
          <w:b w:val="0"/>
          <w:i/>
          <w:color w:val="000000" w:themeColor="text1"/>
          <w14:textFill>
            <w14:solidFill>
              <w14:schemeClr w14:val="tx1"/>
            </w14:solidFill>
          </w14:textFill>
        </w:rPr>
        <w:br w:type="page"/>
      </w:r>
      <w:r>
        <w:rPr>
          <w:rFonts w:ascii="Times New Roman" w:hAnsi="Times New Roman"/>
          <w:color w:val="000000" w:themeColor="text1"/>
          <w14:textFill>
            <w14:solidFill>
              <w14:schemeClr w14:val="tx1"/>
            </w14:solidFill>
          </w14:textFill>
        </w:rPr>
        <w:t>Form 4 (a)</w:t>
      </w:r>
    </w:p>
    <w:p w14:paraId="708C682B">
      <w:pPr>
        <w:widowControl w:val="0"/>
        <w:spacing w:before="120" w:after="120" w:line="264" w:lineRule="auto"/>
        <w:jc w:val="center"/>
        <w:rPr>
          <w:b/>
          <w:color w:val="000000" w:themeColor="text1"/>
          <w:sz w:val="26"/>
          <w:szCs w:val="26"/>
          <w:vertAlign w:val="superscript"/>
          <w14:textFill>
            <w14:solidFill>
              <w14:schemeClr w14:val="tx1"/>
            </w14:solidFill>
          </w14:textFill>
        </w:rPr>
      </w:pPr>
      <w:bookmarkStart w:id="19" w:name="_Toc389137844"/>
      <w:bookmarkStart w:id="20" w:name="_Toc282516806"/>
      <w:bookmarkStart w:id="21" w:name="_Toc282519862"/>
      <w:r>
        <w:rPr>
          <w:b/>
          <w:color w:val="000000" w:themeColor="text1"/>
          <w:sz w:val="26"/>
          <w:szCs w:val="26"/>
          <w14:textFill>
            <w14:solidFill>
              <w14:schemeClr w14:val="tx1"/>
            </w14:solidFill>
          </w14:textFill>
        </w:rPr>
        <w:t>BID SECURITY FORM</w:t>
      </w:r>
      <w:bookmarkEnd w:id="19"/>
      <w:bookmarkEnd w:id="20"/>
      <w:bookmarkEnd w:id="21"/>
      <w:r>
        <w:rPr>
          <w:b/>
          <w:color w:val="000000" w:themeColor="text1"/>
          <w:sz w:val="26"/>
          <w:szCs w:val="26"/>
          <w:vertAlign w:val="superscript"/>
          <w14:textFill>
            <w14:solidFill>
              <w14:schemeClr w14:val="tx1"/>
            </w14:solidFill>
          </w14:textFill>
        </w:rPr>
        <w:t>(1)</w:t>
      </w:r>
    </w:p>
    <w:p w14:paraId="708C682C">
      <w:pPr>
        <w:widowControl w:val="0"/>
        <w:spacing w:before="120" w:after="120" w:line="264" w:lineRule="auto"/>
        <w:jc w:val="center"/>
        <w:rPr>
          <w:i/>
          <w:sz w:val="26"/>
          <w:szCs w:val="26"/>
        </w:rPr>
      </w:pPr>
      <w:r>
        <w:rPr>
          <w:i/>
          <w:sz w:val="26"/>
          <w:szCs w:val="26"/>
        </w:rPr>
        <w:t>(Application for independent bidder)</w:t>
      </w:r>
    </w:p>
    <w:p w14:paraId="708C682D">
      <w:pPr>
        <w:widowControl w:val="0"/>
        <w:spacing w:before="120" w:after="120" w:line="264" w:lineRule="auto"/>
        <w:ind w:firstLine="567"/>
        <w:jc w:val="center"/>
        <w:outlineLvl w:val="3"/>
        <w:rPr>
          <w:sz w:val="26"/>
          <w:szCs w:val="26"/>
        </w:rPr>
      </w:pPr>
    </w:p>
    <w:p w14:paraId="708C682E">
      <w:pPr>
        <w:pStyle w:val="60"/>
        <w:widowControl w:val="0"/>
        <w:spacing w:before="120" w:beforeAutospacing="0" w:after="120" w:afterAutospacing="0" w:line="264" w:lineRule="auto"/>
        <w:ind w:firstLine="567"/>
        <w:jc w:val="both"/>
        <w:rPr>
          <w:rFonts w:ascii="Times New Roman" w:hAnsi="Times New Roman" w:cs="Times New Roman"/>
          <w:bCs/>
          <w:i/>
          <w:iCs/>
          <w:sz w:val="26"/>
          <w:szCs w:val="26"/>
        </w:rPr>
      </w:pPr>
      <w:r>
        <w:rPr>
          <w:rFonts w:ascii="Times New Roman" w:hAnsi="Times New Roman" w:cs="Times New Roman"/>
          <w:b/>
          <w:sz w:val="26"/>
          <w:szCs w:val="26"/>
        </w:rPr>
        <w:t xml:space="preserve">Beneficiary: </w:t>
      </w:r>
      <w:r>
        <w:rPr>
          <w:rFonts w:ascii="Times New Roman" w:hAnsi="Times New Roman" w:cs="Times New Roman"/>
          <w:b/>
          <w:i/>
          <w:iCs/>
          <w:sz w:val="26"/>
          <w:szCs w:val="26"/>
        </w:rPr>
        <w:t>[</w:t>
      </w:r>
      <w:r>
        <w:rPr>
          <w:rFonts w:ascii="Times New Roman" w:hAnsi="Times New Roman" w:cs="Times New Roman"/>
          <w:bCs/>
          <w:i/>
          <w:iCs/>
          <w:sz w:val="26"/>
          <w:szCs w:val="26"/>
        </w:rPr>
        <w:t>insert name and address of the Purchaser or representative of the Purchaser]</w:t>
      </w:r>
    </w:p>
    <w:p w14:paraId="708C682F">
      <w:pPr>
        <w:pStyle w:val="60"/>
        <w:widowControl w:val="0"/>
        <w:spacing w:before="120" w:beforeAutospacing="0" w:after="120" w:afterAutospacing="0" w:line="264" w:lineRule="auto"/>
        <w:ind w:firstLine="567"/>
        <w:jc w:val="both"/>
        <w:rPr>
          <w:rFonts w:ascii="Times New Roman" w:hAnsi="Times New Roman" w:cs="Times New Roman"/>
          <w:i/>
          <w:sz w:val="26"/>
          <w:szCs w:val="26"/>
        </w:rPr>
      </w:pPr>
      <w:r>
        <w:rPr>
          <w:rFonts w:ascii="Times New Roman" w:hAnsi="Times New Roman" w:cs="Times New Roman"/>
          <w:b/>
          <w:sz w:val="26"/>
          <w:szCs w:val="26"/>
        </w:rPr>
        <w:t xml:space="preserve">Issue date of Guarantee: </w:t>
      </w:r>
      <w:r>
        <w:rPr>
          <w:rFonts w:ascii="Times New Roman" w:hAnsi="Times New Roman" w:cs="Times New Roman"/>
          <w:i/>
          <w:sz w:val="26"/>
          <w:szCs w:val="26"/>
        </w:rPr>
        <w:t>[Insert date of issue]</w:t>
      </w:r>
    </w:p>
    <w:p w14:paraId="708C6830">
      <w:pPr>
        <w:pStyle w:val="60"/>
        <w:widowControl w:val="0"/>
        <w:spacing w:before="120" w:beforeAutospacing="0" w:after="120" w:afterAutospacing="0" w:line="264" w:lineRule="auto"/>
        <w:ind w:firstLine="567"/>
        <w:jc w:val="both"/>
        <w:rPr>
          <w:rFonts w:ascii="Times New Roman" w:hAnsi="Times New Roman" w:cs="Times New Roman"/>
          <w:b/>
          <w:sz w:val="26"/>
          <w:szCs w:val="26"/>
        </w:rPr>
      </w:pPr>
    </w:p>
    <w:p w14:paraId="708C6831">
      <w:pPr>
        <w:pStyle w:val="60"/>
        <w:widowControl w:val="0"/>
        <w:spacing w:before="120" w:beforeAutospacing="0" w:after="120" w:afterAutospacing="0" w:line="264" w:lineRule="auto"/>
        <w:ind w:firstLine="567"/>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b/>
          <w:sz w:val="26"/>
          <w:szCs w:val="26"/>
        </w:rPr>
        <w:t>BID GUARAN</w:t>
      </w:r>
      <w:r>
        <w:rPr>
          <w:rFonts w:ascii="Times New Roman" w:hAnsi="Times New Roman" w:cs="Times New Roman"/>
          <w:b/>
          <w:color w:val="000000" w:themeColor="text1"/>
          <w:sz w:val="26"/>
          <w:szCs w:val="26"/>
          <w14:textFill>
            <w14:solidFill>
              <w14:schemeClr w14:val="tx1"/>
            </w14:solidFill>
          </w14:textFill>
        </w:rPr>
        <w:t>TEE No.:</w:t>
      </w:r>
      <w:r>
        <w:rPr>
          <w:rFonts w:ascii="Times New Roman" w:hAnsi="Times New Roman" w:cs="Times New Roman"/>
          <w:i/>
          <w:color w:val="000000" w:themeColor="text1"/>
          <w:sz w:val="26"/>
          <w:szCs w:val="26"/>
          <w14:textFill>
            <w14:solidFill>
              <w14:schemeClr w14:val="tx1"/>
            </w14:solidFill>
          </w14:textFill>
        </w:rPr>
        <w:t>[Insert guarantee reference number]</w:t>
      </w:r>
    </w:p>
    <w:p w14:paraId="708C6832">
      <w:pPr>
        <w:pStyle w:val="60"/>
        <w:widowControl w:val="0"/>
        <w:spacing w:before="120" w:beforeAutospacing="0" w:after="120" w:afterAutospacing="0" w:line="264" w:lineRule="auto"/>
        <w:ind w:firstLine="567"/>
        <w:jc w:val="both"/>
        <w:rPr>
          <w:rFonts w:ascii="Times New Roman" w:hAnsi="Times New Roman" w:cs="Times New Roman"/>
          <w:b/>
          <w:color w:val="000000" w:themeColor="text1"/>
          <w:sz w:val="26"/>
          <w:szCs w:val="26"/>
          <w14:textFill>
            <w14:solidFill>
              <w14:schemeClr w14:val="tx1"/>
            </w14:solidFill>
          </w14:textFill>
        </w:rPr>
      </w:pPr>
    </w:p>
    <w:p w14:paraId="708C6833">
      <w:pPr>
        <w:pStyle w:val="60"/>
        <w:widowControl w:val="0"/>
        <w:spacing w:before="120" w:beforeAutospacing="0" w:after="120" w:afterAutospacing="0" w:line="264" w:lineRule="auto"/>
        <w:ind w:firstLine="567"/>
        <w:jc w:val="both"/>
        <w:rPr>
          <w:rFonts w:ascii="Times New Roman" w:hAnsi="Times New Roman" w:cs="Times New Roman"/>
          <w:b/>
          <w:color w:val="000000" w:themeColor="text1"/>
          <w:sz w:val="26"/>
          <w:szCs w:val="26"/>
          <w14:textFill>
            <w14:solidFill>
              <w14:schemeClr w14:val="tx1"/>
            </w14:solidFill>
          </w14:textFill>
        </w:rPr>
      </w:pPr>
      <w:r>
        <w:rPr>
          <w:rFonts w:ascii="Times New Roman" w:hAnsi="Times New Roman" w:cs="Times New Roman"/>
          <w:b/>
          <w:color w:val="000000" w:themeColor="text1"/>
          <w:sz w:val="26"/>
          <w:szCs w:val="26"/>
          <w14:textFill>
            <w14:solidFill>
              <w14:schemeClr w14:val="tx1"/>
            </w14:solidFill>
          </w14:textFill>
        </w:rPr>
        <w:t xml:space="preserve">Guarantor:  </w:t>
      </w:r>
      <w:r>
        <w:rPr>
          <w:rFonts w:ascii="Times New Roman" w:hAnsi="Times New Roman" w:cs="Times New Roman"/>
          <w:color w:val="000000" w:themeColor="text1"/>
          <w:sz w:val="26"/>
          <w:szCs w:val="26"/>
          <w14:textFill>
            <w14:solidFill>
              <w14:schemeClr w14:val="tx1"/>
            </w14:solidFill>
          </w14:textFill>
        </w:rPr>
        <w:t>_</w:t>
      </w:r>
      <w:r>
        <w:rPr>
          <w:rFonts w:ascii="Times New Roman" w:hAnsi="Times New Roman" w:cs="Times New Roman"/>
          <w:i/>
          <w:color w:val="000000" w:themeColor="text1"/>
          <w:sz w:val="26"/>
          <w:szCs w:val="26"/>
          <w14:textFill>
            <w14:solidFill>
              <w14:schemeClr w14:val="tx1"/>
            </w14:solidFill>
          </w14:textFill>
        </w:rPr>
        <w:t>[Insert name and address of place of issue, unless indicated in the letterhead]</w:t>
      </w:r>
    </w:p>
    <w:p w14:paraId="708C6834">
      <w:pPr>
        <w:pStyle w:val="60"/>
        <w:widowControl w:val="0"/>
        <w:spacing w:before="120" w:beforeAutospacing="0" w:after="120" w:afterAutospacing="0" w:line="264" w:lineRule="auto"/>
        <w:ind w:firstLine="567"/>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 xml:space="preserve">We have been informed that </w:t>
      </w:r>
      <w:r>
        <w:rPr>
          <w:rFonts w:ascii="Times New Roman" w:hAnsi="Times New Roman" w:cs="Times New Roman"/>
          <w:i/>
          <w:color w:val="000000" w:themeColor="text1"/>
          <w:sz w:val="26"/>
          <w:szCs w:val="26"/>
          <w14:textFill>
            <w14:solidFill>
              <w14:schemeClr w14:val="tx1"/>
            </w14:solidFill>
          </w14:textFill>
        </w:rPr>
        <w:t>[insert name of bidder]</w:t>
      </w:r>
      <w:r>
        <w:rPr>
          <w:rFonts w:ascii="Times New Roman" w:hAnsi="Times New Roman" w:cs="Times New Roman"/>
          <w:color w:val="000000" w:themeColor="text1"/>
          <w:sz w:val="26"/>
          <w:szCs w:val="26"/>
          <w14:textFill>
            <w14:solidFill>
              <w14:schemeClr w14:val="tx1"/>
            </w14:solidFill>
          </w14:textFill>
        </w:rPr>
        <w:t xml:space="preserve"> shall participate to carry out </w:t>
      </w:r>
      <w:r>
        <w:rPr>
          <w:rFonts w:ascii="Times New Roman" w:hAnsi="Times New Roman" w:cs="Times New Roman"/>
          <w:i/>
          <w:color w:val="000000" w:themeColor="text1"/>
          <w:sz w:val="26"/>
          <w:szCs w:val="26"/>
          <w14:textFill>
            <w14:solidFill>
              <w14:schemeClr w14:val="tx1"/>
            </w14:solidFill>
          </w14:textFill>
        </w:rPr>
        <w:t>[insert name of package]</w:t>
      </w:r>
      <w:r>
        <w:rPr>
          <w:rFonts w:ascii="Times New Roman" w:hAnsi="Times New Roman" w:cs="Times New Roman"/>
          <w:color w:val="000000" w:themeColor="text1"/>
          <w:sz w:val="26"/>
          <w:szCs w:val="26"/>
          <w14:textFill>
            <w14:solidFill>
              <w14:schemeClr w14:val="tx1"/>
            </w14:solidFill>
          </w14:textFill>
        </w:rPr>
        <w:t xml:space="preserve"> of </w:t>
      </w:r>
      <w:r>
        <w:rPr>
          <w:rFonts w:ascii="Times New Roman" w:hAnsi="Times New Roman" w:cs="Times New Roman"/>
          <w:i/>
          <w:color w:val="000000" w:themeColor="text1"/>
          <w:sz w:val="26"/>
          <w:szCs w:val="26"/>
          <w14:textFill>
            <w14:solidFill>
              <w14:schemeClr w14:val="tx1"/>
            </w14:solidFill>
          </w14:textFill>
        </w:rPr>
        <w:t>[insert name of project]</w:t>
      </w:r>
      <w:r>
        <w:rPr>
          <w:rFonts w:ascii="Times New Roman" w:hAnsi="Times New Roman" w:cs="Times New Roman"/>
          <w:color w:val="000000" w:themeColor="text1"/>
          <w:sz w:val="26"/>
          <w:szCs w:val="26"/>
          <w14:textFill>
            <w14:solidFill>
              <w14:schemeClr w14:val="tx1"/>
            </w14:solidFill>
          </w14:textFill>
        </w:rPr>
        <w:t xml:space="preserve"> according to Invitation for Bids No. </w:t>
      </w:r>
      <w:r>
        <w:rPr>
          <w:rFonts w:ascii="Times New Roman" w:hAnsi="Times New Roman" w:cs="Times New Roman"/>
          <w:i/>
          <w:color w:val="000000" w:themeColor="text1"/>
          <w:sz w:val="26"/>
          <w:szCs w:val="26"/>
          <w14:textFill>
            <w14:solidFill>
              <w14:schemeClr w14:val="tx1"/>
            </w14:solidFill>
          </w14:textFill>
        </w:rPr>
        <w:t>[Insert reference number for the Invitation for Bids].</w:t>
      </w:r>
    </w:p>
    <w:p w14:paraId="708C6835">
      <w:pPr>
        <w:pStyle w:val="60"/>
        <w:widowControl w:val="0"/>
        <w:spacing w:before="120" w:beforeAutospacing="0" w:after="120" w:afterAutospacing="0" w:line="264" w:lineRule="auto"/>
        <w:ind w:firstLine="567"/>
        <w:jc w:val="both"/>
        <w:rPr>
          <w:rFonts w:ascii="Times New Roman" w:hAnsi="Times New Roman" w:cs="Times New Roman"/>
          <w:i/>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We are committed to the Beneficiary that we guarantee to the Bidder participating this package in an amount of [</w:t>
      </w:r>
      <w:r>
        <w:rPr>
          <w:rFonts w:ascii="Times New Roman" w:hAnsi="Times New Roman" w:cs="Times New Roman"/>
          <w:i/>
          <w:color w:val="000000" w:themeColor="text1"/>
          <w:sz w:val="26"/>
          <w:szCs w:val="26"/>
          <w14:textFill>
            <w14:solidFill>
              <w14:schemeClr w14:val="tx1"/>
            </w14:solidFill>
          </w14:textFill>
        </w:rPr>
        <w:t>insert the amount in words, in figures and the currency]</w:t>
      </w:r>
    </w:p>
    <w:p w14:paraId="708C6836">
      <w:pPr>
        <w:pStyle w:val="60"/>
        <w:widowControl w:val="0"/>
        <w:spacing w:before="120" w:beforeAutospacing="0" w:after="120" w:afterAutospacing="0" w:line="264" w:lineRule="auto"/>
        <w:ind w:firstLine="567"/>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This guarantee is valid within ___</w:t>
      </w:r>
      <w:r>
        <w:rPr>
          <w:rFonts w:ascii="Times New Roman" w:hAnsi="Times New Roman" w:cs="Times New Roman"/>
          <w:color w:val="000000" w:themeColor="text1"/>
          <w:sz w:val="26"/>
          <w:szCs w:val="26"/>
          <w:vertAlign w:val="superscript"/>
          <w14:textFill>
            <w14:solidFill>
              <w14:schemeClr w14:val="tx1"/>
            </w14:solidFill>
          </w14:textFill>
        </w:rPr>
        <w:t>(2)</w:t>
      </w:r>
      <w:r>
        <w:rPr>
          <w:rFonts w:ascii="Times New Roman" w:hAnsi="Times New Roman" w:cs="Times New Roman"/>
          <w:color w:val="000000" w:themeColor="text1"/>
          <w:sz w:val="26"/>
          <w:szCs w:val="26"/>
          <w14:textFill>
            <w14:solidFill>
              <w14:schemeClr w14:val="tx1"/>
            </w14:solidFill>
          </w14:textFill>
        </w:rPr>
        <w:t xml:space="preserve"> days since date …./…./……</w:t>
      </w:r>
      <w:r>
        <w:rPr>
          <w:rFonts w:ascii="Times New Roman" w:hAnsi="Times New Roman" w:cs="Times New Roman"/>
          <w:color w:val="000000" w:themeColor="text1"/>
          <w:sz w:val="26"/>
          <w:szCs w:val="26"/>
          <w:vertAlign w:val="superscript"/>
          <w14:textFill>
            <w14:solidFill>
              <w14:schemeClr w14:val="tx1"/>
            </w14:solidFill>
          </w14:textFill>
        </w:rPr>
        <w:t>(3)</w:t>
      </w:r>
    </w:p>
    <w:p w14:paraId="708C6837">
      <w:pPr>
        <w:pStyle w:val="60"/>
        <w:ind w:firstLine="567"/>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At the request of the Bidder, we, as Guarantor, hereby unconditionally, irrevocably undertake</w:t>
      </w:r>
      <w:r>
        <w:rPr>
          <w:rFonts w:ascii="Times New Roman" w:hAnsi="Times New Roman" w:cs="Times New Roman"/>
          <w:color w:val="000000" w:themeColor="text1"/>
          <w:sz w:val="26"/>
          <w:szCs w:val="26"/>
          <w:vertAlign w:val="superscript"/>
          <w14:textFill>
            <w14:solidFill>
              <w14:schemeClr w14:val="tx1"/>
            </w14:solidFill>
          </w14:textFill>
        </w:rPr>
        <w:t>(4)</w:t>
      </w:r>
      <w:r>
        <w:rPr>
          <w:rFonts w:ascii="Times New Roman" w:hAnsi="Times New Roman" w:cs="Times New Roman"/>
          <w:color w:val="000000" w:themeColor="text1"/>
          <w:sz w:val="26"/>
          <w:szCs w:val="26"/>
          <w14:textFill>
            <w14:solidFill>
              <w14:schemeClr w14:val="tx1"/>
            </w14:solidFill>
          </w14:textFill>
        </w:rPr>
        <w:t xml:space="preserve"> to pay the Beneficiary any sum or sums not exceeding in total an amount of </w:t>
      </w:r>
      <w:r>
        <w:rPr>
          <w:rFonts w:ascii="Times New Roman" w:hAnsi="Times New Roman" w:cs="Times New Roman"/>
          <w:i/>
          <w:color w:val="000000" w:themeColor="text1"/>
          <w:sz w:val="26"/>
          <w:szCs w:val="26"/>
          <w14:textFill>
            <w14:solidFill>
              <w14:schemeClr w14:val="tx1"/>
            </w14:solidFill>
          </w14:textFill>
        </w:rPr>
        <w:t xml:space="preserve">[insert amount in words] </w:t>
      </w:r>
      <w:r>
        <w:rPr>
          <w:rFonts w:ascii="Times New Roman" w:hAnsi="Times New Roman" w:cs="Times New Roman"/>
          <w:color w:val="000000" w:themeColor="text1"/>
          <w:sz w:val="26"/>
          <w:szCs w:val="26"/>
          <w14:textFill>
            <w14:solidFill>
              <w14:schemeClr w14:val="tx1"/>
            </w14:solidFill>
          </w14:textFill>
        </w:rPr>
        <w:t>[</w:t>
      </w:r>
      <w:r>
        <w:rPr>
          <w:rFonts w:ascii="Times New Roman" w:hAnsi="Times New Roman" w:cs="Times New Roman"/>
          <w:i/>
          <w:color w:val="000000" w:themeColor="text1"/>
          <w:sz w:val="26"/>
          <w:szCs w:val="26"/>
          <w14:textFill>
            <w14:solidFill>
              <w14:schemeClr w14:val="tx1"/>
            </w14:solidFill>
          </w14:textFill>
        </w:rPr>
        <w:t>insert amount in figures</w:t>
      </w:r>
      <w:r>
        <w:rPr>
          <w:rFonts w:ascii="Times New Roman" w:hAnsi="Times New Roman" w:cs="Times New Roman"/>
          <w:color w:val="000000" w:themeColor="text1"/>
          <w:sz w:val="26"/>
          <w:szCs w:val="26"/>
          <w14:textFill>
            <w14:solidFill>
              <w14:schemeClr w14:val="tx1"/>
            </w14:solidFill>
          </w14:textFill>
        </w:rPr>
        <w:t>] upon receipt by us of the Beneficiary’s complying supported by the Beneficiary’s statement, whether in the demand itself or a separate signed document accompanying or identifying the demand, stating either that:</w:t>
      </w:r>
    </w:p>
    <w:p w14:paraId="708C6838">
      <w:pPr>
        <w:pStyle w:val="89"/>
        <w:numPr>
          <w:ilvl w:val="2"/>
          <w:numId w:val="53"/>
        </w:numPr>
        <w:tabs>
          <w:tab w:val="clear" w:pos="972"/>
        </w:tabs>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After the deadline for submission of Bid and during the period of bid validity, the Bidder has notified in writing to withdraw its Bid or refuse to perform one or more works offered in its Bids as provisions of the BDs; or</w:t>
      </w:r>
    </w:p>
    <w:p w14:paraId="708C6839">
      <w:pPr>
        <w:pStyle w:val="89"/>
        <w:numPr>
          <w:ilvl w:val="2"/>
          <w:numId w:val="53"/>
        </w:numPr>
        <w:tabs>
          <w:tab w:val="clear" w:pos="972"/>
        </w:tabs>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bidder has violated the provisions of Article 16 of Procurement Law</w:t>
      </w:r>
      <w:r>
        <w:rPr>
          <w:sz w:val="26"/>
          <w:szCs w:val="26"/>
        </w:rPr>
        <w:t>;</w:t>
      </w:r>
      <w:r>
        <w:rPr>
          <w:color w:val="000000" w:themeColor="text1"/>
          <w:sz w:val="26"/>
          <w:szCs w:val="26"/>
          <w14:textFill>
            <w14:solidFill>
              <w14:schemeClr w14:val="tx1"/>
            </w14:solidFill>
          </w14:textFill>
        </w:rPr>
        <w:t xml:space="preserve"> or </w:t>
      </w:r>
    </w:p>
    <w:p w14:paraId="708C683A">
      <w:pPr>
        <w:pStyle w:val="89"/>
        <w:numPr>
          <w:ilvl w:val="2"/>
          <w:numId w:val="53"/>
        </w:numPr>
        <w:tabs>
          <w:tab w:val="clear" w:pos="972"/>
        </w:tabs>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Bidder fails to furnish the performance security specified in Article 68 of the Procurement law; or</w:t>
      </w:r>
    </w:p>
    <w:p w14:paraId="708C683B">
      <w:pPr>
        <w:pStyle w:val="89"/>
        <w:numPr>
          <w:ilvl w:val="2"/>
          <w:numId w:val="53"/>
        </w:numPr>
        <w:tabs>
          <w:tab w:val="clear" w:pos="972"/>
        </w:tabs>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bidder fails or refuses to negotiate the contract (if any), within a period of ten (10) days from the date of receipt of notification of contract negotiation issued by the Purchaser or has negotiated the</w:t>
      </w:r>
      <w:r>
        <w:rPr>
          <w:color w:val="auto"/>
          <w:sz w:val="26"/>
          <w:szCs w:val="26"/>
        </w:rPr>
        <w:t xml:space="preserve"> contract but refuses to complete, sign the Minutes of contract negotiations, except for the case specified in Clause 4, Article 34 of Decree No. 214/2025/N</w:t>
      </w:r>
      <w:r>
        <w:rPr>
          <w:color w:val="0000FF"/>
          <w:sz w:val="26"/>
          <w:szCs w:val="26"/>
        </w:rPr>
        <w:t>D-CP</w:t>
      </w:r>
      <w:r>
        <w:rPr>
          <w:color w:val="000000" w:themeColor="text1"/>
          <w:sz w:val="26"/>
          <w:szCs w:val="26"/>
          <w14:textFill>
            <w14:solidFill>
              <w14:schemeClr w14:val="tx1"/>
            </w14:solidFill>
          </w14:textFill>
        </w:rPr>
        <w:t xml:space="preserve"> or force majeure; </w:t>
      </w:r>
    </w:p>
    <w:p w14:paraId="708C683C">
      <w:pPr>
        <w:pStyle w:val="89"/>
        <w:numPr>
          <w:ilvl w:val="2"/>
          <w:numId w:val="53"/>
        </w:numPr>
        <w:tabs>
          <w:tab w:val="clear" w:pos="972"/>
        </w:tabs>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The bidder fails or refuses to complete the contract within twenty (20) days from the date of receipt of the Notification of acceptance and award contract from Purchaser, except cases of force majeure; </w:t>
      </w:r>
    </w:p>
    <w:p w14:paraId="708C683D">
      <w:pPr>
        <w:pStyle w:val="89"/>
        <w:numPr>
          <w:ilvl w:val="2"/>
          <w:numId w:val="53"/>
        </w:numPr>
        <w:tabs>
          <w:tab w:val="clear" w:pos="972"/>
        </w:tabs>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bidder fails or refuses to sign the contract within 20 days from the date of finalizing of that contract, except in cases of force majeure.</w:t>
      </w:r>
      <w:r>
        <w:rPr>
          <w:color w:val="000000" w:themeColor="text1"/>
          <w:sz w:val="26"/>
          <w:szCs w:val="26"/>
          <w14:textFill>
            <w14:solidFill>
              <w14:schemeClr w14:val="tx1"/>
            </w14:solidFill>
          </w14:textFill>
        </w:rPr>
        <w:tab/>
      </w:r>
    </w:p>
    <w:p w14:paraId="708C683E">
      <w:pPr>
        <w:pStyle w:val="89"/>
        <w:tabs>
          <w:tab w:val="clear" w:pos="864"/>
          <w:tab w:val="clear" w:pos="972"/>
        </w:tabs>
        <w:ind w:left="0" w:firstLine="504"/>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If the Bidder is the successful Bidder, </w:t>
      </w:r>
      <w:r>
        <w:rPr>
          <w:sz w:val="26"/>
          <w:szCs w:val="26"/>
        </w:rPr>
        <w:t>this guarantee will expire immediately after the bidder signs the contract and submits the performance guarantee to the beneficiary as agreed in that contract.</w:t>
      </w:r>
    </w:p>
    <w:p w14:paraId="708C683F">
      <w:pPr>
        <w:pStyle w:val="60"/>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Pr>
          <w:rFonts w:ascii="Times New Roman" w:hAnsi="Times New Roman" w:cs="Times New Roman"/>
          <w:color w:val="000000" w:themeColor="text1"/>
          <w:sz w:val="26"/>
          <w:szCs w:val="26"/>
          <w14:textFill>
            <w14:solidFill>
              <w14:schemeClr w14:val="tx1"/>
            </w14:solidFill>
          </w14:textFill>
        </w:rPr>
        <w:tab/>
      </w:r>
      <w:r>
        <w:rPr>
          <w:rFonts w:ascii="Times New Roman" w:hAnsi="Times New Roman" w:cs="Times New Roman"/>
          <w:color w:val="000000" w:themeColor="text1"/>
          <w:sz w:val="26"/>
          <w:szCs w:val="26"/>
          <w14:textFill>
            <w14:solidFill>
              <w14:schemeClr w14:val="tx1"/>
            </w14:solidFill>
          </w14:textFill>
        </w:rPr>
        <w:t xml:space="preserve">If the Bidder is not the successful Bidder, </w:t>
      </w:r>
      <w:r>
        <w:rPr>
          <w:rFonts w:ascii="Times New Roman" w:hAnsi="Times New Roman" w:cs="Times New Roman"/>
          <w:sz w:val="26"/>
          <w:szCs w:val="26"/>
        </w:rPr>
        <w:t xml:space="preserve">this guarantee will expire as soon as we receive a copy of the notice of bidder selection result or within 30 days from the date of expiry of the validity period of the Bid, whichever is earlier. </w:t>
      </w:r>
    </w:p>
    <w:p w14:paraId="708C6840">
      <w:pPr>
        <w:pStyle w:val="60"/>
        <w:widowControl w:val="0"/>
        <w:tabs>
          <w:tab w:val="left" w:pos="0"/>
        </w:tabs>
        <w:spacing w:before="120" w:beforeAutospacing="0" w:after="120" w:afterAutospacing="0" w:line="264" w:lineRule="auto"/>
        <w:ind w:firstLine="567"/>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Any demand for payment under this guarantee must be received by us at our office before or within the last validity date of this guarantee. We unconditionally and irrevocably undertake to pay to the Purchaser any amount of the above guarantee upon the Purchaser's claim for compensation.</w:t>
      </w:r>
    </w:p>
    <w:p w14:paraId="708C6841">
      <w:pPr>
        <w:pStyle w:val="60"/>
        <w:widowControl w:val="0"/>
        <w:spacing w:before="120" w:beforeAutospacing="0" w:after="120" w:afterAutospacing="0" w:line="264" w:lineRule="auto"/>
        <w:ind w:firstLine="567"/>
        <w:jc w:val="both"/>
        <w:rPr>
          <w:rFonts w:ascii="Times New Roman" w:hAnsi="Times New Roman" w:cs="Times New Roman"/>
          <w:color w:val="000000" w:themeColor="text1"/>
          <w:sz w:val="26"/>
          <w:szCs w:val="26"/>
          <w14:textFill>
            <w14:solidFill>
              <w14:schemeClr w14:val="tx1"/>
            </w14:solidFill>
          </w14:textFill>
        </w:rPr>
      </w:pPr>
    </w:p>
    <w:tbl>
      <w:tblPr>
        <w:tblStyle w:val="12"/>
        <w:tblW w:w="5811" w:type="dxa"/>
        <w:tblInd w:w="3369" w:type="dxa"/>
        <w:tblLayout w:type="autofit"/>
        <w:tblCellMar>
          <w:top w:w="0" w:type="dxa"/>
          <w:left w:w="108" w:type="dxa"/>
          <w:bottom w:w="0" w:type="dxa"/>
          <w:right w:w="108" w:type="dxa"/>
        </w:tblCellMar>
      </w:tblPr>
      <w:tblGrid>
        <w:gridCol w:w="5811"/>
      </w:tblGrid>
      <w:tr w14:paraId="708C6845">
        <w:tblPrEx>
          <w:tblCellMar>
            <w:top w:w="0" w:type="dxa"/>
            <w:left w:w="108" w:type="dxa"/>
            <w:bottom w:w="0" w:type="dxa"/>
            <w:right w:w="108" w:type="dxa"/>
          </w:tblCellMar>
        </w:tblPrEx>
        <w:tc>
          <w:tcPr>
            <w:tcW w:w="5811" w:type="dxa"/>
          </w:tcPr>
          <w:p w14:paraId="708C6842">
            <w:pPr>
              <w:pStyle w:val="15"/>
              <w:widowControl w:val="0"/>
              <w:spacing w:before="120" w:line="264" w:lineRule="auto"/>
              <w:ind w:firstLine="567"/>
              <w:jc w:val="right"/>
              <w:rPr>
                <w:b/>
                <w:color w:val="000000" w:themeColor="text1"/>
                <w:sz w:val="26"/>
                <w:szCs w:val="26"/>
                <w:vertAlign w:val="superscript"/>
                <w14:textFill>
                  <w14:solidFill>
                    <w14:schemeClr w14:val="tx1"/>
                  </w14:solidFill>
                </w14:textFill>
              </w:rPr>
            </w:pPr>
            <w:r>
              <w:rPr>
                <w:b/>
                <w:color w:val="000000" w:themeColor="text1"/>
                <w:sz w:val="26"/>
                <w:szCs w:val="26"/>
                <w14:textFill>
                  <w14:solidFill>
                    <w14:schemeClr w14:val="tx1"/>
                  </w14:solidFill>
                </w14:textFill>
              </w:rPr>
              <w:t>Legal representative of the Bank</w:t>
            </w:r>
            <w:r>
              <w:rPr>
                <w:b/>
                <w:color w:val="000000" w:themeColor="text1"/>
                <w:sz w:val="26"/>
                <w:szCs w:val="26"/>
                <w:vertAlign w:val="superscript"/>
                <w14:textFill>
                  <w14:solidFill>
                    <w14:schemeClr w14:val="tx1"/>
                  </w14:solidFill>
                </w14:textFill>
              </w:rPr>
              <w:t>(5)</w:t>
            </w:r>
          </w:p>
          <w:p w14:paraId="708C6843">
            <w:pPr>
              <w:pStyle w:val="15"/>
              <w:widowControl w:val="0"/>
              <w:spacing w:before="120" w:line="264" w:lineRule="auto"/>
              <w:ind w:firstLine="567"/>
              <w:jc w:val="right"/>
              <w:rPr>
                <w:b/>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(Full name, position, signature and seal)</w:t>
            </w:r>
          </w:p>
          <w:p w14:paraId="708C6844">
            <w:pPr>
              <w:pStyle w:val="60"/>
              <w:widowControl w:val="0"/>
              <w:spacing w:before="120" w:beforeAutospacing="0" w:after="120" w:afterAutospacing="0" w:line="264" w:lineRule="auto"/>
              <w:ind w:firstLine="567"/>
              <w:jc w:val="both"/>
              <w:outlineLvl w:val="0"/>
              <w:rPr>
                <w:rFonts w:ascii="Times New Roman" w:hAnsi="Times New Roman" w:cs="Times New Roman"/>
                <w:color w:val="000000" w:themeColor="text1"/>
                <w:sz w:val="26"/>
                <w:szCs w:val="26"/>
                <w14:textFill>
                  <w14:solidFill>
                    <w14:schemeClr w14:val="tx1"/>
                  </w14:solidFill>
                </w14:textFill>
              </w:rPr>
            </w:pPr>
          </w:p>
        </w:tc>
      </w:tr>
    </w:tbl>
    <w:p w14:paraId="708C6846">
      <w:pPr>
        <w:pStyle w:val="15"/>
        <w:widowControl w:val="0"/>
        <w:shd w:val="clear" w:color="auto" w:fill="FFFFFF"/>
        <w:spacing w:before="120" w:after="0" w:line="240" w:lineRule="auto"/>
        <w:ind w:firstLine="567"/>
        <w:rPr>
          <w:color w:val="000000" w:themeColor="text1"/>
          <w:sz w:val="26"/>
          <w:szCs w:val="26"/>
          <w:u w:val="single"/>
          <w14:textFill>
            <w14:solidFill>
              <w14:schemeClr w14:val="tx1"/>
            </w14:solidFill>
          </w14:textFill>
        </w:rPr>
      </w:pPr>
      <w:r>
        <w:rPr>
          <w:color w:val="000000" w:themeColor="text1"/>
          <w:sz w:val="26"/>
          <w:szCs w:val="26"/>
          <w:u w:val="single"/>
          <w14:textFill>
            <w14:solidFill>
              <w14:schemeClr w14:val="tx1"/>
            </w14:solidFill>
          </w14:textFill>
        </w:rPr>
        <w:t>Notes:</w:t>
      </w:r>
    </w:p>
    <w:p w14:paraId="708C6847">
      <w:pPr>
        <w:pStyle w:val="15"/>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 (1) </w:t>
      </w:r>
      <w:r>
        <w:rPr>
          <w:sz w:val="26"/>
          <w:szCs w:val="26"/>
        </w:rPr>
        <w:t xml:space="preserve">Applicable in cases where the bid security is the letter of guarantee from a domestic credit institution, a foreign bank branch established under Vietnamese law or a guarantee insurance certificate issued by the domestic non-life insurance enterprises, branches of foreign non-life insurance enterprises established under Vietnamese law. Banks and non-life insurers are encouraged to use this form. </w:t>
      </w:r>
      <w:r>
        <w:rPr>
          <w:color w:val="000000" w:themeColor="text1"/>
          <w:sz w:val="26"/>
          <w:szCs w:val="26"/>
          <w14:textFill>
            <w14:solidFill>
              <w14:schemeClr w14:val="tx1"/>
            </w14:solidFill>
          </w14:textFill>
        </w:rPr>
        <w:t>In case the bid security violates one of the cases such as: has a lower value, has a shorter validity period than that specified in ITB 18.2, does not match the beneficiary's name, is not the original, there is no valid signature, must not be signed before the Purchaser issues the BDs; must not be accompanied by conditions that are unfavorable to the Purchaser</w:t>
      </w:r>
      <w:r>
        <w:rPr>
          <w:color w:val="000000" w:themeColor="text1"/>
          <w:spacing w:val="3"/>
          <w:sz w:val="26"/>
          <w:szCs w:val="26"/>
          <w:shd w:val="clear" w:color="auto" w:fill="E5EFFF"/>
          <w14:textFill>
            <w14:solidFill>
              <w14:schemeClr w14:val="tx1"/>
            </w14:solidFill>
          </w14:textFill>
        </w:rPr>
        <w:t>, t</w:t>
      </w:r>
      <w:r>
        <w:rPr>
          <w:color w:val="000000" w:themeColor="text1"/>
          <w:sz w:val="26"/>
          <w:szCs w:val="26"/>
          <w14:textFill>
            <w14:solidFill>
              <w14:schemeClr w14:val="tx1"/>
            </w14:solidFill>
          </w14:textFill>
        </w:rPr>
        <w:t xml:space="preserve">he bid security is considered invalid. </w:t>
      </w:r>
    </w:p>
    <w:p w14:paraId="708C6848">
      <w:pPr>
        <w:pStyle w:val="15"/>
        <w:widowControl w:val="0"/>
        <w:shd w:val="clear" w:color="auto" w:fill="FFFFFF"/>
        <w:spacing w:before="120" w:after="0" w:line="240" w:lineRule="auto"/>
        <w:ind w:firstLine="567"/>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(2) Insert according to BDS.ITB 18.2.  </w:t>
      </w:r>
    </w:p>
    <w:p w14:paraId="708C6849">
      <w:pPr>
        <w:pStyle w:val="15"/>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(3) Insert the date with deadline for submission of bid according to ITB 21.1.  </w:t>
      </w:r>
    </w:p>
    <w:p w14:paraId="708C684A">
      <w:pPr>
        <w:pStyle w:val="15"/>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(4) In case the bid security lacks one or several commitments in the above commitments, it is considered as an unfavorable condition for the Purchaser and the Purchaser according to the provisions of ITB 18.3 and the Bid Security is considered invalid.</w:t>
      </w:r>
    </w:p>
    <w:p w14:paraId="708C684B">
      <w:pPr>
        <w:pStyle w:val="15"/>
        <w:widowControl w:val="0"/>
        <w:spacing w:before="120" w:line="264"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(5) In case of using the Certificate of Guarantee Insurance, write "Legal representative of the insurance enterprise".</w:t>
      </w:r>
    </w:p>
    <w:p w14:paraId="708C684C">
      <w:pPr>
        <w:pStyle w:val="4"/>
        <w:widowControl w:val="0"/>
        <w:spacing w:before="120" w:after="120" w:line="264" w:lineRule="auto"/>
        <w:ind w:firstLine="567"/>
        <w:jc w:val="right"/>
        <w:rPr>
          <w:rFonts w:ascii="Times New Roman" w:hAnsi="Times New Roman"/>
          <w:b w:val="0"/>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br w:type="page"/>
      </w:r>
      <w:r>
        <w:rPr>
          <w:rFonts w:ascii="Times New Roman" w:hAnsi="Times New Roman"/>
          <w:color w:val="000000" w:themeColor="text1"/>
          <w14:textFill>
            <w14:solidFill>
              <w14:schemeClr w14:val="tx1"/>
            </w14:solidFill>
          </w14:textFill>
        </w:rPr>
        <w:t>Form 4 (b)</w:t>
      </w:r>
    </w:p>
    <w:p w14:paraId="708C684D">
      <w:pPr>
        <w:widowControl w:val="0"/>
        <w:spacing w:before="120" w:after="120" w:line="264" w:lineRule="auto"/>
        <w:jc w:val="center"/>
        <w:rPr>
          <w:b/>
          <w:color w:val="000000" w:themeColor="text1"/>
          <w:sz w:val="26"/>
          <w:szCs w:val="26"/>
          <w:vertAlign w:val="superscript"/>
          <w14:textFill>
            <w14:solidFill>
              <w14:schemeClr w14:val="tx1"/>
            </w14:solidFill>
          </w14:textFill>
        </w:rPr>
      </w:pPr>
      <w:r>
        <w:rPr>
          <w:b/>
          <w:color w:val="000000" w:themeColor="text1"/>
          <w:sz w:val="26"/>
          <w:szCs w:val="26"/>
          <w14:textFill>
            <w14:solidFill>
              <w14:schemeClr w14:val="tx1"/>
            </w14:solidFill>
          </w14:textFill>
        </w:rPr>
        <w:t>BID SECURITY FORM</w:t>
      </w:r>
      <w:r>
        <w:rPr>
          <w:b/>
          <w:color w:val="000000" w:themeColor="text1"/>
          <w:sz w:val="26"/>
          <w:szCs w:val="26"/>
          <w:vertAlign w:val="superscript"/>
          <w14:textFill>
            <w14:solidFill>
              <w14:schemeClr w14:val="tx1"/>
            </w14:solidFill>
          </w14:textFill>
        </w:rPr>
        <w:t>(1)</w:t>
      </w:r>
    </w:p>
    <w:p w14:paraId="708C684E">
      <w:pPr>
        <w:widowControl w:val="0"/>
        <w:spacing w:before="120" w:after="120" w:line="264" w:lineRule="auto"/>
        <w:jc w:val="center"/>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(Application for consortium)</w:t>
      </w:r>
    </w:p>
    <w:p w14:paraId="708C684F">
      <w:pPr>
        <w:widowControl w:val="0"/>
        <w:spacing w:before="120" w:after="120" w:line="264" w:lineRule="auto"/>
        <w:ind w:firstLine="567"/>
        <w:jc w:val="center"/>
        <w:outlineLvl w:val="3"/>
        <w:rPr>
          <w:color w:val="000000" w:themeColor="text1"/>
          <w:sz w:val="26"/>
          <w:szCs w:val="26"/>
          <w14:textFill>
            <w14:solidFill>
              <w14:schemeClr w14:val="tx1"/>
            </w14:solidFill>
          </w14:textFill>
        </w:rPr>
      </w:pPr>
    </w:p>
    <w:p w14:paraId="708C6850">
      <w:pPr>
        <w:pStyle w:val="60"/>
        <w:widowControl w:val="0"/>
        <w:spacing w:before="120" w:beforeAutospacing="0" w:after="120" w:afterAutospacing="0" w:line="264" w:lineRule="auto"/>
        <w:ind w:firstLine="567"/>
        <w:jc w:val="both"/>
        <w:rPr>
          <w:rFonts w:ascii="Times New Roman" w:hAnsi="Times New Roman" w:cs="Times New Roman"/>
          <w:bCs/>
          <w:i/>
          <w:iCs/>
          <w:color w:val="000000" w:themeColor="text1"/>
          <w:sz w:val="26"/>
          <w:szCs w:val="26"/>
          <w14:textFill>
            <w14:solidFill>
              <w14:schemeClr w14:val="tx1"/>
            </w14:solidFill>
          </w14:textFill>
        </w:rPr>
      </w:pPr>
      <w:r>
        <w:rPr>
          <w:rFonts w:ascii="Times New Roman" w:hAnsi="Times New Roman" w:cs="Times New Roman"/>
          <w:b/>
          <w:color w:val="000000" w:themeColor="text1"/>
          <w:sz w:val="26"/>
          <w:szCs w:val="26"/>
          <w14:textFill>
            <w14:solidFill>
              <w14:schemeClr w14:val="tx1"/>
            </w14:solidFill>
          </w14:textFill>
        </w:rPr>
        <w:t xml:space="preserve">Beneficiary: </w:t>
      </w:r>
      <w:r>
        <w:rPr>
          <w:rFonts w:ascii="Times New Roman" w:hAnsi="Times New Roman" w:cs="Times New Roman"/>
          <w:b/>
          <w:i/>
          <w:iCs/>
          <w:color w:val="000000" w:themeColor="text1"/>
          <w:sz w:val="26"/>
          <w:szCs w:val="26"/>
          <w14:textFill>
            <w14:solidFill>
              <w14:schemeClr w14:val="tx1"/>
            </w14:solidFill>
          </w14:textFill>
        </w:rPr>
        <w:t>[</w:t>
      </w:r>
      <w:r>
        <w:rPr>
          <w:rFonts w:ascii="Times New Roman" w:hAnsi="Times New Roman" w:cs="Times New Roman"/>
          <w:bCs/>
          <w:i/>
          <w:iCs/>
          <w:color w:val="000000" w:themeColor="text1"/>
          <w:sz w:val="26"/>
          <w:szCs w:val="26"/>
          <w14:textFill>
            <w14:solidFill>
              <w14:schemeClr w14:val="tx1"/>
            </w14:solidFill>
          </w14:textFill>
        </w:rPr>
        <w:t>insert name and address of the Purchaser or representative of the Purchaser]</w:t>
      </w:r>
    </w:p>
    <w:p w14:paraId="708C6851">
      <w:pPr>
        <w:pStyle w:val="60"/>
        <w:widowControl w:val="0"/>
        <w:spacing w:before="120" w:beforeAutospacing="0" w:after="120" w:afterAutospacing="0" w:line="264" w:lineRule="auto"/>
        <w:ind w:firstLine="567"/>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b/>
          <w:color w:val="000000" w:themeColor="text1"/>
          <w:sz w:val="26"/>
          <w:szCs w:val="26"/>
          <w14:textFill>
            <w14:solidFill>
              <w14:schemeClr w14:val="tx1"/>
            </w14:solidFill>
          </w14:textFill>
        </w:rPr>
        <w:t xml:space="preserve">BID GUARANTEE No.: </w:t>
      </w:r>
      <w:r>
        <w:rPr>
          <w:rFonts w:ascii="Times New Roman" w:hAnsi="Times New Roman" w:cs="Times New Roman"/>
          <w:i/>
          <w:color w:val="000000" w:themeColor="text1"/>
          <w:sz w:val="26"/>
          <w:szCs w:val="26"/>
          <w14:textFill>
            <w14:solidFill>
              <w14:schemeClr w14:val="tx1"/>
            </w14:solidFill>
          </w14:textFill>
        </w:rPr>
        <w:t>[Insert guarantee reference number]</w:t>
      </w:r>
    </w:p>
    <w:p w14:paraId="708C6852">
      <w:pPr>
        <w:pStyle w:val="60"/>
        <w:widowControl w:val="0"/>
        <w:spacing w:before="120" w:beforeAutospacing="0" w:after="120" w:afterAutospacing="0" w:line="264" w:lineRule="auto"/>
        <w:ind w:firstLine="567"/>
        <w:jc w:val="both"/>
        <w:rPr>
          <w:rFonts w:ascii="Times New Roman" w:hAnsi="Times New Roman" w:cs="Times New Roman"/>
          <w:b/>
          <w:color w:val="000000" w:themeColor="text1"/>
          <w:sz w:val="26"/>
          <w:szCs w:val="26"/>
          <w14:textFill>
            <w14:solidFill>
              <w14:schemeClr w14:val="tx1"/>
            </w14:solidFill>
          </w14:textFill>
        </w:rPr>
      </w:pPr>
      <w:r>
        <w:rPr>
          <w:rFonts w:ascii="Times New Roman" w:hAnsi="Times New Roman" w:cs="Times New Roman"/>
          <w:b/>
          <w:color w:val="000000" w:themeColor="text1"/>
          <w:sz w:val="26"/>
          <w:szCs w:val="26"/>
          <w14:textFill>
            <w14:solidFill>
              <w14:schemeClr w14:val="tx1"/>
            </w14:solidFill>
          </w14:textFill>
        </w:rPr>
        <w:t xml:space="preserve">Guarantor:  </w:t>
      </w:r>
      <w:r>
        <w:rPr>
          <w:rFonts w:ascii="Times New Roman" w:hAnsi="Times New Roman" w:cs="Times New Roman"/>
          <w:color w:val="000000" w:themeColor="text1"/>
          <w:sz w:val="26"/>
          <w:szCs w:val="26"/>
          <w14:textFill>
            <w14:solidFill>
              <w14:schemeClr w14:val="tx1"/>
            </w14:solidFill>
          </w14:textFill>
        </w:rPr>
        <w:t>_</w:t>
      </w:r>
      <w:r>
        <w:rPr>
          <w:rFonts w:ascii="Times New Roman" w:hAnsi="Times New Roman" w:cs="Times New Roman"/>
          <w:i/>
          <w:color w:val="000000" w:themeColor="text1"/>
          <w:sz w:val="26"/>
          <w:szCs w:val="26"/>
          <w14:textFill>
            <w14:solidFill>
              <w14:schemeClr w14:val="tx1"/>
            </w14:solidFill>
          </w14:textFill>
        </w:rPr>
        <w:t>[Insert name and address of place of issue, unless indicated in the letterhead]</w:t>
      </w:r>
    </w:p>
    <w:p w14:paraId="708C6853">
      <w:pPr>
        <w:pStyle w:val="60"/>
        <w:widowControl w:val="0"/>
        <w:spacing w:before="120" w:beforeAutospacing="0" w:after="120" w:afterAutospacing="0" w:line="264" w:lineRule="auto"/>
        <w:ind w:firstLine="567"/>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 xml:space="preserve">We have been informed that </w:t>
      </w:r>
      <w:r>
        <w:rPr>
          <w:rFonts w:ascii="Times New Roman" w:hAnsi="Times New Roman" w:cs="Times New Roman"/>
          <w:i/>
          <w:color w:val="000000" w:themeColor="text1"/>
          <w:sz w:val="26"/>
          <w:szCs w:val="26"/>
          <w14:textFill>
            <w14:solidFill>
              <w14:schemeClr w14:val="tx1"/>
            </w14:solidFill>
          </w14:textFill>
        </w:rPr>
        <w:t>[insert name of bidder]</w:t>
      </w:r>
      <w:r>
        <w:rPr>
          <w:rFonts w:ascii="Times New Roman" w:hAnsi="Times New Roman" w:cs="Times New Roman"/>
          <w:i/>
          <w:color w:val="000000" w:themeColor="text1"/>
          <w:sz w:val="26"/>
          <w:szCs w:val="26"/>
          <w:vertAlign w:val="superscript"/>
          <w14:textFill>
            <w14:solidFill>
              <w14:schemeClr w14:val="tx1"/>
            </w14:solidFill>
          </w14:textFill>
        </w:rPr>
        <w:t>(2)</w:t>
      </w:r>
      <w:r>
        <w:rPr>
          <w:rFonts w:ascii="Times New Roman" w:hAnsi="Times New Roman" w:cs="Times New Roman"/>
          <w:color w:val="000000" w:themeColor="text1"/>
          <w:sz w:val="26"/>
          <w:szCs w:val="26"/>
          <w14:textFill>
            <w14:solidFill>
              <w14:schemeClr w14:val="tx1"/>
            </w14:solidFill>
          </w14:textFill>
        </w:rPr>
        <w:t xml:space="preserve"> shall participate to carry out </w:t>
      </w:r>
      <w:r>
        <w:rPr>
          <w:rFonts w:ascii="Times New Roman" w:hAnsi="Times New Roman" w:cs="Times New Roman"/>
          <w:i/>
          <w:color w:val="000000" w:themeColor="text1"/>
          <w:sz w:val="26"/>
          <w:szCs w:val="26"/>
          <w14:textFill>
            <w14:solidFill>
              <w14:schemeClr w14:val="tx1"/>
            </w14:solidFill>
          </w14:textFill>
        </w:rPr>
        <w:t>[insert name of package]</w:t>
      </w:r>
      <w:r>
        <w:rPr>
          <w:rFonts w:ascii="Times New Roman" w:hAnsi="Times New Roman" w:cs="Times New Roman"/>
          <w:color w:val="000000" w:themeColor="text1"/>
          <w:sz w:val="26"/>
          <w:szCs w:val="26"/>
          <w14:textFill>
            <w14:solidFill>
              <w14:schemeClr w14:val="tx1"/>
            </w14:solidFill>
          </w14:textFill>
        </w:rPr>
        <w:t xml:space="preserve"> of </w:t>
      </w:r>
      <w:r>
        <w:rPr>
          <w:rFonts w:ascii="Times New Roman" w:hAnsi="Times New Roman" w:cs="Times New Roman"/>
          <w:i/>
          <w:color w:val="000000" w:themeColor="text1"/>
          <w:sz w:val="26"/>
          <w:szCs w:val="26"/>
          <w14:textFill>
            <w14:solidFill>
              <w14:schemeClr w14:val="tx1"/>
            </w14:solidFill>
          </w14:textFill>
        </w:rPr>
        <w:t>[insert name of project]</w:t>
      </w:r>
      <w:r>
        <w:rPr>
          <w:rFonts w:ascii="Times New Roman" w:hAnsi="Times New Roman" w:cs="Times New Roman"/>
          <w:color w:val="000000" w:themeColor="text1"/>
          <w:sz w:val="26"/>
          <w:szCs w:val="26"/>
          <w14:textFill>
            <w14:solidFill>
              <w14:schemeClr w14:val="tx1"/>
            </w14:solidFill>
          </w14:textFill>
        </w:rPr>
        <w:t xml:space="preserve"> according to Invitation for Bids No. </w:t>
      </w:r>
      <w:r>
        <w:rPr>
          <w:rFonts w:ascii="Times New Roman" w:hAnsi="Times New Roman" w:cs="Times New Roman"/>
          <w:i/>
          <w:color w:val="000000" w:themeColor="text1"/>
          <w:sz w:val="26"/>
          <w:szCs w:val="26"/>
          <w14:textFill>
            <w14:solidFill>
              <w14:schemeClr w14:val="tx1"/>
            </w14:solidFill>
          </w14:textFill>
        </w:rPr>
        <w:t>[Insert reference number for the Invitation for Bids].</w:t>
      </w:r>
    </w:p>
    <w:p w14:paraId="708C6854">
      <w:pPr>
        <w:pStyle w:val="60"/>
        <w:widowControl w:val="0"/>
        <w:spacing w:before="120" w:beforeAutospacing="0" w:after="120" w:afterAutospacing="0" w:line="264" w:lineRule="auto"/>
        <w:ind w:firstLine="567"/>
        <w:jc w:val="both"/>
        <w:rPr>
          <w:rFonts w:ascii="Times New Roman" w:hAnsi="Times New Roman" w:cs="Times New Roman"/>
          <w:i/>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We are committed to the Beneficiary that we guarantee to the Bidder participating this package in an amount of [</w:t>
      </w:r>
      <w:r>
        <w:rPr>
          <w:rFonts w:ascii="Times New Roman" w:hAnsi="Times New Roman" w:cs="Times New Roman"/>
          <w:i/>
          <w:color w:val="000000" w:themeColor="text1"/>
          <w:sz w:val="26"/>
          <w:szCs w:val="26"/>
          <w14:textFill>
            <w14:solidFill>
              <w14:schemeClr w14:val="tx1"/>
            </w14:solidFill>
          </w14:textFill>
        </w:rPr>
        <w:t>insert the amount in words, in figures and the currency]</w:t>
      </w:r>
    </w:p>
    <w:p w14:paraId="708C6855">
      <w:pPr>
        <w:pStyle w:val="60"/>
        <w:widowControl w:val="0"/>
        <w:spacing w:before="120" w:beforeAutospacing="0" w:after="120" w:afterAutospacing="0" w:line="264" w:lineRule="auto"/>
        <w:ind w:firstLine="567"/>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This guarantee is valid within ___</w:t>
      </w:r>
      <w:r>
        <w:rPr>
          <w:rFonts w:ascii="Times New Roman" w:hAnsi="Times New Roman" w:cs="Times New Roman"/>
          <w:color w:val="000000" w:themeColor="text1"/>
          <w:sz w:val="26"/>
          <w:szCs w:val="26"/>
          <w:vertAlign w:val="superscript"/>
          <w14:textFill>
            <w14:solidFill>
              <w14:schemeClr w14:val="tx1"/>
            </w14:solidFill>
          </w14:textFill>
        </w:rPr>
        <w:t>(3)</w:t>
      </w:r>
      <w:r>
        <w:rPr>
          <w:rFonts w:ascii="Times New Roman" w:hAnsi="Times New Roman" w:cs="Times New Roman"/>
          <w:color w:val="000000" w:themeColor="text1"/>
          <w:sz w:val="26"/>
          <w:szCs w:val="26"/>
          <w14:textFill>
            <w14:solidFill>
              <w14:schemeClr w14:val="tx1"/>
            </w14:solidFill>
          </w14:textFill>
        </w:rPr>
        <w:t xml:space="preserve"> days since date …./…./……</w:t>
      </w:r>
      <w:r>
        <w:rPr>
          <w:rFonts w:ascii="Times New Roman" w:hAnsi="Times New Roman" w:cs="Times New Roman"/>
          <w:color w:val="000000" w:themeColor="text1"/>
          <w:sz w:val="26"/>
          <w:szCs w:val="26"/>
          <w:vertAlign w:val="superscript"/>
          <w14:textFill>
            <w14:solidFill>
              <w14:schemeClr w14:val="tx1"/>
            </w14:solidFill>
          </w14:textFill>
        </w:rPr>
        <w:t>(4)</w:t>
      </w:r>
    </w:p>
    <w:p w14:paraId="708C6856">
      <w:pPr>
        <w:pStyle w:val="60"/>
        <w:ind w:firstLine="567"/>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 xml:space="preserve">At the request of the Bidder, we, as Guarantor, hereby unconditionally, irrevocably undertake to pay the Beneficiary any sum or sums not exceeding in total an amount of </w:t>
      </w:r>
      <w:r>
        <w:rPr>
          <w:rFonts w:ascii="Times New Roman" w:hAnsi="Times New Roman" w:cs="Times New Roman"/>
          <w:i/>
          <w:color w:val="000000" w:themeColor="text1"/>
          <w:sz w:val="26"/>
          <w:szCs w:val="26"/>
          <w14:textFill>
            <w14:solidFill>
              <w14:schemeClr w14:val="tx1"/>
            </w14:solidFill>
          </w14:textFill>
        </w:rPr>
        <w:t xml:space="preserve">[insert amount in words] </w:t>
      </w:r>
      <w:r>
        <w:rPr>
          <w:rFonts w:ascii="Times New Roman" w:hAnsi="Times New Roman" w:cs="Times New Roman"/>
          <w:color w:val="000000" w:themeColor="text1"/>
          <w:sz w:val="26"/>
          <w:szCs w:val="26"/>
          <w14:textFill>
            <w14:solidFill>
              <w14:schemeClr w14:val="tx1"/>
            </w14:solidFill>
          </w14:textFill>
        </w:rPr>
        <w:t>[</w:t>
      </w:r>
      <w:r>
        <w:rPr>
          <w:rFonts w:ascii="Times New Roman" w:hAnsi="Times New Roman" w:cs="Times New Roman"/>
          <w:i/>
          <w:color w:val="000000" w:themeColor="text1"/>
          <w:sz w:val="26"/>
          <w:szCs w:val="26"/>
          <w14:textFill>
            <w14:solidFill>
              <w14:schemeClr w14:val="tx1"/>
            </w14:solidFill>
          </w14:textFill>
        </w:rPr>
        <w:t>insert amount in figures</w:t>
      </w:r>
      <w:r>
        <w:rPr>
          <w:rFonts w:ascii="Times New Roman" w:hAnsi="Times New Roman" w:cs="Times New Roman"/>
          <w:color w:val="000000" w:themeColor="text1"/>
          <w:sz w:val="26"/>
          <w:szCs w:val="26"/>
          <w14:textFill>
            <w14:solidFill>
              <w14:schemeClr w14:val="tx1"/>
            </w14:solidFill>
          </w14:textFill>
        </w:rPr>
        <w:t>] upon receipt by us of the Beneficiary’s complying supported by the Beneficiary’s statement, whether in the demand itself or a separate signed document accompanying or identifying the demand, stating either that the Bidder:</w:t>
      </w:r>
    </w:p>
    <w:p w14:paraId="708C6857">
      <w:pPr>
        <w:pStyle w:val="89"/>
        <w:numPr>
          <w:ilvl w:val="0"/>
          <w:numId w:val="54"/>
        </w:numPr>
        <w:tabs>
          <w:tab w:val="clear" w:pos="972"/>
        </w:tabs>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After the deadline for submission of Bid and during the period of bid validity, the Bidder has notified in writing to withdraw its Bid or refuse to perform one or more works offered in its Bids as provisions of the BDs; or</w:t>
      </w:r>
    </w:p>
    <w:p w14:paraId="708C6858">
      <w:pPr>
        <w:pStyle w:val="89"/>
        <w:numPr>
          <w:ilvl w:val="0"/>
          <w:numId w:val="54"/>
        </w:numPr>
        <w:tabs>
          <w:tab w:val="clear" w:pos="972"/>
        </w:tabs>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bidder has violated the provisions of Article 16 of Procurement Law or violates law on bidding which leads to be cancelled bid as prescribed at Point d and đ Clause 1, Article 17 of Procurement Law</w:t>
      </w:r>
      <w:r>
        <w:rPr>
          <w:sz w:val="26"/>
          <w:szCs w:val="26"/>
        </w:rPr>
        <w:t>;</w:t>
      </w:r>
      <w:r>
        <w:rPr>
          <w:color w:val="000000" w:themeColor="text1"/>
          <w:sz w:val="26"/>
          <w:szCs w:val="26"/>
          <w14:textFill>
            <w14:solidFill>
              <w14:schemeClr w14:val="tx1"/>
            </w14:solidFill>
          </w14:textFill>
        </w:rPr>
        <w:t xml:space="preserve"> or</w:t>
      </w:r>
    </w:p>
    <w:p w14:paraId="708C6859">
      <w:pPr>
        <w:pStyle w:val="89"/>
        <w:numPr>
          <w:ilvl w:val="0"/>
          <w:numId w:val="54"/>
        </w:numPr>
        <w:tabs>
          <w:tab w:val="clear" w:pos="972"/>
        </w:tabs>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Bidder fails to furnish the performance security specified in Article 68 of the Procurement law; or</w:t>
      </w:r>
    </w:p>
    <w:p w14:paraId="708C685A">
      <w:pPr>
        <w:pStyle w:val="89"/>
        <w:numPr>
          <w:ilvl w:val="0"/>
          <w:numId w:val="54"/>
        </w:numPr>
        <w:tabs>
          <w:tab w:val="clear" w:pos="972"/>
        </w:tabs>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The bidder fails or refuses to negotiate the contract (if any), within a period of ten (10) days from the date of receipt of notification of contract negotiation issued by the Purchaser or has negotiated the contract but refuses to complete, sign the Minutes of contract negotiations, except cases of force majeure; </w:t>
      </w:r>
    </w:p>
    <w:p w14:paraId="708C685B">
      <w:pPr>
        <w:pStyle w:val="89"/>
        <w:numPr>
          <w:ilvl w:val="0"/>
          <w:numId w:val="54"/>
        </w:numPr>
        <w:tabs>
          <w:tab w:val="clear" w:pos="972"/>
        </w:tabs>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The bidder fails or refuses to complete the contract within twenty (20) days from the date of receipt of the Notification of acceptance and award contract from Purchaser, except cases of force majeure; </w:t>
      </w:r>
    </w:p>
    <w:p w14:paraId="708C685C">
      <w:pPr>
        <w:pStyle w:val="89"/>
        <w:numPr>
          <w:ilvl w:val="0"/>
          <w:numId w:val="54"/>
        </w:numPr>
        <w:tabs>
          <w:tab w:val="clear" w:pos="972"/>
        </w:tabs>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bidder fails or refuses to sign the contract within 20 days from the date of finalizing of that contract, except in cases of force majeure.</w:t>
      </w:r>
    </w:p>
    <w:p w14:paraId="708C685D">
      <w:pPr>
        <w:pStyle w:val="89"/>
        <w:numPr>
          <w:ilvl w:val="0"/>
          <w:numId w:val="54"/>
        </w:numPr>
        <w:tabs>
          <w:tab w:val="clear" w:pos="972"/>
        </w:tabs>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Any members of the Consortium___ </w:t>
      </w:r>
      <w:r>
        <w:rPr>
          <w:i/>
          <w:color w:val="000000" w:themeColor="text1"/>
          <w:sz w:val="26"/>
          <w:szCs w:val="26"/>
          <w14:textFill>
            <w14:solidFill>
              <w14:schemeClr w14:val="tx1"/>
            </w14:solidFill>
          </w14:textFill>
        </w:rPr>
        <w:t>[insert full name of the Bidder]</w:t>
      </w:r>
      <w:r>
        <w:rPr>
          <w:color w:val="000000" w:themeColor="text1"/>
          <w:sz w:val="26"/>
          <w:szCs w:val="26"/>
          <w14:textFill>
            <w14:solidFill>
              <w14:schemeClr w14:val="tx1"/>
            </w14:solidFill>
          </w14:textFill>
        </w:rPr>
        <w:t xml:space="preserve"> violates provisions of law result in no reimbursement of the Bid security as specified in ITB 18.5 then all Bid securities of all member of the Consortium shall not be reimbursed. </w:t>
      </w:r>
    </w:p>
    <w:p w14:paraId="708C685E">
      <w:pPr>
        <w:pStyle w:val="60"/>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Pr>
          <w:rFonts w:ascii="Times New Roman" w:hAnsi="Times New Roman" w:cs="Times New Roman"/>
          <w:color w:val="000000" w:themeColor="text1"/>
          <w:sz w:val="26"/>
          <w:szCs w:val="26"/>
          <w14:textFill>
            <w14:solidFill>
              <w14:schemeClr w14:val="tx1"/>
            </w14:solidFill>
          </w14:textFill>
        </w:rPr>
        <w:tab/>
      </w:r>
      <w:r>
        <w:rPr>
          <w:rFonts w:ascii="Times New Roman" w:hAnsi="Times New Roman" w:cs="Times New Roman"/>
          <w:color w:val="000000" w:themeColor="text1"/>
          <w:sz w:val="26"/>
          <w:szCs w:val="26"/>
          <w14:textFill>
            <w14:solidFill>
              <w14:schemeClr w14:val="tx1"/>
            </w14:solidFill>
          </w14:textFill>
        </w:rPr>
        <w:t xml:space="preserve">If the Bidder is the successful Bidder, </w:t>
      </w:r>
      <w:r>
        <w:rPr>
          <w:rFonts w:ascii="Times New Roman" w:hAnsi="Times New Roman" w:cs="Times New Roman"/>
          <w:sz w:val="26"/>
          <w:szCs w:val="26"/>
        </w:rPr>
        <w:t>this guarantee will expire immediately after the bidder signs the contract and submits the performance guarantee to the beneficiary as agreed in that contract.</w:t>
      </w:r>
    </w:p>
    <w:p w14:paraId="708C685F">
      <w:pPr>
        <w:pStyle w:val="60"/>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Pr>
          <w:rFonts w:ascii="Times New Roman" w:hAnsi="Times New Roman" w:cs="Times New Roman"/>
          <w:color w:val="000000" w:themeColor="text1"/>
          <w:sz w:val="26"/>
          <w:szCs w:val="26"/>
          <w14:textFill>
            <w14:solidFill>
              <w14:schemeClr w14:val="tx1"/>
            </w14:solidFill>
          </w14:textFill>
        </w:rPr>
        <w:tab/>
      </w:r>
      <w:r>
        <w:rPr>
          <w:rFonts w:ascii="Times New Roman" w:hAnsi="Times New Roman" w:cs="Times New Roman"/>
          <w:color w:val="000000" w:themeColor="text1"/>
          <w:sz w:val="26"/>
          <w:szCs w:val="26"/>
          <w14:textFill>
            <w14:solidFill>
              <w14:schemeClr w14:val="tx1"/>
            </w14:solidFill>
          </w14:textFill>
        </w:rPr>
        <w:t xml:space="preserve">If the Bidder is not the successful Bidder, </w:t>
      </w:r>
      <w:r>
        <w:rPr>
          <w:rFonts w:ascii="Times New Roman" w:hAnsi="Times New Roman" w:cs="Times New Roman"/>
          <w:sz w:val="26"/>
          <w:szCs w:val="26"/>
        </w:rPr>
        <w:t xml:space="preserve">this guarantee will expire as soon as we receive a copy of the notice of bidder selection result or within 30 days from the date of expiry of the validity period of the Bid, whichever is earlier. </w:t>
      </w:r>
    </w:p>
    <w:p w14:paraId="708C6860">
      <w:pPr>
        <w:pStyle w:val="60"/>
        <w:widowControl w:val="0"/>
        <w:tabs>
          <w:tab w:val="left" w:pos="0"/>
        </w:tabs>
        <w:spacing w:before="120" w:beforeAutospacing="0" w:after="120" w:afterAutospacing="0" w:line="264" w:lineRule="auto"/>
        <w:ind w:firstLine="567"/>
        <w:jc w:val="both"/>
        <w:rPr>
          <w:rFonts w:ascii="Times New Roman" w:hAnsi="Times New Roman" w:cs="Times New Roman"/>
          <w:sz w:val="26"/>
          <w:szCs w:val="26"/>
          <w:highlight w:val="yellow"/>
        </w:rPr>
      </w:pPr>
      <w:r>
        <w:rPr>
          <w:rFonts w:ascii="Times New Roman" w:hAnsi="Times New Roman" w:cs="Times New Roman"/>
          <w:sz w:val="26"/>
          <w:szCs w:val="26"/>
        </w:rPr>
        <w:t xml:space="preserve">Any demand for payment under this guarantee must be received by us at our office before or within the last validity date of this guarantee. We unconditionally and irrevocably undertake to pay to the Purchaser any amount of the above guarantee upon the Purchaser's claim for compensation. </w:t>
      </w:r>
    </w:p>
    <w:tbl>
      <w:tblPr>
        <w:tblStyle w:val="12"/>
        <w:tblW w:w="5811" w:type="dxa"/>
        <w:tblInd w:w="3369" w:type="dxa"/>
        <w:tblLayout w:type="autofit"/>
        <w:tblCellMar>
          <w:top w:w="0" w:type="dxa"/>
          <w:left w:w="108" w:type="dxa"/>
          <w:bottom w:w="0" w:type="dxa"/>
          <w:right w:w="108" w:type="dxa"/>
        </w:tblCellMar>
      </w:tblPr>
      <w:tblGrid>
        <w:gridCol w:w="5811"/>
      </w:tblGrid>
      <w:tr w14:paraId="708C6864">
        <w:tblPrEx>
          <w:tblCellMar>
            <w:top w:w="0" w:type="dxa"/>
            <w:left w:w="108" w:type="dxa"/>
            <w:bottom w:w="0" w:type="dxa"/>
            <w:right w:w="108" w:type="dxa"/>
          </w:tblCellMar>
        </w:tblPrEx>
        <w:trPr>
          <w:trHeight w:val="1238" w:hRule="atLeast"/>
        </w:trPr>
        <w:tc>
          <w:tcPr>
            <w:tcW w:w="5811" w:type="dxa"/>
          </w:tcPr>
          <w:p w14:paraId="708C6861">
            <w:pPr>
              <w:pStyle w:val="15"/>
              <w:widowControl w:val="0"/>
              <w:spacing w:before="120" w:line="264" w:lineRule="auto"/>
              <w:ind w:firstLine="567"/>
              <w:jc w:val="right"/>
              <w:rPr>
                <w:b/>
                <w:color w:val="000000" w:themeColor="text1"/>
                <w:sz w:val="26"/>
                <w:szCs w:val="26"/>
                <w:vertAlign w:val="superscript"/>
                <w14:textFill>
                  <w14:solidFill>
                    <w14:schemeClr w14:val="tx1"/>
                  </w14:solidFill>
                </w14:textFill>
              </w:rPr>
            </w:pPr>
            <w:r>
              <w:rPr>
                <w:b/>
                <w:color w:val="000000" w:themeColor="text1"/>
                <w:sz w:val="26"/>
                <w:szCs w:val="26"/>
                <w14:textFill>
                  <w14:solidFill>
                    <w14:schemeClr w14:val="tx1"/>
                  </w14:solidFill>
                </w14:textFill>
              </w:rPr>
              <w:t>Legal representative of the Bank</w:t>
            </w:r>
            <w:r>
              <w:rPr>
                <w:b/>
                <w:color w:val="000000" w:themeColor="text1"/>
                <w:sz w:val="26"/>
                <w:szCs w:val="26"/>
                <w:vertAlign w:val="superscript"/>
                <w14:textFill>
                  <w14:solidFill>
                    <w14:schemeClr w14:val="tx1"/>
                  </w14:solidFill>
                </w14:textFill>
              </w:rPr>
              <w:t>(6)</w:t>
            </w:r>
          </w:p>
          <w:p w14:paraId="708C6862">
            <w:pPr>
              <w:pStyle w:val="15"/>
              <w:widowControl w:val="0"/>
              <w:spacing w:before="120" w:line="264" w:lineRule="auto"/>
              <w:ind w:firstLine="567"/>
              <w:jc w:val="right"/>
              <w:rPr>
                <w:b/>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(Full name, position, signature and seal)</w:t>
            </w:r>
          </w:p>
          <w:p w14:paraId="708C6863">
            <w:pPr>
              <w:pStyle w:val="60"/>
              <w:widowControl w:val="0"/>
              <w:spacing w:before="120" w:beforeAutospacing="0" w:after="120" w:afterAutospacing="0" w:line="264" w:lineRule="auto"/>
              <w:ind w:firstLine="567"/>
              <w:jc w:val="both"/>
              <w:outlineLvl w:val="0"/>
              <w:rPr>
                <w:rFonts w:ascii="Times New Roman" w:hAnsi="Times New Roman" w:cs="Times New Roman"/>
                <w:color w:val="000000" w:themeColor="text1"/>
                <w:sz w:val="26"/>
                <w:szCs w:val="26"/>
                <w14:textFill>
                  <w14:solidFill>
                    <w14:schemeClr w14:val="tx1"/>
                  </w14:solidFill>
                </w14:textFill>
              </w:rPr>
            </w:pPr>
          </w:p>
        </w:tc>
      </w:tr>
    </w:tbl>
    <w:p w14:paraId="708C6865">
      <w:pPr>
        <w:pStyle w:val="15"/>
        <w:widowControl w:val="0"/>
        <w:shd w:val="clear" w:color="auto" w:fill="FFFFFF"/>
        <w:spacing w:before="120" w:after="0" w:line="240" w:lineRule="auto"/>
        <w:ind w:firstLine="567"/>
        <w:rPr>
          <w:color w:val="000000" w:themeColor="text1"/>
          <w:sz w:val="26"/>
          <w:szCs w:val="26"/>
          <w:u w:val="single"/>
          <w14:textFill>
            <w14:solidFill>
              <w14:schemeClr w14:val="tx1"/>
            </w14:solidFill>
          </w14:textFill>
        </w:rPr>
      </w:pPr>
      <w:r>
        <w:rPr>
          <w:color w:val="000000" w:themeColor="text1"/>
          <w:sz w:val="26"/>
          <w:szCs w:val="26"/>
          <w:u w:val="single"/>
          <w14:textFill>
            <w14:solidFill>
              <w14:schemeClr w14:val="tx1"/>
            </w14:solidFill>
          </w14:textFill>
        </w:rPr>
        <w:t>Notes:</w:t>
      </w:r>
    </w:p>
    <w:p w14:paraId="708C6866">
      <w:pPr>
        <w:pStyle w:val="15"/>
        <w:widowControl w:val="0"/>
        <w:numPr>
          <w:ilvl w:val="0"/>
          <w:numId w:val="55"/>
        </w:numPr>
        <w:shd w:val="clear" w:color="auto" w:fill="FFFFFF"/>
        <w:spacing w:before="120" w:after="0" w:line="240" w:lineRule="auto"/>
        <w:ind w:firstLine="567"/>
        <w:jc w:val="both"/>
        <w:rPr>
          <w:color w:val="000000" w:themeColor="text1"/>
          <w:sz w:val="26"/>
          <w:szCs w:val="26"/>
          <w14:textFill>
            <w14:solidFill>
              <w14:schemeClr w14:val="tx1"/>
            </w14:solidFill>
          </w14:textFill>
        </w:rPr>
      </w:pPr>
      <w:r>
        <w:rPr>
          <w:sz w:val="26"/>
          <w:szCs w:val="26"/>
        </w:rPr>
        <w:t xml:space="preserve">Applicable in cases where the bid security is the letter of guarantee from a domestic credit institution, a foreign bank branch established under Vietnamese law or a guarantee insurance certificate issued by the domestic non-life insurance enterprises, branches of foreign non-life insurance enterprises established under Vietnamese law. Banks and non-life insurers are encouraged to use this form. </w:t>
      </w:r>
      <w:r>
        <w:rPr>
          <w:color w:val="000000" w:themeColor="text1"/>
          <w:sz w:val="26"/>
          <w:szCs w:val="26"/>
          <w14:textFill>
            <w14:solidFill>
              <w14:schemeClr w14:val="tx1"/>
            </w14:solidFill>
          </w14:textFill>
        </w:rPr>
        <w:t xml:space="preserve">In case the bid security violates one of the cases such as: has a lower value, has a shorter validity period than that specified in ITB 18.2, does not match the beneficiary's name, is not the original, there is no valid signature, must not be signed before the Purchaser issues the BDs, </w:t>
      </w:r>
      <w:r>
        <w:rPr>
          <w:sz w:val="26"/>
          <w:szCs w:val="26"/>
        </w:rPr>
        <w:t>must not be signed before the time of signing the consortium agreement</w:t>
      </w:r>
      <w:r>
        <w:rPr>
          <w:color w:val="000000" w:themeColor="text1"/>
          <w:sz w:val="26"/>
          <w:szCs w:val="26"/>
          <w14:textFill>
            <w14:solidFill>
              <w14:schemeClr w14:val="tx1"/>
            </w14:solidFill>
          </w14:textFill>
        </w:rPr>
        <w:t xml:space="preserve">, must not be accompanied by conditions that are unfavorable to the </w:t>
      </w:r>
      <w:r>
        <w:rPr>
          <w:color w:val="000000" w:themeColor="text1"/>
          <w:spacing w:val="3"/>
          <w:sz w:val="26"/>
          <w:szCs w:val="26"/>
          <w:shd w:val="clear" w:color="auto" w:fill="E5EFFF"/>
          <w14:textFill>
            <w14:solidFill>
              <w14:schemeClr w14:val="tx1"/>
            </w14:solidFill>
          </w14:textFill>
        </w:rPr>
        <w:t>Purchaser, t</w:t>
      </w:r>
      <w:r>
        <w:rPr>
          <w:color w:val="000000" w:themeColor="text1"/>
          <w:sz w:val="26"/>
          <w:szCs w:val="26"/>
          <w14:textFill>
            <w14:solidFill>
              <w14:schemeClr w14:val="tx1"/>
            </w14:solidFill>
          </w14:textFill>
        </w:rPr>
        <w:t xml:space="preserve">he bid security is considered invalid. </w:t>
      </w:r>
    </w:p>
    <w:p w14:paraId="708C6867">
      <w:pPr>
        <w:pStyle w:val="15"/>
        <w:widowControl w:val="0"/>
        <w:shd w:val="clear" w:color="auto" w:fill="FFFFFF"/>
        <w:spacing w:before="120" w:after="0" w:line="240" w:lineRule="auto"/>
        <w:ind w:firstLine="567"/>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 The name of bidder may be one of the following cases:</w:t>
      </w:r>
    </w:p>
    <w:p w14:paraId="708C6868">
      <w:pPr>
        <w:pStyle w:val="15"/>
        <w:widowControl w:val="0"/>
        <w:shd w:val="clear" w:color="auto" w:fill="FFFFFF"/>
        <w:spacing w:before="120" w:after="0" w:line="240" w:lineRule="auto"/>
        <w:ind w:firstLine="567"/>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Name of consortium, e.g. “Consortium of A + B”;</w:t>
      </w:r>
    </w:p>
    <w:p w14:paraId="708C6869">
      <w:pPr>
        <w:pStyle w:val="15"/>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Name of the member who is responsible to arrange the bid security for the entire consortium, e.g. The Consortium of A + B + C participates in bidding, in case the consortium agreement assigns to bidder A be responsible for arranging the bid security for the entire consortium, then the name of bidder is “A (on behalf of the consortium of A + B + C)”; in case of the consortium agreement assigns bidder B be responsible for arranging the bid security for bidders C and B, then the name of bidder is “B (on behalf of the bidders B and C)”;</w:t>
      </w:r>
    </w:p>
    <w:p w14:paraId="708C686A">
      <w:pPr>
        <w:pStyle w:val="15"/>
        <w:widowControl w:val="0"/>
        <w:shd w:val="clear" w:color="auto" w:fill="FFFFFF"/>
        <w:spacing w:before="120" w:after="0" w:line="240" w:lineRule="auto"/>
        <w:ind w:firstLine="567"/>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 Name of the member of consortium who arranges separate bid security. </w:t>
      </w:r>
    </w:p>
    <w:p w14:paraId="708C686B">
      <w:pPr>
        <w:pStyle w:val="15"/>
        <w:widowControl w:val="0"/>
        <w:shd w:val="clear" w:color="auto" w:fill="FFFFFF"/>
        <w:spacing w:before="120" w:after="0" w:line="240" w:lineRule="auto"/>
        <w:ind w:firstLine="567"/>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(3) Insert according to BDS.ITB 18.2.  </w:t>
      </w:r>
    </w:p>
    <w:p w14:paraId="708C686C">
      <w:pPr>
        <w:widowControl w:val="0"/>
        <w:shd w:val="clear" w:color="auto" w:fill="FFFFFF"/>
        <w:spacing w:before="120" w:after="0" w:line="240" w:lineRule="auto"/>
        <w:ind w:firstLine="567"/>
        <w:jc w:val="both"/>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(4) Insert the deadline for submission of bid according to ITB 21.1. </w:t>
      </w:r>
    </w:p>
    <w:p w14:paraId="708C686D">
      <w:pPr>
        <w:pStyle w:val="15"/>
        <w:widowControl w:val="0"/>
        <w:shd w:val="clear" w:color="auto" w:fill="FFFFFF"/>
        <w:spacing w:before="120" w:after="0" w:line="240"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(5) In case the bid security lacks one or several commitments in the above commitments, it is considered as an unfavorable condition for the Purchaser and the Purchaser according to the provisions of ITB 18.3 and the Bid Security is considered invalid.</w:t>
      </w:r>
    </w:p>
    <w:p w14:paraId="708C686E">
      <w:pPr>
        <w:widowControl w:val="0"/>
        <w:spacing w:before="120" w:after="120" w:line="264" w:lineRule="auto"/>
        <w:ind w:firstLine="567"/>
        <w:jc w:val="both"/>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(6) In case of using the Certificate of Guarantee Insurance, write "Legal representative of the insurance enterprise".</w:t>
      </w:r>
    </w:p>
    <w:p w14:paraId="708C686F">
      <w:pPr>
        <w:pStyle w:val="343"/>
        <w:shd w:val="clear" w:color="auto" w:fill="FFFFFF"/>
        <w:jc w:val="right"/>
        <w:outlineLvl w:val="2"/>
        <w:rPr>
          <w:color w:val="000000" w:themeColor="text1"/>
          <w:sz w:val="26"/>
          <w:szCs w:val="26"/>
          <w14:textFill>
            <w14:solidFill>
              <w14:schemeClr w14:val="tx1"/>
            </w14:solidFill>
          </w14:textFill>
        </w:rPr>
      </w:pPr>
    </w:p>
    <w:p w14:paraId="708C6870">
      <w:pPr>
        <w:pStyle w:val="343"/>
        <w:shd w:val="clear" w:color="auto" w:fill="FFFFFF"/>
        <w:jc w:val="right"/>
        <w:outlineLvl w:val="2"/>
        <w:rPr>
          <w:color w:val="000000" w:themeColor="text1"/>
          <w:sz w:val="26"/>
          <w:szCs w:val="26"/>
          <w14:textFill>
            <w14:solidFill>
              <w14:schemeClr w14:val="tx1"/>
            </w14:solidFill>
          </w14:textFill>
        </w:rPr>
      </w:pPr>
    </w:p>
    <w:p w14:paraId="708C6871">
      <w:pPr>
        <w:pStyle w:val="343"/>
        <w:shd w:val="clear" w:color="auto" w:fill="FFFFFF"/>
        <w:jc w:val="right"/>
        <w:outlineLvl w:val="2"/>
        <w:rPr>
          <w:color w:val="000000" w:themeColor="text1"/>
          <w:sz w:val="26"/>
          <w:szCs w:val="26"/>
          <w14:textFill>
            <w14:solidFill>
              <w14:schemeClr w14:val="tx1"/>
            </w14:solidFill>
          </w14:textFill>
        </w:rPr>
      </w:pPr>
    </w:p>
    <w:p w14:paraId="708C6872">
      <w:pPr>
        <w:pStyle w:val="343"/>
        <w:shd w:val="clear" w:color="auto" w:fill="FFFFFF"/>
        <w:jc w:val="right"/>
        <w:outlineLvl w:val="2"/>
        <w:rPr>
          <w:color w:val="000000" w:themeColor="text1"/>
          <w:sz w:val="26"/>
          <w:szCs w:val="26"/>
          <w14:textFill>
            <w14:solidFill>
              <w14:schemeClr w14:val="tx1"/>
            </w14:solidFill>
          </w14:textFill>
        </w:rPr>
      </w:pPr>
    </w:p>
    <w:p w14:paraId="708C6873">
      <w:pPr>
        <w:pStyle w:val="343"/>
        <w:shd w:val="clear" w:color="auto" w:fill="FFFFFF"/>
        <w:jc w:val="right"/>
        <w:outlineLvl w:val="2"/>
        <w:rPr>
          <w:color w:val="000000" w:themeColor="text1"/>
          <w:sz w:val="26"/>
          <w:szCs w:val="26"/>
          <w14:textFill>
            <w14:solidFill>
              <w14:schemeClr w14:val="tx1"/>
            </w14:solidFill>
          </w14:textFill>
        </w:rPr>
      </w:pPr>
    </w:p>
    <w:p w14:paraId="708C6874">
      <w:pPr>
        <w:pStyle w:val="343"/>
        <w:shd w:val="clear" w:color="auto" w:fill="FFFFFF"/>
        <w:jc w:val="right"/>
        <w:outlineLvl w:val="2"/>
        <w:rPr>
          <w:color w:val="000000" w:themeColor="text1"/>
          <w:sz w:val="26"/>
          <w:szCs w:val="26"/>
          <w14:textFill>
            <w14:solidFill>
              <w14:schemeClr w14:val="tx1"/>
            </w14:solidFill>
          </w14:textFill>
        </w:rPr>
      </w:pPr>
    </w:p>
    <w:p w14:paraId="708C6875">
      <w:pPr>
        <w:pStyle w:val="343"/>
        <w:shd w:val="clear" w:color="auto" w:fill="FFFFFF"/>
        <w:jc w:val="right"/>
        <w:outlineLvl w:val="2"/>
        <w:rPr>
          <w:color w:val="000000" w:themeColor="text1"/>
          <w:sz w:val="26"/>
          <w:szCs w:val="26"/>
          <w14:textFill>
            <w14:solidFill>
              <w14:schemeClr w14:val="tx1"/>
            </w14:solidFill>
          </w14:textFill>
        </w:rPr>
      </w:pPr>
    </w:p>
    <w:p w14:paraId="708C6876">
      <w:pPr>
        <w:pStyle w:val="343"/>
        <w:shd w:val="clear" w:color="auto" w:fill="FFFFFF"/>
        <w:jc w:val="right"/>
        <w:outlineLvl w:val="2"/>
        <w:rPr>
          <w:color w:val="000000" w:themeColor="text1"/>
          <w:sz w:val="26"/>
          <w:szCs w:val="26"/>
          <w14:textFill>
            <w14:solidFill>
              <w14:schemeClr w14:val="tx1"/>
            </w14:solidFill>
          </w14:textFill>
        </w:rPr>
      </w:pPr>
    </w:p>
    <w:p w14:paraId="708C6877">
      <w:pPr>
        <w:pStyle w:val="343"/>
        <w:shd w:val="clear" w:color="auto" w:fill="FFFFFF"/>
        <w:jc w:val="right"/>
        <w:outlineLvl w:val="2"/>
        <w:rPr>
          <w:color w:val="000000" w:themeColor="text1"/>
          <w:sz w:val="26"/>
          <w:szCs w:val="26"/>
          <w14:textFill>
            <w14:solidFill>
              <w14:schemeClr w14:val="tx1"/>
            </w14:solidFill>
          </w14:textFill>
        </w:rPr>
      </w:pPr>
    </w:p>
    <w:p w14:paraId="708C6878">
      <w:pPr>
        <w:pStyle w:val="343"/>
        <w:shd w:val="clear" w:color="auto" w:fill="FFFFFF"/>
        <w:jc w:val="right"/>
        <w:outlineLvl w:val="2"/>
        <w:rPr>
          <w:color w:val="000000" w:themeColor="text1"/>
          <w:sz w:val="26"/>
          <w:szCs w:val="26"/>
          <w14:textFill>
            <w14:solidFill>
              <w14:schemeClr w14:val="tx1"/>
            </w14:solidFill>
          </w14:textFill>
        </w:rPr>
      </w:pPr>
    </w:p>
    <w:p w14:paraId="708C6879">
      <w:pPr>
        <w:pStyle w:val="343"/>
        <w:shd w:val="clear" w:color="auto" w:fill="FFFFFF"/>
        <w:jc w:val="right"/>
        <w:outlineLvl w:val="2"/>
        <w:rPr>
          <w:color w:val="000000" w:themeColor="text1"/>
          <w:sz w:val="26"/>
          <w:szCs w:val="26"/>
          <w14:textFill>
            <w14:solidFill>
              <w14:schemeClr w14:val="tx1"/>
            </w14:solidFill>
          </w14:textFill>
        </w:rPr>
      </w:pPr>
    </w:p>
    <w:p w14:paraId="708C687A">
      <w:pPr>
        <w:pStyle w:val="343"/>
        <w:shd w:val="clear" w:color="auto" w:fill="FFFFFF"/>
        <w:jc w:val="right"/>
        <w:outlineLvl w:val="2"/>
        <w:rPr>
          <w:color w:val="000000" w:themeColor="text1"/>
          <w:sz w:val="26"/>
          <w:szCs w:val="26"/>
          <w14:textFill>
            <w14:solidFill>
              <w14:schemeClr w14:val="tx1"/>
            </w14:solidFill>
          </w14:textFill>
        </w:rPr>
      </w:pPr>
    </w:p>
    <w:p w14:paraId="708C687B">
      <w:pPr>
        <w:pStyle w:val="343"/>
        <w:shd w:val="clear" w:color="auto" w:fill="FFFFFF"/>
        <w:jc w:val="right"/>
        <w:outlineLvl w:val="2"/>
        <w:rPr>
          <w:color w:val="000000" w:themeColor="text1"/>
          <w:sz w:val="26"/>
          <w:szCs w:val="26"/>
          <w14:textFill>
            <w14:solidFill>
              <w14:schemeClr w14:val="tx1"/>
            </w14:solidFill>
          </w14:textFill>
        </w:rPr>
      </w:pPr>
    </w:p>
    <w:p w14:paraId="708C687C">
      <w:pPr>
        <w:pStyle w:val="343"/>
        <w:shd w:val="clear" w:color="auto" w:fill="FFFFFF"/>
        <w:jc w:val="right"/>
        <w:outlineLvl w:val="2"/>
        <w:rPr>
          <w:color w:val="000000" w:themeColor="text1"/>
          <w:sz w:val="26"/>
          <w:szCs w:val="26"/>
          <w14:textFill>
            <w14:solidFill>
              <w14:schemeClr w14:val="tx1"/>
            </w14:solidFill>
          </w14:textFill>
        </w:rPr>
      </w:pPr>
    </w:p>
    <w:p w14:paraId="708C687D">
      <w:pPr>
        <w:pStyle w:val="343"/>
        <w:shd w:val="clear" w:color="auto" w:fill="FFFFFF"/>
        <w:jc w:val="right"/>
        <w:outlineLvl w:val="2"/>
        <w:rPr>
          <w:color w:val="000000" w:themeColor="text1"/>
          <w:sz w:val="26"/>
          <w:szCs w:val="26"/>
          <w14:textFill>
            <w14:solidFill>
              <w14:schemeClr w14:val="tx1"/>
            </w14:solidFill>
          </w14:textFill>
        </w:rPr>
      </w:pPr>
    </w:p>
    <w:p w14:paraId="708C687E">
      <w:pPr>
        <w:pStyle w:val="343"/>
        <w:shd w:val="clear" w:color="auto" w:fill="FFFFFF"/>
        <w:jc w:val="right"/>
        <w:outlineLvl w:val="2"/>
        <w:rPr>
          <w:color w:val="000000" w:themeColor="text1"/>
          <w:sz w:val="26"/>
          <w:szCs w:val="26"/>
          <w14:textFill>
            <w14:solidFill>
              <w14:schemeClr w14:val="tx1"/>
            </w14:solidFill>
          </w14:textFill>
        </w:rPr>
      </w:pPr>
    </w:p>
    <w:p w14:paraId="708C687F">
      <w:pPr>
        <w:pStyle w:val="343"/>
        <w:shd w:val="clear" w:color="auto" w:fill="FFFFFF"/>
        <w:jc w:val="right"/>
        <w:outlineLvl w:val="2"/>
        <w:rPr>
          <w:color w:val="000000" w:themeColor="text1"/>
          <w:sz w:val="26"/>
          <w:szCs w:val="26"/>
          <w14:textFill>
            <w14:solidFill>
              <w14:schemeClr w14:val="tx1"/>
            </w14:solidFill>
          </w14:textFill>
        </w:rPr>
      </w:pPr>
    </w:p>
    <w:p w14:paraId="708C6880">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br w:type="page"/>
      </w:r>
    </w:p>
    <w:p w14:paraId="708C6881">
      <w:pPr>
        <w:pStyle w:val="343"/>
        <w:shd w:val="clear" w:color="auto" w:fill="FFFFFF"/>
        <w:jc w:val="right"/>
        <w:outlineLvl w:val="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Form 5</w:t>
      </w:r>
    </w:p>
    <w:p w14:paraId="708C6882">
      <w:pPr>
        <w:shd w:val="clear" w:color="auto" w:fill="FFFFFF"/>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SUMMARY OF BID PRICE</w:t>
      </w:r>
    </w:p>
    <w:p w14:paraId="708C6883">
      <w:pPr>
        <w:numPr>
          <w:ilvl w:val="0"/>
          <w:numId w:val="56"/>
        </w:numPr>
        <w:shd w:val="clear" w:color="auto" w:fill="FFFFFF"/>
        <w:jc w:val="both"/>
        <w:rPr>
          <w:b/>
          <w:i/>
          <w:iCs/>
          <w:color w:val="000000" w:themeColor="text1"/>
          <w:sz w:val="26"/>
          <w:szCs w:val="26"/>
          <w14:textFill>
            <w14:solidFill>
              <w14:schemeClr w14:val="tx1"/>
            </w14:solidFill>
          </w14:textFill>
        </w:rPr>
      </w:pPr>
      <w:r>
        <w:rPr>
          <w:b/>
          <w:i/>
          <w:iCs/>
          <w:color w:val="000000" w:themeColor="text1"/>
          <w:sz w:val="26"/>
          <w:szCs w:val="26"/>
          <w14:textFill>
            <w14:solidFill>
              <w14:schemeClr w14:val="tx1"/>
            </w14:solidFill>
          </w14:textFill>
        </w:rPr>
        <w:t>For Lump-sum Contract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5469"/>
        <w:gridCol w:w="3084"/>
      </w:tblGrid>
      <w:tr w14:paraId="708C6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vAlign w:val="center"/>
          </w:tcPr>
          <w:p w14:paraId="708C6884">
            <w:pPr>
              <w:shd w:val="clear" w:color="auto" w:fill="FFFFFF"/>
              <w:spacing w:before="120" w:after="120" w:line="264" w:lineRule="auto"/>
              <w:jc w:val="center"/>
              <w:rPr>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No.</w:t>
            </w:r>
          </w:p>
        </w:tc>
        <w:tc>
          <w:tcPr>
            <w:tcW w:w="5469" w:type="dxa"/>
            <w:vAlign w:val="center"/>
          </w:tcPr>
          <w:p w14:paraId="708C6885">
            <w:pPr>
              <w:shd w:val="clear" w:color="auto" w:fill="FFFFFF"/>
              <w:spacing w:before="120" w:after="120" w:line="264" w:lineRule="auto"/>
              <w:jc w:val="center"/>
              <w:rPr>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Contents</w:t>
            </w:r>
          </w:p>
        </w:tc>
        <w:tc>
          <w:tcPr>
            <w:tcW w:w="3084" w:type="dxa"/>
            <w:vAlign w:val="center"/>
          </w:tcPr>
          <w:p w14:paraId="708C6886">
            <w:pPr>
              <w:shd w:val="clear" w:color="auto" w:fill="FFFFFF"/>
              <w:spacing w:before="120" w:after="120" w:line="264" w:lineRule="auto"/>
              <w:jc w:val="center"/>
              <w:rPr>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Bid Price</w:t>
            </w:r>
          </w:p>
        </w:tc>
      </w:tr>
      <w:tr w14:paraId="708C6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vAlign w:val="center"/>
          </w:tcPr>
          <w:p w14:paraId="708C6888">
            <w:pPr>
              <w:shd w:val="clear" w:color="auto" w:fill="FFFFFF"/>
              <w:spacing w:before="120" w:after="120" w:line="264"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w:t>
            </w:r>
          </w:p>
        </w:tc>
        <w:tc>
          <w:tcPr>
            <w:tcW w:w="5469" w:type="dxa"/>
            <w:vAlign w:val="center"/>
          </w:tcPr>
          <w:p w14:paraId="708C6889">
            <w:pPr>
              <w:shd w:val="clear" w:color="auto" w:fill="FFFFFF"/>
              <w:spacing w:before="120" w:after="120" w:line="264"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Goods manufactured or processed within Vietnam </w:t>
            </w:r>
          </w:p>
        </w:tc>
        <w:tc>
          <w:tcPr>
            <w:tcW w:w="3084" w:type="dxa"/>
            <w:vAlign w:val="center"/>
          </w:tcPr>
          <w:p w14:paraId="708C688A">
            <w:pPr>
              <w:shd w:val="clear" w:color="auto" w:fill="FFFFFF"/>
              <w:spacing w:before="120" w:after="120" w:line="264"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w:t>
            </w:r>
            <w:r>
              <w:rPr>
                <w:color w:val="000000" w:themeColor="text1"/>
                <w:sz w:val="26"/>
                <w:szCs w:val="26"/>
                <w:vertAlign w:val="subscript"/>
                <w14:textFill>
                  <w14:solidFill>
                    <w14:schemeClr w14:val="tx1"/>
                  </w14:solidFill>
                </w14:textFill>
              </w:rPr>
              <w:t>1</w:t>
            </w:r>
            <w:r>
              <w:rPr>
                <w:color w:val="000000" w:themeColor="text1"/>
                <w:sz w:val="26"/>
                <w:szCs w:val="26"/>
                <w14:textFill>
                  <w14:solidFill>
                    <w14:schemeClr w14:val="tx1"/>
                  </w14:solidFill>
                </w14:textFill>
              </w:rPr>
              <w:t>)</w:t>
            </w:r>
          </w:p>
        </w:tc>
      </w:tr>
      <w:tr w14:paraId="708C6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vAlign w:val="center"/>
          </w:tcPr>
          <w:p w14:paraId="708C688C">
            <w:pPr>
              <w:shd w:val="clear" w:color="auto" w:fill="FFFFFF"/>
              <w:spacing w:before="120" w:after="120" w:line="264"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w:t>
            </w:r>
          </w:p>
        </w:tc>
        <w:tc>
          <w:tcPr>
            <w:tcW w:w="5469" w:type="dxa"/>
            <w:vAlign w:val="center"/>
          </w:tcPr>
          <w:p w14:paraId="708C688D">
            <w:pPr>
              <w:shd w:val="clear" w:color="auto" w:fill="FFFFFF"/>
              <w:spacing w:before="120" w:after="120" w:line="264"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Goods manufactured or processed from abroad, already imported within Vietnam </w:t>
            </w:r>
          </w:p>
        </w:tc>
        <w:tc>
          <w:tcPr>
            <w:tcW w:w="3084" w:type="dxa"/>
            <w:vAlign w:val="center"/>
          </w:tcPr>
          <w:p w14:paraId="708C688E">
            <w:pPr>
              <w:shd w:val="clear" w:color="auto" w:fill="FFFFFF"/>
              <w:spacing w:before="120" w:after="120" w:line="264"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w:t>
            </w:r>
            <w:r>
              <w:rPr>
                <w:color w:val="000000" w:themeColor="text1"/>
                <w:sz w:val="26"/>
                <w:szCs w:val="26"/>
                <w:vertAlign w:val="subscript"/>
                <w14:textFill>
                  <w14:solidFill>
                    <w14:schemeClr w14:val="tx1"/>
                  </w14:solidFill>
                </w14:textFill>
              </w:rPr>
              <w:t>2</w:t>
            </w:r>
            <w:r>
              <w:rPr>
                <w:color w:val="000000" w:themeColor="text1"/>
                <w:sz w:val="26"/>
                <w:szCs w:val="26"/>
                <w14:textFill>
                  <w14:solidFill>
                    <w14:schemeClr w14:val="tx1"/>
                  </w14:solidFill>
                </w14:textFill>
              </w:rPr>
              <w:t>)</w:t>
            </w:r>
          </w:p>
        </w:tc>
      </w:tr>
      <w:tr w14:paraId="708C6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vAlign w:val="center"/>
          </w:tcPr>
          <w:p w14:paraId="708C6890">
            <w:pPr>
              <w:shd w:val="clear" w:color="auto" w:fill="FFFFFF"/>
              <w:spacing w:before="120" w:after="120" w:line="264"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3</w:t>
            </w:r>
          </w:p>
        </w:tc>
        <w:tc>
          <w:tcPr>
            <w:tcW w:w="5469" w:type="dxa"/>
            <w:vAlign w:val="center"/>
          </w:tcPr>
          <w:p w14:paraId="708C6891">
            <w:pPr>
              <w:shd w:val="clear" w:color="auto" w:fill="FFFFFF"/>
              <w:spacing w:before="120" w:after="120" w:line="264"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Goods manufactured or processed from abroad, to be imported</w:t>
            </w:r>
          </w:p>
        </w:tc>
        <w:tc>
          <w:tcPr>
            <w:tcW w:w="3084" w:type="dxa"/>
            <w:vAlign w:val="center"/>
          </w:tcPr>
          <w:p w14:paraId="708C6892">
            <w:pPr>
              <w:shd w:val="clear" w:color="auto" w:fill="FFFFFF"/>
              <w:spacing w:before="120" w:after="120" w:line="264"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(M</w:t>
            </w:r>
            <w:r>
              <w:rPr>
                <w:color w:val="000000" w:themeColor="text1"/>
                <w:sz w:val="26"/>
                <w:szCs w:val="26"/>
                <w:vertAlign w:val="subscript"/>
                <w14:textFill>
                  <w14:solidFill>
                    <w14:schemeClr w14:val="tx1"/>
                  </w14:solidFill>
                </w14:textFill>
              </w:rPr>
              <w:t>3</w:t>
            </w:r>
            <w:r>
              <w:rPr>
                <w:color w:val="000000" w:themeColor="text1"/>
                <w:sz w:val="26"/>
                <w:szCs w:val="26"/>
                <w14:textFill>
                  <w14:solidFill>
                    <w14:schemeClr w14:val="tx1"/>
                  </w14:solidFill>
                </w14:textFill>
              </w:rPr>
              <w:t>)</w:t>
            </w:r>
          </w:p>
        </w:tc>
      </w:tr>
      <w:tr w14:paraId="708C6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vAlign w:val="center"/>
          </w:tcPr>
          <w:p w14:paraId="708C6894">
            <w:pPr>
              <w:shd w:val="clear" w:color="auto" w:fill="FFFFFF"/>
              <w:spacing w:before="120" w:after="120" w:line="264"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4</w:t>
            </w:r>
          </w:p>
        </w:tc>
        <w:tc>
          <w:tcPr>
            <w:tcW w:w="5469" w:type="dxa"/>
            <w:vAlign w:val="center"/>
          </w:tcPr>
          <w:p w14:paraId="708C6895">
            <w:pPr>
              <w:shd w:val="clear" w:color="auto" w:fill="FFFFFF"/>
              <w:spacing w:before="120" w:after="120" w:line="264"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Related services </w:t>
            </w:r>
          </w:p>
        </w:tc>
        <w:tc>
          <w:tcPr>
            <w:tcW w:w="3084" w:type="dxa"/>
            <w:vAlign w:val="center"/>
          </w:tcPr>
          <w:p w14:paraId="708C6896">
            <w:pPr>
              <w:shd w:val="clear" w:color="auto" w:fill="FFFFFF"/>
              <w:spacing w:before="120" w:after="120" w:line="264"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(I)</w:t>
            </w:r>
          </w:p>
        </w:tc>
      </w:tr>
      <w:tr w14:paraId="708C6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vAlign w:val="center"/>
          </w:tcPr>
          <w:p w14:paraId="708C6898">
            <w:pPr>
              <w:shd w:val="clear" w:color="auto" w:fill="FFFFFF"/>
              <w:spacing w:before="120" w:after="120" w:line="264" w:lineRule="auto"/>
              <w:jc w:val="both"/>
              <w:rPr>
                <w:color w:val="000000" w:themeColor="text1"/>
                <w:sz w:val="26"/>
                <w:szCs w:val="26"/>
                <w14:textFill>
                  <w14:solidFill>
                    <w14:schemeClr w14:val="tx1"/>
                  </w14:solidFill>
                </w14:textFill>
              </w:rPr>
            </w:pPr>
          </w:p>
        </w:tc>
        <w:tc>
          <w:tcPr>
            <w:tcW w:w="5469" w:type="dxa"/>
            <w:vAlign w:val="center"/>
          </w:tcPr>
          <w:p w14:paraId="708C6899">
            <w:pPr>
              <w:shd w:val="clear" w:color="auto" w:fill="FFFFFF"/>
              <w:spacing w:before="120" w:after="120" w:line="264"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Total bid price</w:t>
            </w:r>
          </w:p>
          <w:p w14:paraId="708C689A">
            <w:pPr>
              <w:shd w:val="clear" w:color="auto" w:fill="FFFFFF"/>
              <w:spacing w:before="120" w:after="120" w:line="264" w:lineRule="auto"/>
              <w:jc w:val="center"/>
              <w:rPr>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 xml:space="preserve"> (transferred to Letter of Bid)</w:t>
            </w:r>
          </w:p>
        </w:tc>
        <w:tc>
          <w:tcPr>
            <w:tcW w:w="3084" w:type="dxa"/>
          </w:tcPr>
          <w:p w14:paraId="708C689B">
            <w:pPr>
              <w:shd w:val="clear" w:color="auto" w:fill="FFFFFF"/>
              <w:spacing w:before="120" w:after="120" w:line="264" w:lineRule="auto"/>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(M</w:t>
            </w:r>
            <w:r>
              <w:rPr>
                <w:b/>
                <w:color w:val="000000" w:themeColor="text1"/>
                <w:sz w:val="26"/>
                <w:szCs w:val="26"/>
                <w:vertAlign w:val="subscript"/>
                <w14:textFill>
                  <w14:solidFill>
                    <w14:schemeClr w14:val="tx1"/>
                  </w14:solidFill>
                </w14:textFill>
              </w:rPr>
              <w:t>1</w:t>
            </w:r>
            <w:r>
              <w:rPr>
                <w:b/>
                <w:color w:val="000000" w:themeColor="text1"/>
                <w:sz w:val="26"/>
                <w:szCs w:val="26"/>
                <w14:textFill>
                  <w14:solidFill>
                    <w14:schemeClr w14:val="tx1"/>
                  </w14:solidFill>
                </w14:textFill>
              </w:rPr>
              <w:t>) + (M</w:t>
            </w:r>
            <w:r>
              <w:rPr>
                <w:b/>
                <w:color w:val="000000" w:themeColor="text1"/>
                <w:sz w:val="26"/>
                <w:szCs w:val="26"/>
                <w:vertAlign w:val="subscript"/>
                <w14:textFill>
                  <w14:solidFill>
                    <w14:schemeClr w14:val="tx1"/>
                  </w14:solidFill>
                </w14:textFill>
              </w:rPr>
              <w:t>2</w:t>
            </w:r>
            <w:r>
              <w:rPr>
                <w:b/>
                <w:color w:val="000000" w:themeColor="text1"/>
                <w:sz w:val="26"/>
                <w:szCs w:val="26"/>
                <w14:textFill>
                  <w14:solidFill>
                    <w14:schemeClr w14:val="tx1"/>
                  </w14:solidFill>
                </w14:textFill>
              </w:rPr>
              <w:t>) + (M</w:t>
            </w:r>
            <w:r>
              <w:rPr>
                <w:b/>
                <w:color w:val="000000" w:themeColor="text1"/>
                <w:sz w:val="26"/>
                <w:szCs w:val="26"/>
                <w:vertAlign w:val="subscript"/>
                <w14:textFill>
                  <w14:solidFill>
                    <w14:schemeClr w14:val="tx1"/>
                  </w14:solidFill>
                </w14:textFill>
              </w:rPr>
              <w:t>3</w:t>
            </w:r>
            <w:r>
              <w:rPr>
                <w:b/>
                <w:color w:val="000000" w:themeColor="text1"/>
                <w:sz w:val="26"/>
                <w:szCs w:val="26"/>
                <w14:textFill>
                  <w14:solidFill>
                    <w14:schemeClr w14:val="tx1"/>
                  </w14:solidFill>
                </w14:textFill>
              </w:rPr>
              <w:t>) + (I)</w:t>
            </w:r>
          </w:p>
        </w:tc>
      </w:tr>
    </w:tbl>
    <w:p w14:paraId="708C689D">
      <w:pPr>
        <w:pStyle w:val="15"/>
        <w:widowControl w:val="0"/>
        <w:shd w:val="clear" w:color="auto" w:fill="FFFFFF"/>
        <w:spacing w:before="120" w:line="264" w:lineRule="auto"/>
        <w:jc w:val="both"/>
        <w:rPr>
          <w:b/>
          <w:color w:val="000000" w:themeColor="text1"/>
          <w:sz w:val="26"/>
          <w:szCs w:val="26"/>
          <w14:textFill>
            <w14:solidFill>
              <w14:schemeClr w14:val="tx1"/>
            </w14:solidFill>
          </w14:textFill>
        </w:rPr>
      </w:pPr>
    </w:p>
    <w:p w14:paraId="708C689E">
      <w:pPr>
        <w:pStyle w:val="15"/>
        <w:widowControl w:val="0"/>
        <w:shd w:val="clear" w:color="auto" w:fill="FFFFFF"/>
        <w:spacing w:before="120" w:line="264" w:lineRule="auto"/>
        <w:ind w:firstLine="567"/>
        <w:jc w:val="right"/>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Legal representative of the Bidder</w:t>
      </w:r>
    </w:p>
    <w:p w14:paraId="708C689F">
      <w:pPr>
        <w:pStyle w:val="4"/>
        <w:widowControl w:val="0"/>
        <w:shd w:val="clear" w:color="auto" w:fill="FFFFFF"/>
        <w:spacing w:before="120" w:after="120" w:line="264" w:lineRule="auto"/>
        <w:ind w:firstLine="567"/>
        <w:jc w:val="right"/>
        <w:rPr>
          <w:rFonts w:ascii="Times New Roman" w:hAnsi="Times New Roman"/>
          <w:i/>
          <w:color w:val="000000" w:themeColor="text1"/>
          <w14:textFill>
            <w14:solidFill>
              <w14:schemeClr w14:val="tx1"/>
            </w14:solidFill>
          </w14:textFill>
        </w:rPr>
      </w:pPr>
      <w:r>
        <w:rPr>
          <w:rFonts w:ascii="Times New Roman" w:hAnsi="Times New Roman"/>
          <w:i/>
          <w:color w:val="000000" w:themeColor="text1"/>
          <w14:textFill>
            <w14:solidFill>
              <w14:schemeClr w14:val="tx1"/>
            </w14:solidFill>
          </w14:textFill>
        </w:rPr>
        <w:t>(Full name, position, signature and seal)</w:t>
      </w:r>
    </w:p>
    <w:p w14:paraId="708C68A0">
      <w:pPr>
        <w:spacing w:after="0" w:line="240" w:lineRule="auto"/>
        <w:jc w:val="right"/>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br w:type="page"/>
      </w:r>
    </w:p>
    <w:p w14:paraId="708C68A1">
      <w:pPr>
        <w:spacing w:after="0" w:line="240" w:lineRule="auto"/>
        <w:rPr>
          <w:b/>
          <w:bCs/>
          <w:color w:val="000000" w:themeColor="text1"/>
          <w:sz w:val="26"/>
          <w:szCs w:val="26"/>
          <w14:textFill>
            <w14:solidFill>
              <w14:schemeClr w14:val="tx1"/>
            </w14:solidFill>
          </w14:textFill>
        </w:rPr>
        <w:sectPr>
          <w:headerReference r:id="rId16" w:type="default"/>
          <w:footerReference r:id="rId17" w:type="default"/>
          <w:footnotePr>
            <w:numRestart w:val="eachPage"/>
          </w:footnotePr>
          <w:pgSz w:w="11907" w:h="16840"/>
          <w:pgMar w:top="1134" w:right="1134" w:bottom="1134" w:left="1701" w:header="567" w:footer="567" w:gutter="0"/>
          <w:pgNumType w:chapStyle="1"/>
          <w:cols w:space="720" w:num="1"/>
        </w:sectPr>
      </w:pPr>
    </w:p>
    <w:p w14:paraId="708C68A2">
      <w:pPr>
        <w:pStyle w:val="97"/>
        <w:shd w:val="clear" w:color="auto" w:fill="FFFFFF"/>
        <w:spacing w:before="120" w:after="120"/>
        <w:jc w:val="right"/>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Form 5 (a)</w:t>
      </w:r>
    </w:p>
    <w:p w14:paraId="708C68A3">
      <w:pPr>
        <w:pStyle w:val="97"/>
        <w:shd w:val="clear" w:color="auto" w:fill="FFFFFF"/>
        <w:jc w:val="center"/>
        <w:rPr>
          <w:b/>
          <w:color w:val="000000" w:themeColor="text1"/>
          <w:sz w:val="26"/>
          <w:szCs w:val="26"/>
          <w14:textFill>
            <w14:solidFill>
              <w14:schemeClr w14:val="tx1"/>
            </w14:solidFill>
          </w14:textFill>
        </w:rPr>
      </w:pPr>
    </w:p>
    <w:p w14:paraId="708C68A4">
      <w:pPr>
        <w:pStyle w:val="97"/>
        <w:shd w:val="clear" w:color="auto" w:fill="FFFFFF"/>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PRICE SCHEDULE FOR GOODS </w:t>
      </w:r>
    </w:p>
    <w:p w14:paraId="708C68A5">
      <w:pPr>
        <w:spacing w:after="120"/>
        <w:jc w:val="center"/>
        <w:rPr>
          <w:b/>
          <w:bCs/>
          <w:i/>
          <w:color w:val="000000" w:themeColor="text1"/>
          <w:sz w:val="26"/>
          <w:lang w:val="nl-NL"/>
          <w14:textFill>
            <w14:solidFill>
              <w14:schemeClr w14:val="tx1"/>
            </w14:solidFill>
          </w14:textFill>
        </w:rPr>
      </w:pPr>
      <w:r>
        <w:rPr>
          <w:b/>
          <w:bCs/>
          <w:i/>
          <w:color w:val="000000" w:themeColor="text1"/>
          <w:sz w:val="26"/>
          <w14:textFill>
            <w14:solidFill>
              <w14:schemeClr w14:val="tx1"/>
            </w14:solidFill>
          </w14:textFill>
        </w:rPr>
        <w:t xml:space="preserve"> </w:t>
      </w:r>
      <w:r>
        <w:rPr>
          <w:b/>
          <w:bCs/>
          <w:i/>
          <w:color w:val="000000" w:themeColor="text1"/>
          <w:sz w:val="26"/>
          <w:lang w:val="nl-NL"/>
          <w14:textFill>
            <w14:solidFill>
              <w14:schemeClr w14:val="tx1"/>
            </w14:solidFill>
          </w14:textFill>
        </w:rPr>
        <w:t xml:space="preserve">(For </w:t>
      </w:r>
      <w:r>
        <w:rPr>
          <w:b/>
          <w:i/>
          <w:color w:val="000000" w:themeColor="text1"/>
          <w:szCs w:val="24"/>
          <w14:textFill>
            <w14:solidFill>
              <w14:schemeClr w14:val="tx1"/>
            </w14:solidFill>
          </w14:textFill>
        </w:rPr>
        <w:t>Lump-sum Contracts</w:t>
      </w:r>
      <w:r>
        <w:rPr>
          <w:b/>
          <w:bCs/>
          <w:i/>
          <w:color w:val="000000" w:themeColor="text1"/>
          <w:sz w:val="26"/>
          <w:lang w:val="nl-NL"/>
          <w14:textFill>
            <w14:solidFill>
              <w14:schemeClr w14:val="tx1"/>
            </w14:solidFill>
          </w14:textFill>
        </w:rPr>
        <w:t>)</w:t>
      </w:r>
    </w:p>
    <w:p w14:paraId="708C68A6">
      <w:pPr>
        <w:numPr>
          <w:ilvl w:val="0"/>
          <w:numId w:val="57"/>
        </w:numPr>
        <w:spacing w:after="120"/>
        <w:jc w:val="both"/>
        <w:rPr>
          <w:b/>
          <w:bCs/>
          <w:i/>
          <w:color w:val="000000" w:themeColor="text1"/>
          <w:sz w:val="26"/>
          <w14:textFill>
            <w14:solidFill>
              <w14:schemeClr w14:val="tx1"/>
            </w14:solidFill>
          </w14:textFill>
        </w:rPr>
      </w:pPr>
      <w:r>
        <w:rPr>
          <w:b/>
          <w:bCs/>
          <w:i/>
          <w:color w:val="000000" w:themeColor="text1"/>
          <w:sz w:val="26"/>
          <w14:textFill>
            <w14:solidFill>
              <w14:schemeClr w14:val="tx1"/>
            </w14:solidFill>
          </w14:textFill>
        </w:rPr>
        <w:t>For goods manufactured or processed within Vietnam</w:t>
      </w:r>
    </w:p>
    <w:tbl>
      <w:tblPr>
        <w:tblStyle w:val="12"/>
        <w:tblW w:w="162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2" w:type="dxa"/>
          <w:bottom w:w="0" w:type="dxa"/>
          <w:right w:w="72" w:type="dxa"/>
        </w:tblCellMar>
      </w:tblPr>
      <w:tblGrid>
        <w:gridCol w:w="733"/>
        <w:gridCol w:w="819"/>
        <w:gridCol w:w="708"/>
        <w:gridCol w:w="993"/>
        <w:gridCol w:w="992"/>
        <w:gridCol w:w="850"/>
        <w:gridCol w:w="709"/>
        <w:gridCol w:w="850"/>
        <w:gridCol w:w="709"/>
        <w:gridCol w:w="1560"/>
        <w:gridCol w:w="709"/>
        <w:gridCol w:w="851"/>
        <w:gridCol w:w="708"/>
        <w:gridCol w:w="1845"/>
        <w:gridCol w:w="1134"/>
        <w:gridCol w:w="1135"/>
        <w:gridCol w:w="993"/>
      </w:tblGrid>
      <w:tr w14:paraId="708C6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805" w:hRule="atLeast"/>
          <w:jc w:val="center"/>
        </w:trPr>
        <w:tc>
          <w:tcPr>
            <w:tcW w:w="733" w:type="dxa"/>
            <w:shd w:val="clear" w:color="auto" w:fill="E2EFD9"/>
            <w:vAlign w:val="center"/>
          </w:tcPr>
          <w:p w14:paraId="708C68A7">
            <w:pPr>
              <w:suppressAutoHyphens/>
              <w:jc w:val="center"/>
              <w:rPr>
                <w:b/>
                <w:color w:val="000000" w:themeColor="text1"/>
                <w:sz w:val="22"/>
                <w:szCs w:val="22"/>
                <w14:textFill>
                  <w14:solidFill>
                    <w14:schemeClr w14:val="tx1"/>
                  </w14:solidFill>
                </w14:textFill>
              </w:rPr>
            </w:pPr>
            <w:r>
              <w:rPr>
                <w:b/>
                <w:color w:val="000000" w:themeColor="text1"/>
                <w:sz w:val="22"/>
                <w:szCs w:val="22"/>
                <w14:textFill>
                  <w14:solidFill>
                    <w14:schemeClr w14:val="tx1"/>
                  </w14:solidFill>
                </w14:textFill>
              </w:rPr>
              <w:t>No.</w:t>
            </w:r>
          </w:p>
        </w:tc>
        <w:tc>
          <w:tcPr>
            <w:tcW w:w="819" w:type="dxa"/>
            <w:shd w:val="clear" w:color="auto" w:fill="E2EFD9"/>
            <w:vAlign w:val="center"/>
          </w:tcPr>
          <w:p w14:paraId="708C68A8">
            <w:pPr>
              <w:suppressAutoHyphens/>
              <w:jc w:val="center"/>
              <w:rPr>
                <w:b/>
                <w:color w:val="000000" w:themeColor="text1"/>
                <w:sz w:val="22"/>
                <w:szCs w:val="22"/>
                <w14:textFill>
                  <w14:solidFill>
                    <w14:schemeClr w14:val="tx1"/>
                  </w14:solidFill>
                </w14:textFill>
              </w:rPr>
            </w:pPr>
            <w:r>
              <w:rPr>
                <w:b/>
                <w:color w:val="000000" w:themeColor="text1"/>
                <w:sz w:val="22"/>
                <w:szCs w:val="22"/>
                <w14:textFill>
                  <w14:solidFill>
                    <w14:schemeClr w14:val="tx1"/>
                  </w14:solidFill>
                </w14:textFill>
              </w:rPr>
              <w:t>List of Goods</w:t>
            </w:r>
          </w:p>
        </w:tc>
        <w:tc>
          <w:tcPr>
            <w:tcW w:w="708" w:type="dxa"/>
            <w:shd w:val="clear" w:color="auto" w:fill="E2EFD9"/>
            <w:vAlign w:val="center"/>
          </w:tcPr>
          <w:p w14:paraId="708C68A9">
            <w:pPr>
              <w:suppressAutoHyphens/>
              <w:jc w:val="center"/>
              <w:rPr>
                <w:b/>
                <w:color w:val="000000" w:themeColor="text1"/>
                <w:sz w:val="22"/>
                <w:szCs w:val="22"/>
                <w14:textFill>
                  <w14:solidFill>
                    <w14:schemeClr w14:val="tx1"/>
                  </w14:solidFill>
                </w14:textFill>
              </w:rPr>
            </w:pPr>
            <w:r>
              <w:rPr>
                <w:b/>
                <w:color w:val="000000" w:themeColor="text1"/>
                <w:sz w:val="22"/>
                <w:szCs w:val="22"/>
                <w14:textFill>
                  <w14:solidFill>
                    <w14:schemeClr w14:val="tx1"/>
                  </w14:solidFill>
                </w14:textFill>
              </w:rPr>
              <w:t>Units</w:t>
            </w:r>
          </w:p>
        </w:tc>
        <w:tc>
          <w:tcPr>
            <w:tcW w:w="993" w:type="dxa"/>
            <w:shd w:val="clear" w:color="auto" w:fill="E2EFD9"/>
            <w:vAlign w:val="center"/>
          </w:tcPr>
          <w:p w14:paraId="708C68AA">
            <w:pPr>
              <w:suppressAutoHyphens/>
              <w:jc w:val="center"/>
              <w:rPr>
                <w:b/>
                <w:color w:val="000000" w:themeColor="text1"/>
                <w:sz w:val="22"/>
                <w:szCs w:val="22"/>
                <w14:textFill>
                  <w14:solidFill>
                    <w14:schemeClr w14:val="tx1"/>
                  </w14:solidFill>
                </w14:textFill>
              </w:rPr>
            </w:pPr>
            <w:r>
              <w:rPr>
                <w:b/>
                <w:color w:val="000000" w:themeColor="text1"/>
                <w:sz w:val="22"/>
                <w:szCs w:val="22"/>
                <w14:textFill>
                  <w14:solidFill>
                    <w14:schemeClr w14:val="tx1"/>
                  </w14:solidFill>
                </w14:textFill>
              </w:rPr>
              <w:t>Quantity</w:t>
            </w:r>
          </w:p>
          <w:p w14:paraId="708C68AB">
            <w:pPr>
              <w:suppressAutoHyphens/>
              <w:jc w:val="center"/>
              <w:rPr>
                <w:b/>
                <w:color w:val="000000" w:themeColor="text1"/>
                <w:sz w:val="22"/>
                <w:szCs w:val="22"/>
                <w14:textFill>
                  <w14:solidFill>
                    <w14:schemeClr w14:val="tx1"/>
                  </w14:solidFill>
                </w14:textFill>
              </w:rPr>
            </w:pPr>
            <w:r>
              <w:rPr>
                <w:b/>
                <w:color w:val="000000" w:themeColor="text1"/>
                <w:sz w:val="22"/>
                <w:szCs w:val="22"/>
                <w14:textFill>
                  <w14:solidFill>
                    <w14:schemeClr w14:val="tx1"/>
                  </w14:solidFill>
                </w14:textFill>
              </w:rPr>
              <w:t>[</w:t>
            </w:r>
            <w:r>
              <w:rPr>
                <w:b/>
                <w:i/>
                <w:color w:val="000000" w:themeColor="text1"/>
                <w:sz w:val="22"/>
                <w:szCs w:val="22"/>
                <w14:textFill>
                  <w14:solidFill>
                    <w14:schemeClr w14:val="tx1"/>
                  </w14:solidFill>
                </w14:textFill>
              </w:rPr>
              <w:t>insert by scope of supply</w:t>
            </w:r>
            <w:r>
              <w:rPr>
                <w:b/>
                <w:color w:val="000000" w:themeColor="text1"/>
                <w:sz w:val="22"/>
                <w:szCs w:val="22"/>
                <w14:textFill>
                  <w14:solidFill>
                    <w14:schemeClr w14:val="tx1"/>
                  </w14:solidFill>
                </w14:textFill>
              </w:rPr>
              <w:t>]</w:t>
            </w:r>
          </w:p>
        </w:tc>
        <w:tc>
          <w:tcPr>
            <w:tcW w:w="992" w:type="dxa"/>
            <w:shd w:val="clear" w:color="auto" w:fill="E2EFD9"/>
            <w:vAlign w:val="center"/>
          </w:tcPr>
          <w:p w14:paraId="708C68AC">
            <w:pPr>
              <w:suppressAutoHyphens/>
              <w:jc w:val="center"/>
              <w:rPr>
                <w:b/>
                <w:color w:val="000000" w:themeColor="text1"/>
                <w:sz w:val="22"/>
                <w:szCs w:val="22"/>
                <w14:textFill>
                  <w14:solidFill>
                    <w14:schemeClr w14:val="tx1"/>
                  </w14:solidFill>
                </w14:textFill>
              </w:rPr>
            </w:pPr>
            <w:r>
              <w:rPr>
                <w:b/>
                <w:color w:val="000000" w:themeColor="text1"/>
                <w:sz w:val="22"/>
                <w:szCs w:val="22"/>
                <w14:textFill>
                  <w14:solidFill>
                    <w14:schemeClr w14:val="tx1"/>
                  </w14:solidFill>
                </w14:textFill>
              </w:rPr>
              <w:t>Marks and Numbers</w:t>
            </w:r>
          </w:p>
        </w:tc>
        <w:tc>
          <w:tcPr>
            <w:tcW w:w="850" w:type="dxa"/>
            <w:shd w:val="clear" w:color="auto" w:fill="E2EFD9"/>
            <w:vAlign w:val="center"/>
          </w:tcPr>
          <w:p w14:paraId="708C68AD">
            <w:pPr>
              <w:suppressAutoHyphens/>
              <w:jc w:val="center"/>
              <w:rPr>
                <w:b/>
                <w:color w:val="000000" w:themeColor="text1"/>
                <w:sz w:val="22"/>
                <w:szCs w:val="22"/>
                <w14:textFill>
                  <w14:solidFill>
                    <w14:schemeClr w14:val="tx1"/>
                  </w14:solidFill>
                </w14:textFill>
              </w:rPr>
            </w:pPr>
            <w:r>
              <w:rPr>
                <w:b/>
                <w:bCs/>
                <w:color w:val="000000" w:themeColor="text1"/>
                <w:sz w:val="22"/>
                <w:szCs w:val="22"/>
                <w:lang w:val="nl-NL"/>
                <w14:textFill>
                  <w14:solidFill>
                    <w14:schemeClr w14:val="tx1"/>
                  </w14:solidFill>
                </w14:textFill>
              </w:rPr>
              <w:t>Trademark</w:t>
            </w:r>
          </w:p>
        </w:tc>
        <w:tc>
          <w:tcPr>
            <w:tcW w:w="709" w:type="dxa"/>
            <w:shd w:val="clear" w:color="auto" w:fill="E2EFD9"/>
            <w:vAlign w:val="center"/>
          </w:tcPr>
          <w:p w14:paraId="708C68AE">
            <w:pPr>
              <w:suppressAutoHyphens/>
              <w:jc w:val="center"/>
              <w:rPr>
                <w:b/>
                <w:color w:val="000000" w:themeColor="text1"/>
                <w:sz w:val="22"/>
                <w:szCs w:val="22"/>
                <w14:textFill>
                  <w14:solidFill>
                    <w14:schemeClr w14:val="tx1"/>
                  </w14:solidFill>
                </w14:textFill>
              </w:rPr>
            </w:pPr>
            <w:r>
              <w:rPr>
                <w:b/>
                <w:color w:val="000000" w:themeColor="text1"/>
                <w:sz w:val="22"/>
                <w:szCs w:val="22"/>
                <w14:textFill>
                  <w14:solidFill>
                    <w14:schemeClr w14:val="tx1"/>
                  </w14:solidFill>
                </w14:textFill>
              </w:rPr>
              <w:t>Year of manufacture</w:t>
            </w:r>
          </w:p>
        </w:tc>
        <w:tc>
          <w:tcPr>
            <w:tcW w:w="850" w:type="dxa"/>
            <w:shd w:val="clear" w:color="auto" w:fill="E2EFD9"/>
            <w:vAlign w:val="center"/>
          </w:tcPr>
          <w:p w14:paraId="708C68AF">
            <w:pPr>
              <w:suppressAutoHyphens/>
              <w:jc w:val="center"/>
              <w:rPr>
                <w:b/>
                <w:color w:val="000000" w:themeColor="text1"/>
                <w:sz w:val="22"/>
                <w:szCs w:val="22"/>
                <w14:textFill>
                  <w14:solidFill>
                    <w14:schemeClr w14:val="tx1"/>
                  </w14:solidFill>
                </w14:textFill>
              </w:rPr>
            </w:pPr>
            <w:r>
              <w:rPr>
                <w:b/>
                <w:color w:val="000000" w:themeColor="text1"/>
                <w:sz w:val="22"/>
                <w:szCs w:val="22"/>
                <w14:textFill>
                  <w14:solidFill>
                    <w14:schemeClr w14:val="tx1"/>
                  </w14:solidFill>
                </w14:textFill>
              </w:rPr>
              <w:t>Origin</w:t>
            </w:r>
          </w:p>
          <w:p w14:paraId="708C68B0">
            <w:pPr>
              <w:suppressAutoHyphens/>
              <w:jc w:val="center"/>
              <w:rPr>
                <w:i/>
                <w:color w:val="000000" w:themeColor="text1"/>
                <w:sz w:val="22"/>
                <w:szCs w:val="22"/>
                <w14:textFill>
                  <w14:solidFill>
                    <w14:schemeClr w14:val="tx1"/>
                  </w14:solidFill>
                </w14:textFill>
              </w:rPr>
            </w:pPr>
            <w:r>
              <w:rPr>
                <w:i/>
                <w:color w:val="000000" w:themeColor="text1"/>
                <w:sz w:val="22"/>
                <w:szCs w:val="22"/>
                <w14:textFill>
                  <w14:solidFill>
                    <w14:schemeClr w14:val="tx1"/>
                  </w14:solidFill>
                </w14:textFill>
              </w:rPr>
              <w:t>[insert name of country, territory]</w:t>
            </w:r>
          </w:p>
        </w:tc>
        <w:tc>
          <w:tcPr>
            <w:tcW w:w="709" w:type="dxa"/>
            <w:shd w:val="clear" w:color="auto" w:fill="E2EFD9"/>
            <w:vAlign w:val="center"/>
          </w:tcPr>
          <w:p w14:paraId="708C68B1">
            <w:pPr>
              <w:suppressAutoHyphens/>
              <w:jc w:val="center"/>
              <w:rPr>
                <w:b/>
                <w:color w:val="000000" w:themeColor="text1"/>
                <w:sz w:val="22"/>
                <w:szCs w:val="22"/>
                <w14:textFill>
                  <w14:solidFill>
                    <w14:schemeClr w14:val="tx1"/>
                  </w14:solidFill>
                </w14:textFill>
              </w:rPr>
            </w:pPr>
            <w:r>
              <w:rPr>
                <w:b/>
                <w:color w:val="000000" w:themeColor="text1"/>
                <w:sz w:val="22"/>
                <w:szCs w:val="22"/>
                <w14:textFill>
                  <w14:solidFill>
                    <w14:schemeClr w14:val="tx1"/>
                  </w14:solidFill>
                </w14:textFill>
              </w:rPr>
              <w:t>Manufacturer</w:t>
            </w:r>
          </w:p>
        </w:tc>
        <w:tc>
          <w:tcPr>
            <w:tcW w:w="1560" w:type="dxa"/>
            <w:shd w:val="clear" w:color="auto" w:fill="E2EFD9"/>
            <w:vAlign w:val="center"/>
          </w:tcPr>
          <w:p w14:paraId="708C68B2">
            <w:pPr>
              <w:suppressAutoHyphens/>
              <w:jc w:val="center"/>
              <w:rPr>
                <w:b/>
                <w:color w:val="000000" w:themeColor="text1"/>
                <w:sz w:val="22"/>
                <w:szCs w:val="22"/>
                <w14:textFill>
                  <w14:solidFill>
                    <w14:schemeClr w14:val="tx1"/>
                  </w14:solidFill>
                </w14:textFill>
              </w:rPr>
            </w:pPr>
            <w:r>
              <w:rPr>
                <w:b/>
                <w:color w:val="000000" w:themeColor="text1"/>
                <w:sz w:val="22"/>
                <w:szCs w:val="22"/>
                <w14:textFill>
                  <w14:solidFill>
                    <w14:schemeClr w14:val="tx1"/>
                  </w14:solidFill>
                </w14:textFill>
              </w:rPr>
              <w:t>Configuration and technical specification</w:t>
            </w:r>
          </w:p>
        </w:tc>
        <w:tc>
          <w:tcPr>
            <w:tcW w:w="709" w:type="dxa"/>
            <w:shd w:val="clear" w:color="auto" w:fill="E2EFD9"/>
            <w:vAlign w:val="center"/>
          </w:tcPr>
          <w:p w14:paraId="708C68B3">
            <w:pPr>
              <w:suppressAutoHyphens/>
              <w:jc w:val="center"/>
              <w:rPr>
                <w:b/>
                <w:color w:val="000000" w:themeColor="text1"/>
                <w:sz w:val="22"/>
                <w:szCs w:val="22"/>
                <w14:textFill>
                  <w14:solidFill>
                    <w14:schemeClr w14:val="tx1"/>
                  </w14:solidFill>
                </w14:textFill>
              </w:rPr>
            </w:pPr>
            <w:r>
              <w:rPr>
                <w:b/>
                <w:color w:val="000000" w:themeColor="text1"/>
                <w:sz w:val="22"/>
                <w:szCs w:val="22"/>
                <w14:textFill>
                  <w14:solidFill>
                    <w14:schemeClr w14:val="tx1"/>
                  </w14:solidFill>
                </w14:textFill>
              </w:rPr>
              <w:t>HS Code</w:t>
            </w:r>
          </w:p>
        </w:tc>
        <w:tc>
          <w:tcPr>
            <w:tcW w:w="851" w:type="dxa"/>
            <w:shd w:val="clear" w:color="auto" w:fill="E2EFD9"/>
            <w:vAlign w:val="center"/>
          </w:tcPr>
          <w:p w14:paraId="708C68B4">
            <w:pPr>
              <w:suppressAutoHyphens/>
              <w:jc w:val="center"/>
              <w:rPr>
                <w:b/>
                <w:color w:val="000000" w:themeColor="text1"/>
                <w:sz w:val="22"/>
                <w:szCs w:val="22"/>
                <w14:textFill>
                  <w14:solidFill>
                    <w14:schemeClr w14:val="tx1"/>
                  </w14:solidFill>
                </w14:textFill>
              </w:rPr>
            </w:pPr>
            <w:r>
              <w:rPr>
                <w:b/>
                <w:color w:val="000000" w:themeColor="text1"/>
                <w:sz w:val="22"/>
                <w:szCs w:val="22"/>
                <w14:textFill>
                  <w14:solidFill>
                    <w14:schemeClr w14:val="tx1"/>
                  </w14:solidFill>
                </w14:textFill>
              </w:rPr>
              <w:t>Unit Price</w:t>
            </w:r>
          </w:p>
          <w:p w14:paraId="708C68B5">
            <w:pPr>
              <w:suppressAutoHyphens/>
              <w:jc w:val="center"/>
              <w:rPr>
                <w:b/>
                <w:color w:val="000000" w:themeColor="text1"/>
                <w:sz w:val="22"/>
                <w:szCs w:val="22"/>
                <w14:textFill>
                  <w14:solidFill>
                    <w14:schemeClr w14:val="tx1"/>
                  </w14:solidFill>
                </w14:textFill>
              </w:rPr>
            </w:pPr>
            <w:r>
              <w:rPr>
                <w:b/>
                <w:color w:val="000000" w:themeColor="text1"/>
                <w:sz w:val="22"/>
                <w:szCs w:val="22"/>
                <w14:textFill>
                  <w14:solidFill>
                    <w14:schemeClr w14:val="tx1"/>
                  </w14:solidFill>
                </w14:textFill>
              </w:rPr>
              <w:t>(EXW price)</w:t>
            </w:r>
          </w:p>
        </w:tc>
        <w:tc>
          <w:tcPr>
            <w:tcW w:w="708" w:type="dxa"/>
            <w:shd w:val="clear" w:color="auto" w:fill="E2EFD9"/>
            <w:vAlign w:val="center"/>
          </w:tcPr>
          <w:p w14:paraId="708C68B6">
            <w:pPr>
              <w:suppressAutoHyphens/>
              <w:jc w:val="center"/>
              <w:rPr>
                <w:b/>
                <w:color w:val="000000" w:themeColor="text1"/>
                <w:sz w:val="22"/>
                <w:szCs w:val="22"/>
                <w14:textFill>
                  <w14:solidFill>
                    <w14:schemeClr w14:val="tx1"/>
                  </w14:solidFill>
                </w14:textFill>
              </w:rPr>
            </w:pPr>
            <w:r>
              <w:rPr>
                <w:b/>
                <w:color w:val="000000" w:themeColor="text1"/>
                <w:sz w:val="22"/>
                <w:szCs w:val="22"/>
                <w14:textFill>
                  <w14:solidFill>
                    <w14:schemeClr w14:val="tx1"/>
                  </w14:solidFill>
                </w14:textFill>
              </w:rPr>
              <w:t>Total EXW price</w:t>
            </w:r>
          </w:p>
        </w:tc>
        <w:tc>
          <w:tcPr>
            <w:tcW w:w="1845" w:type="dxa"/>
            <w:shd w:val="clear" w:color="auto" w:fill="E2EFD9"/>
            <w:vAlign w:val="center"/>
          </w:tcPr>
          <w:p w14:paraId="708C68B7">
            <w:pPr>
              <w:suppressAutoHyphens/>
              <w:jc w:val="both"/>
              <w:rPr>
                <w:b/>
                <w:color w:val="000000" w:themeColor="text1"/>
                <w:sz w:val="22"/>
                <w:szCs w:val="22"/>
                <w14:textFill>
                  <w14:solidFill>
                    <w14:schemeClr w14:val="tx1"/>
                  </w14:solidFill>
                </w14:textFill>
              </w:rPr>
            </w:pPr>
            <w:r>
              <w:rPr>
                <w:b/>
                <w:color w:val="000000" w:themeColor="text1"/>
                <w:sz w:val="22"/>
                <w:szCs w:val="22"/>
                <w14:textFill>
                  <w14:solidFill>
                    <w14:schemeClr w14:val="tx1"/>
                  </w14:solidFill>
                </w14:textFill>
              </w:rPr>
              <w:t>Price per line item for inland transportation, insurance and other services required (including VAT) to convey goods to the final destination</w:t>
            </w:r>
          </w:p>
        </w:tc>
        <w:tc>
          <w:tcPr>
            <w:tcW w:w="1134" w:type="dxa"/>
            <w:shd w:val="clear" w:color="auto" w:fill="E2EFD9"/>
            <w:vAlign w:val="center"/>
          </w:tcPr>
          <w:p w14:paraId="708C68B8">
            <w:pPr>
              <w:suppressAutoHyphens/>
              <w:jc w:val="center"/>
              <w:rPr>
                <w:b/>
                <w:color w:val="000000" w:themeColor="text1"/>
                <w:sz w:val="22"/>
                <w:szCs w:val="22"/>
                <w14:textFill>
                  <w14:solidFill>
                    <w14:schemeClr w14:val="tx1"/>
                  </w14:solidFill>
                </w14:textFill>
              </w:rPr>
            </w:pPr>
            <w:r>
              <w:rPr>
                <w:b/>
                <w:color w:val="000000" w:themeColor="text1"/>
                <w:sz w:val="22"/>
                <w:szCs w:val="22"/>
                <w14:textFill>
                  <w14:solidFill>
                    <w14:schemeClr w14:val="tx1"/>
                  </w14:solidFill>
                </w14:textFill>
              </w:rPr>
              <w:t>Total price excludes excise tax (if any), VAT for Goods</w:t>
            </w:r>
          </w:p>
        </w:tc>
        <w:tc>
          <w:tcPr>
            <w:tcW w:w="1135" w:type="dxa"/>
            <w:shd w:val="clear" w:color="auto" w:fill="E2EFD9"/>
            <w:vAlign w:val="center"/>
          </w:tcPr>
          <w:p w14:paraId="708C68B9">
            <w:pPr>
              <w:suppressAutoHyphens/>
              <w:jc w:val="center"/>
              <w:rPr>
                <w:b/>
                <w:color w:val="000000" w:themeColor="text1"/>
                <w:sz w:val="22"/>
                <w:szCs w:val="22"/>
                <w14:textFill>
                  <w14:solidFill>
                    <w14:schemeClr w14:val="tx1"/>
                  </w14:solidFill>
                </w14:textFill>
              </w:rPr>
            </w:pPr>
            <w:r>
              <w:rPr>
                <w:b/>
                <w:color w:val="000000" w:themeColor="text1"/>
                <w:sz w:val="22"/>
                <w:szCs w:val="22"/>
                <w14:textFill>
                  <w14:solidFill>
                    <w14:schemeClr w14:val="tx1"/>
                  </w14:solidFill>
                </w14:textFill>
              </w:rPr>
              <w:t>Excise tax (if any), VAT for goods to be paid if Contract is awarded</w:t>
            </w:r>
          </w:p>
        </w:tc>
        <w:tc>
          <w:tcPr>
            <w:tcW w:w="993" w:type="dxa"/>
            <w:shd w:val="clear" w:color="auto" w:fill="E2EFD9"/>
            <w:vAlign w:val="center"/>
          </w:tcPr>
          <w:p w14:paraId="708C68BA">
            <w:pPr>
              <w:suppressAutoHyphens/>
              <w:jc w:val="center"/>
              <w:rPr>
                <w:b/>
                <w:color w:val="000000" w:themeColor="text1"/>
                <w:sz w:val="22"/>
                <w:szCs w:val="22"/>
                <w14:textFill>
                  <w14:solidFill>
                    <w14:schemeClr w14:val="tx1"/>
                  </w14:solidFill>
                </w14:textFill>
              </w:rPr>
            </w:pPr>
            <w:r>
              <w:rPr>
                <w:b/>
                <w:color w:val="000000" w:themeColor="text1"/>
                <w:sz w:val="22"/>
                <w:szCs w:val="22"/>
                <w14:textFill>
                  <w14:solidFill>
                    <w14:schemeClr w14:val="tx1"/>
                  </w14:solidFill>
                </w14:textFill>
              </w:rPr>
              <w:t>Total price includes excise tax (if any), VAT</w:t>
            </w:r>
          </w:p>
        </w:tc>
      </w:tr>
      <w:tr w14:paraId="708C6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329" w:hRule="atLeast"/>
          <w:jc w:val="center"/>
        </w:trPr>
        <w:tc>
          <w:tcPr>
            <w:tcW w:w="733" w:type="dxa"/>
            <w:vAlign w:val="center"/>
          </w:tcPr>
          <w:p w14:paraId="708C68BC">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w:t>
            </w:r>
          </w:p>
        </w:tc>
        <w:tc>
          <w:tcPr>
            <w:tcW w:w="819" w:type="dxa"/>
            <w:vAlign w:val="center"/>
          </w:tcPr>
          <w:p w14:paraId="708C68BD">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w:t>
            </w:r>
          </w:p>
        </w:tc>
        <w:tc>
          <w:tcPr>
            <w:tcW w:w="708" w:type="dxa"/>
            <w:vAlign w:val="center"/>
          </w:tcPr>
          <w:p w14:paraId="708C68BE">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993" w:type="dxa"/>
            <w:vAlign w:val="center"/>
          </w:tcPr>
          <w:p w14:paraId="708C68BF">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w:t>
            </w:r>
          </w:p>
        </w:tc>
        <w:tc>
          <w:tcPr>
            <w:tcW w:w="992" w:type="dxa"/>
            <w:vAlign w:val="center"/>
          </w:tcPr>
          <w:p w14:paraId="708C68C0">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(5)</w:t>
            </w:r>
          </w:p>
        </w:tc>
        <w:tc>
          <w:tcPr>
            <w:tcW w:w="850" w:type="dxa"/>
            <w:vAlign w:val="center"/>
          </w:tcPr>
          <w:p w14:paraId="708C68C1">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(6)</w:t>
            </w:r>
          </w:p>
        </w:tc>
        <w:tc>
          <w:tcPr>
            <w:tcW w:w="709" w:type="dxa"/>
            <w:vAlign w:val="center"/>
          </w:tcPr>
          <w:p w14:paraId="708C68C2">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(7)</w:t>
            </w:r>
          </w:p>
        </w:tc>
        <w:tc>
          <w:tcPr>
            <w:tcW w:w="850" w:type="dxa"/>
            <w:vAlign w:val="center"/>
          </w:tcPr>
          <w:p w14:paraId="708C68C3">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(8)</w:t>
            </w:r>
          </w:p>
        </w:tc>
        <w:tc>
          <w:tcPr>
            <w:tcW w:w="709" w:type="dxa"/>
            <w:vAlign w:val="center"/>
          </w:tcPr>
          <w:p w14:paraId="708C68C4">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(9)</w:t>
            </w:r>
          </w:p>
        </w:tc>
        <w:tc>
          <w:tcPr>
            <w:tcW w:w="1560" w:type="dxa"/>
            <w:vAlign w:val="center"/>
          </w:tcPr>
          <w:p w14:paraId="708C68C5">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(10)</w:t>
            </w:r>
          </w:p>
        </w:tc>
        <w:tc>
          <w:tcPr>
            <w:tcW w:w="709" w:type="dxa"/>
            <w:vAlign w:val="center"/>
          </w:tcPr>
          <w:p w14:paraId="708C68C6">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(11)</w:t>
            </w:r>
          </w:p>
        </w:tc>
        <w:tc>
          <w:tcPr>
            <w:tcW w:w="851" w:type="dxa"/>
            <w:vAlign w:val="center"/>
          </w:tcPr>
          <w:p w14:paraId="708C68C7">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(12)</w:t>
            </w:r>
          </w:p>
        </w:tc>
        <w:tc>
          <w:tcPr>
            <w:tcW w:w="708" w:type="dxa"/>
            <w:vAlign w:val="center"/>
          </w:tcPr>
          <w:p w14:paraId="708C68C8">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(13)=(4)x(12)</w:t>
            </w:r>
          </w:p>
        </w:tc>
        <w:tc>
          <w:tcPr>
            <w:tcW w:w="1845" w:type="dxa"/>
            <w:vAlign w:val="center"/>
          </w:tcPr>
          <w:p w14:paraId="708C68C9">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(14)</w:t>
            </w:r>
          </w:p>
        </w:tc>
        <w:tc>
          <w:tcPr>
            <w:tcW w:w="1134" w:type="dxa"/>
            <w:vAlign w:val="center"/>
          </w:tcPr>
          <w:p w14:paraId="708C68CA">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(15)=(13)+(14)</w:t>
            </w:r>
          </w:p>
        </w:tc>
        <w:tc>
          <w:tcPr>
            <w:tcW w:w="1135" w:type="dxa"/>
            <w:vAlign w:val="center"/>
          </w:tcPr>
          <w:p w14:paraId="708C68CB">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(16)</w:t>
            </w:r>
          </w:p>
        </w:tc>
        <w:tc>
          <w:tcPr>
            <w:tcW w:w="993" w:type="dxa"/>
            <w:vAlign w:val="center"/>
          </w:tcPr>
          <w:p w14:paraId="708C68CC">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(17)=(15)+(16)</w:t>
            </w:r>
          </w:p>
        </w:tc>
      </w:tr>
      <w:tr w14:paraId="708C6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45" w:hRule="atLeast"/>
          <w:jc w:val="center"/>
        </w:trPr>
        <w:tc>
          <w:tcPr>
            <w:tcW w:w="733" w:type="dxa"/>
            <w:vAlign w:val="center"/>
          </w:tcPr>
          <w:p w14:paraId="708C68CE">
            <w:pPr>
              <w:suppressAutoHyphens/>
              <w:jc w:val="center"/>
              <w:rPr>
                <w:i/>
                <w:iCs/>
                <w:color w:val="000000" w:themeColor="text1"/>
                <w:sz w:val="18"/>
                <w:szCs w:val="18"/>
                <w14:textFill>
                  <w14:solidFill>
                    <w14:schemeClr w14:val="tx1"/>
                  </w14:solidFill>
                </w14:textFill>
              </w:rPr>
            </w:pPr>
          </w:p>
        </w:tc>
        <w:tc>
          <w:tcPr>
            <w:tcW w:w="819" w:type="dxa"/>
            <w:vAlign w:val="center"/>
          </w:tcPr>
          <w:p w14:paraId="708C68CF">
            <w:pPr>
              <w:suppressAutoHyphens/>
              <w:rPr>
                <w:i/>
                <w:iCs/>
                <w:color w:val="000000" w:themeColor="text1"/>
                <w:sz w:val="18"/>
                <w:szCs w:val="18"/>
                <w14:textFill>
                  <w14:solidFill>
                    <w14:schemeClr w14:val="tx1"/>
                  </w14:solidFill>
                </w14:textFill>
              </w:rPr>
            </w:pPr>
          </w:p>
        </w:tc>
        <w:tc>
          <w:tcPr>
            <w:tcW w:w="708" w:type="dxa"/>
            <w:vAlign w:val="center"/>
          </w:tcPr>
          <w:p w14:paraId="708C68D0">
            <w:pPr>
              <w:suppressAutoHyphens/>
              <w:rPr>
                <w:i/>
                <w:iCs/>
                <w:color w:val="000000" w:themeColor="text1"/>
                <w:sz w:val="18"/>
                <w:szCs w:val="18"/>
                <w14:textFill>
                  <w14:solidFill>
                    <w14:schemeClr w14:val="tx1"/>
                  </w14:solidFill>
                </w14:textFill>
              </w:rPr>
            </w:pPr>
          </w:p>
        </w:tc>
        <w:tc>
          <w:tcPr>
            <w:tcW w:w="993" w:type="dxa"/>
            <w:vAlign w:val="center"/>
          </w:tcPr>
          <w:p w14:paraId="708C68D1">
            <w:pPr>
              <w:suppressAutoHyphens/>
              <w:rPr>
                <w:i/>
                <w:iCs/>
                <w:color w:val="000000" w:themeColor="text1"/>
                <w:sz w:val="18"/>
                <w:szCs w:val="18"/>
                <w14:textFill>
                  <w14:solidFill>
                    <w14:schemeClr w14:val="tx1"/>
                  </w14:solidFill>
                </w14:textFill>
              </w:rPr>
            </w:pPr>
          </w:p>
        </w:tc>
        <w:tc>
          <w:tcPr>
            <w:tcW w:w="992" w:type="dxa"/>
            <w:vAlign w:val="center"/>
          </w:tcPr>
          <w:p w14:paraId="708C68D2">
            <w:pPr>
              <w:suppressAutoHyphens/>
              <w:rPr>
                <w:i/>
                <w:iCs/>
                <w:color w:val="000000" w:themeColor="text1"/>
                <w:sz w:val="18"/>
                <w:szCs w:val="18"/>
                <w14:textFill>
                  <w14:solidFill>
                    <w14:schemeClr w14:val="tx1"/>
                  </w14:solidFill>
                </w14:textFill>
              </w:rPr>
            </w:pPr>
          </w:p>
        </w:tc>
        <w:tc>
          <w:tcPr>
            <w:tcW w:w="850" w:type="dxa"/>
            <w:vAlign w:val="center"/>
          </w:tcPr>
          <w:p w14:paraId="708C68D3">
            <w:pPr>
              <w:suppressAutoHyphens/>
              <w:rPr>
                <w:i/>
                <w:iCs/>
                <w:color w:val="000000" w:themeColor="text1"/>
                <w:sz w:val="18"/>
                <w:szCs w:val="18"/>
                <w14:textFill>
                  <w14:solidFill>
                    <w14:schemeClr w14:val="tx1"/>
                  </w14:solidFill>
                </w14:textFill>
              </w:rPr>
            </w:pPr>
          </w:p>
        </w:tc>
        <w:tc>
          <w:tcPr>
            <w:tcW w:w="709" w:type="dxa"/>
            <w:vAlign w:val="center"/>
          </w:tcPr>
          <w:p w14:paraId="708C68D4">
            <w:pPr>
              <w:suppressAutoHyphens/>
              <w:rPr>
                <w:i/>
                <w:iCs/>
                <w:color w:val="000000" w:themeColor="text1"/>
                <w:sz w:val="18"/>
                <w:szCs w:val="18"/>
                <w14:textFill>
                  <w14:solidFill>
                    <w14:schemeClr w14:val="tx1"/>
                  </w14:solidFill>
                </w14:textFill>
              </w:rPr>
            </w:pPr>
          </w:p>
        </w:tc>
        <w:tc>
          <w:tcPr>
            <w:tcW w:w="850" w:type="dxa"/>
            <w:vAlign w:val="center"/>
          </w:tcPr>
          <w:p w14:paraId="708C68D5">
            <w:pPr>
              <w:suppressAutoHyphens/>
              <w:rPr>
                <w:i/>
                <w:iCs/>
                <w:color w:val="000000" w:themeColor="text1"/>
                <w:sz w:val="18"/>
                <w:szCs w:val="18"/>
                <w14:textFill>
                  <w14:solidFill>
                    <w14:schemeClr w14:val="tx1"/>
                  </w14:solidFill>
                </w14:textFill>
              </w:rPr>
            </w:pPr>
          </w:p>
        </w:tc>
        <w:tc>
          <w:tcPr>
            <w:tcW w:w="709" w:type="dxa"/>
            <w:vAlign w:val="center"/>
          </w:tcPr>
          <w:p w14:paraId="708C68D6">
            <w:pPr>
              <w:suppressAutoHyphens/>
              <w:rPr>
                <w:i/>
                <w:iCs/>
                <w:color w:val="000000" w:themeColor="text1"/>
                <w:sz w:val="18"/>
                <w:szCs w:val="18"/>
                <w14:textFill>
                  <w14:solidFill>
                    <w14:schemeClr w14:val="tx1"/>
                  </w14:solidFill>
                </w14:textFill>
              </w:rPr>
            </w:pPr>
          </w:p>
        </w:tc>
        <w:tc>
          <w:tcPr>
            <w:tcW w:w="1560" w:type="dxa"/>
            <w:vAlign w:val="center"/>
          </w:tcPr>
          <w:p w14:paraId="708C68D7">
            <w:pPr>
              <w:suppressAutoHyphens/>
              <w:rPr>
                <w:i/>
                <w:iCs/>
                <w:color w:val="000000" w:themeColor="text1"/>
                <w:sz w:val="18"/>
                <w:szCs w:val="18"/>
                <w14:textFill>
                  <w14:solidFill>
                    <w14:schemeClr w14:val="tx1"/>
                  </w14:solidFill>
                </w14:textFill>
              </w:rPr>
            </w:pPr>
          </w:p>
        </w:tc>
        <w:tc>
          <w:tcPr>
            <w:tcW w:w="709" w:type="dxa"/>
            <w:vAlign w:val="center"/>
          </w:tcPr>
          <w:p w14:paraId="708C68D8">
            <w:pPr>
              <w:suppressAutoHyphens/>
              <w:rPr>
                <w:i/>
                <w:iCs/>
                <w:color w:val="000000" w:themeColor="text1"/>
                <w:sz w:val="18"/>
                <w:szCs w:val="18"/>
                <w14:textFill>
                  <w14:solidFill>
                    <w14:schemeClr w14:val="tx1"/>
                  </w14:solidFill>
                </w14:textFill>
              </w:rPr>
            </w:pPr>
          </w:p>
        </w:tc>
        <w:tc>
          <w:tcPr>
            <w:tcW w:w="851" w:type="dxa"/>
            <w:vAlign w:val="center"/>
          </w:tcPr>
          <w:p w14:paraId="708C68D9">
            <w:pPr>
              <w:suppressAutoHyphens/>
              <w:rPr>
                <w:i/>
                <w:iCs/>
                <w:color w:val="000000" w:themeColor="text1"/>
                <w:sz w:val="18"/>
                <w:szCs w:val="18"/>
                <w14:textFill>
                  <w14:solidFill>
                    <w14:schemeClr w14:val="tx1"/>
                  </w14:solidFill>
                </w14:textFill>
              </w:rPr>
            </w:pPr>
          </w:p>
        </w:tc>
        <w:tc>
          <w:tcPr>
            <w:tcW w:w="708" w:type="dxa"/>
            <w:vAlign w:val="center"/>
          </w:tcPr>
          <w:p w14:paraId="708C68DA">
            <w:pPr>
              <w:suppressAutoHyphens/>
              <w:jc w:val="center"/>
              <w:rPr>
                <w:i/>
                <w:iCs/>
                <w:color w:val="000000" w:themeColor="text1"/>
                <w:sz w:val="18"/>
                <w:szCs w:val="18"/>
                <w14:textFill>
                  <w14:solidFill>
                    <w14:schemeClr w14:val="tx1"/>
                  </w14:solidFill>
                </w14:textFill>
              </w:rPr>
            </w:pPr>
          </w:p>
        </w:tc>
        <w:tc>
          <w:tcPr>
            <w:tcW w:w="1845" w:type="dxa"/>
            <w:vAlign w:val="center"/>
          </w:tcPr>
          <w:p w14:paraId="708C68DB">
            <w:pPr>
              <w:suppressAutoHyphens/>
              <w:rPr>
                <w:i/>
                <w:iCs/>
                <w:color w:val="000000" w:themeColor="text1"/>
                <w:sz w:val="18"/>
                <w:szCs w:val="18"/>
                <w14:textFill>
                  <w14:solidFill>
                    <w14:schemeClr w14:val="tx1"/>
                  </w14:solidFill>
                </w14:textFill>
              </w:rPr>
            </w:pPr>
          </w:p>
        </w:tc>
        <w:tc>
          <w:tcPr>
            <w:tcW w:w="1134" w:type="dxa"/>
            <w:vAlign w:val="center"/>
          </w:tcPr>
          <w:p w14:paraId="708C68DC">
            <w:pPr>
              <w:suppressAutoHyphens/>
              <w:jc w:val="center"/>
              <w:rPr>
                <w:i/>
                <w:iCs/>
                <w:color w:val="000000" w:themeColor="text1"/>
                <w:sz w:val="18"/>
                <w:szCs w:val="18"/>
                <w14:textFill>
                  <w14:solidFill>
                    <w14:schemeClr w14:val="tx1"/>
                  </w14:solidFill>
                </w14:textFill>
              </w:rPr>
            </w:pPr>
          </w:p>
        </w:tc>
        <w:tc>
          <w:tcPr>
            <w:tcW w:w="1135" w:type="dxa"/>
            <w:vAlign w:val="center"/>
          </w:tcPr>
          <w:p w14:paraId="708C68DD">
            <w:pPr>
              <w:suppressAutoHyphens/>
              <w:jc w:val="center"/>
              <w:rPr>
                <w:i/>
                <w:iCs/>
                <w:color w:val="000000" w:themeColor="text1"/>
                <w:sz w:val="18"/>
                <w:szCs w:val="18"/>
                <w14:textFill>
                  <w14:solidFill>
                    <w14:schemeClr w14:val="tx1"/>
                  </w14:solidFill>
                </w14:textFill>
              </w:rPr>
            </w:pPr>
          </w:p>
        </w:tc>
        <w:tc>
          <w:tcPr>
            <w:tcW w:w="993" w:type="dxa"/>
            <w:vAlign w:val="center"/>
          </w:tcPr>
          <w:p w14:paraId="708C68DE">
            <w:pPr>
              <w:suppressAutoHyphens/>
              <w:jc w:val="center"/>
              <w:rPr>
                <w:i/>
                <w:iCs/>
                <w:color w:val="000000" w:themeColor="text1"/>
                <w:sz w:val="18"/>
                <w:szCs w:val="18"/>
                <w14:textFill>
                  <w14:solidFill>
                    <w14:schemeClr w14:val="tx1"/>
                  </w14:solidFill>
                </w14:textFill>
              </w:rPr>
            </w:pPr>
          </w:p>
        </w:tc>
      </w:tr>
      <w:tr w14:paraId="708C6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45" w:hRule="atLeast"/>
          <w:jc w:val="center"/>
        </w:trPr>
        <w:tc>
          <w:tcPr>
            <w:tcW w:w="1552" w:type="dxa"/>
            <w:gridSpan w:val="2"/>
            <w:vAlign w:val="center"/>
          </w:tcPr>
          <w:p w14:paraId="708C68E0">
            <w:pPr>
              <w:suppressAutoHyphens/>
              <w:jc w:val="center"/>
              <w:rPr>
                <w:b/>
                <w:iCs/>
                <w:color w:val="000000" w:themeColor="text1"/>
                <w:sz w:val="18"/>
                <w:szCs w:val="18"/>
                <w14:textFill>
                  <w14:solidFill>
                    <w14:schemeClr w14:val="tx1"/>
                  </w14:solidFill>
                </w14:textFill>
              </w:rPr>
            </w:pPr>
          </w:p>
        </w:tc>
        <w:tc>
          <w:tcPr>
            <w:tcW w:w="708" w:type="dxa"/>
            <w:vAlign w:val="center"/>
          </w:tcPr>
          <w:p w14:paraId="708C68E1">
            <w:pPr>
              <w:suppressAutoHyphens/>
              <w:jc w:val="center"/>
              <w:rPr>
                <w:b/>
                <w:iCs/>
                <w:color w:val="000000" w:themeColor="text1"/>
                <w:sz w:val="18"/>
                <w:szCs w:val="18"/>
                <w14:textFill>
                  <w14:solidFill>
                    <w14:schemeClr w14:val="tx1"/>
                  </w14:solidFill>
                </w14:textFill>
              </w:rPr>
            </w:pPr>
          </w:p>
        </w:tc>
        <w:tc>
          <w:tcPr>
            <w:tcW w:w="993" w:type="dxa"/>
            <w:vAlign w:val="center"/>
          </w:tcPr>
          <w:p w14:paraId="708C68E2">
            <w:pPr>
              <w:suppressAutoHyphens/>
              <w:jc w:val="center"/>
              <w:rPr>
                <w:b/>
                <w:iCs/>
                <w:color w:val="000000" w:themeColor="text1"/>
                <w:sz w:val="18"/>
                <w:szCs w:val="18"/>
                <w14:textFill>
                  <w14:solidFill>
                    <w14:schemeClr w14:val="tx1"/>
                  </w14:solidFill>
                </w14:textFill>
              </w:rPr>
            </w:pPr>
          </w:p>
        </w:tc>
        <w:tc>
          <w:tcPr>
            <w:tcW w:w="992" w:type="dxa"/>
            <w:vAlign w:val="center"/>
          </w:tcPr>
          <w:p w14:paraId="708C68E3">
            <w:pPr>
              <w:suppressAutoHyphens/>
              <w:jc w:val="center"/>
              <w:rPr>
                <w:b/>
                <w:iCs/>
                <w:color w:val="000000" w:themeColor="text1"/>
                <w:sz w:val="18"/>
                <w:szCs w:val="18"/>
                <w14:textFill>
                  <w14:solidFill>
                    <w14:schemeClr w14:val="tx1"/>
                  </w14:solidFill>
                </w14:textFill>
              </w:rPr>
            </w:pPr>
          </w:p>
        </w:tc>
        <w:tc>
          <w:tcPr>
            <w:tcW w:w="850" w:type="dxa"/>
            <w:vAlign w:val="center"/>
          </w:tcPr>
          <w:p w14:paraId="708C68E4">
            <w:pPr>
              <w:suppressAutoHyphens/>
              <w:jc w:val="center"/>
              <w:rPr>
                <w:b/>
                <w:iCs/>
                <w:color w:val="000000" w:themeColor="text1"/>
                <w:sz w:val="18"/>
                <w:szCs w:val="18"/>
                <w14:textFill>
                  <w14:solidFill>
                    <w14:schemeClr w14:val="tx1"/>
                  </w14:solidFill>
                </w14:textFill>
              </w:rPr>
            </w:pPr>
          </w:p>
        </w:tc>
        <w:tc>
          <w:tcPr>
            <w:tcW w:w="7941" w:type="dxa"/>
            <w:gridSpan w:val="8"/>
            <w:vAlign w:val="center"/>
          </w:tcPr>
          <w:p w14:paraId="708C68E5">
            <w:pPr>
              <w:suppressAutoHyphens/>
              <w:jc w:val="center"/>
              <w:rPr>
                <w:b/>
                <w:iCs/>
                <w:color w:val="000000" w:themeColor="text1"/>
                <w:sz w:val="18"/>
                <w:szCs w:val="18"/>
                <w14:textFill>
                  <w14:solidFill>
                    <w14:schemeClr w14:val="tx1"/>
                  </w14:solidFill>
                </w14:textFill>
              </w:rPr>
            </w:pPr>
            <w:r>
              <w:rPr>
                <w:b/>
                <w:iCs/>
                <w:color w:val="000000" w:themeColor="text1"/>
                <w:sz w:val="18"/>
                <w:szCs w:val="18"/>
                <w14:textFill>
                  <w14:solidFill>
                    <w14:schemeClr w14:val="tx1"/>
                  </w14:solidFill>
                </w14:textFill>
              </w:rPr>
              <w:t xml:space="preserve">  Total</w:t>
            </w:r>
          </w:p>
        </w:tc>
        <w:tc>
          <w:tcPr>
            <w:tcW w:w="1134" w:type="dxa"/>
            <w:vAlign w:val="center"/>
          </w:tcPr>
          <w:p w14:paraId="708C68E6">
            <w:pPr>
              <w:suppressAutoHyphens/>
              <w:jc w:val="center"/>
              <w:rPr>
                <w:i/>
                <w:iCs/>
                <w:color w:val="000000" w:themeColor="text1"/>
                <w:sz w:val="18"/>
                <w:szCs w:val="18"/>
                <w14:textFill>
                  <w14:solidFill>
                    <w14:schemeClr w14:val="tx1"/>
                  </w14:solidFill>
                </w14:textFill>
              </w:rPr>
            </w:pPr>
            <w:r>
              <w:rPr>
                <w:i/>
                <w:iCs/>
                <w:color w:val="000000" w:themeColor="text1"/>
                <w:sz w:val="18"/>
                <w:szCs w:val="18"/>
                <w14:textFill>
                  <w14:solidFill>
                    <w14:schemeClr w14:val="tx1"/>
                  </w14:solidFill>
                </w14:textFill>
              </w:rPr>
              <w:t>(M</w:t>
            </w:r>
            <w:r>
              <w:rPr>
                <w:i/>
                <w:iCs/>
                <w:color w:val="000000" w:themeColor="text1"/>
                <w:sz w:val="18"/>
                <w:szCs w:val="18"/>
                <w:vertAlign w:val="superscript"/>
                <w14:textFill>
                  <w14:solidFill>
                    <w14:schemeClr w14:val="tx1"/>
                  </w14:solidFill>
                </w14:textFill>
              </w:rPr>
              <w:t>*</w:t>
            </w:r>
            <w:r>
              <w:rPr>
                <w:i/>
                <w:iCs/>
                <w:color w:val="000000" w:themeColor="text1"/>
                <w:sz w:val="18"/>
                <w:szCs w:val="18"/>
                <w14:textFill>
                  <w14:solidFill>
                    <w14:schemeClr w14:val="tx1"/>
                  </w14:solidFill>
                </w14:textFill>
              </w:rPr>
              <w:t>)</w:t>
            </w:r>
          </w:p>
        </w:tc>
        <w:tc>
          <w:tcPr>
            <w:tcW w:w="1135" w:type="dxa"/>
            <w:vAlign w:val="center"/>
          </w:tcPr>
          <w:p w14:paraId="708C68E7">
            <w:pPr>
              <w:suppressAutoHyphens/>
              <w:jc w:val="center"/>
              <w:rPr>
                <w:i/>
                <w:iCs/>
                <w:color w:val="000000" w:themeColor="text1"/>
                <w:sz w:val="18"/>
                <w:szCs w:val="18"/>
                <w14:textFill>
                  <w14:solidFill>
                    <w14:schemeClr w14:val="tx1"/>
                  </w14:solidFill>
                </w14:textFill>
              </w:rPr>
            </w:pPr>
          </w:p>
        </w:tc>
        <w:tc>
          <w:tcPr>
            <w:tcW w:w="993" w:type="dxa"/>
            <w:vAlign w:val="center"/>
          </w:tcPr>
          <w:p w14:paraId="708C68E8">
            <w:pPr>
              <w:suppressAutoHyphens/>
              <w:jc w:val="center"/>
              <w:rPr>
                <w:i/>
                <w:iCs/>
                <w:color w:val="000000" w:themeColor="text1"/>
                <w:sz w:val="18"/>
                <w:szCs w:val="18"/>
                <w14:textFill>
                  <w14:solidFill>
                    <w14:schemeClr w14:val="tx1"/>
                  </w14:solidFill>
                </w14:textFill>
              </w:rPr>
            </w:pPr>
            <w:r>
              <w:rPr>
                <w:i/>
                <w:iCs/>
                <w:color w:val="000000" w:themeColor="text1"/>
                <w:sz w:val="18"/>
                <w:szCs w:val="18"/>
                <w14:textFill>
                  <w14:solidFill>
                    <w14:schemeClr w14:val="tx1"/>
                  </w14:solidFill>
                </w14:textFill>
              </w:rPr>
              <w:t>(M1)</w:t>
            </w:r>
          </w:p>
        </w:tc>
      </w:tr>
    </w:tbl>
    <w:p w14:paraId="708C68EA">
      <w:pPr>
        <w:pStyle w:val="15"/>
        <w:widowControl w:val="0"/>
        <w:shd w:val="clear" w:color="auto" w:fill="FFFFFF"/>
        <w:spacing w:before="120" w:line="264" w:lineRule="auto"/>
        <w:ind w:firstLine="567"/>
        <w:jc w:val="right"/>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Legal representative of the Bidder</w:t>
      </w:r>
    </w:p>
    <w:p w14:paraId="708C68EB">
      <w:pPr>
        <w:pStyle w:val="4"/>
        <w:widowControl w:val="0"/>
        <w:shd w:val="clear" w:color="auto" w:fill="FFFFFF"/>
        <w:spacing w:before="120" w:after="120" w:line="264" w:lineRule="auto"/>
        <w:ind w:firstLine="567"/>
        <w:jc w:val="right"/>
        <w:rPr>
          <w:rFonts w:ascii="Times New Roman" w:hAnsi="Times New Roman"/>
          <w:i/>
          <w:color w:val="000000" w:themeColor="text1"/>
          <w14:textFill>
            <w14:solidFill>
              <w14:schemeClr w14:val="tx1"/>
            </w14:solidFill>
          </w14:textFill>
        </w:rPr>
      </w:pPr>
      <w:r>
        <w:rPr>
          <w:rFonts w:ascii="Times New Roman" w:hAnsi="Times New Roman"/>
          <w:i/>
          <w:color w:val="000000" w:themeColor="text1"/>
          <w14:textFill>
            <w14:solidFill>
              <w14:schemeClr w14:val="tx1"/>
            </w14:solidFill>
          </w14:textFill>
        </w:rPr>
        <w:t>(Full name, position, signature and seal)</w:t>
      </w:r>
    </w:p>
    <w:p w14:paraId="708C68EC">
      <w:pPr>
        <w:spacing w:before="40" w:after="40"/>
        <w:ind w:firstLine="709"/>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Note: </w:t>
      </w:r>
    </w:p>
    <w:p w14:paraId="708C68ED">
      <w:pPr>
        <w:spacing w:before="40" w:after="40"/>
        <w:ind w:firstLine="709"/>
        <w:jc w:val="both"/>
        <w:rPr>
          <w:strike/>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(5), (6), (7), (8), (9) and (10): </w:t>
      </w:r>
      <w:r>
        <w:rPr>
          <w:sz w:val="26"/>
          <w:szCs w:val="26"/>
        </w:rPr>
        <w:t xml:space="preserve">The bidder must specify the </w:t>
      </w:r>
      <w:r>
        <w:rPr>
          <w:color w:val="000000"/>
          <w:sz w:val="26"/>
          <w:szCs w:val="26"/>
        </w:rPr>
        <w:t xml:space="preserve">Marks and Numbers, Trade mark, Origin, Manufacturer </w:t>
      </w:r>
      <w:r>
        <w:rPr>
          <w:sz w:val="26"/>
          <w:szCs w:val="26"/>
        </w:rPr>
        <w:t>of the Goods in accordance with the technical proposal</w:t>
      </w:r>
      <w:r>
        <w:rPr>
          <w:color w:val="000000" w:themeColor="text1"/>
          <w:sz w:val="26"/>
          <w:szCs w:val="26"/>
          <w:highlight w:val="green"/>
          <w14:textFill>
            <w14:solidFill>
              <w14:schemeClr w14:val="tx1"/>
            </w14:solidFill>
          </w14:textFill>
        </w:rPr>
        <w:t>;</w:t>
      </w:r>
    </w:p>
    <w:p w14:paraId="708C68EE">
      <w:pPr>
        <w:spacing w:before="40" w:after="40"/>
        <w:ind w:firstLine="709"/>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(11): If the Bidder knows HS code of goods, then fill it; otherwise, leave it blank;</w:t>
      </w:r>
    </w:p>
    <w:p w14:paraId="708C68EF">
      <w:pPr>
        <w:spacing w:before="40" w:after="40"/>
        <w:ind w:firstLine="709"/>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(14): Including unloading cost at site (including premium);</w:t>
      </w:r>
    </w:p>
    <w:p w14:paraId="708C68F0">
      <w:pPr>
        <w:spacing w:before="40" w:after="40"/>
        <w:ind w:firstLine="709"/>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Total price (M*) excluding excise tax (if any), VAT for Goods is the basis for comparison and bidder ranking. The value of excise tax (if any), VAT (column 16) will not be considered in the evaluation process for comparison and bidder ranking. The proposed awarding bid price and the contract price shall include the value of excise tax</w:t>
      </w:r>
      <w:r>
        <w:rPr>
          <w:b/>
          <w:bCs/>
          <w:color w:val="000000" w:themeColor="text1"/>
          <w:sz w:val="26"/>
          <w:szCs w:val="26"/>
          <w:shd w:val="clear" w:color="auto" w:fill="FFFFFF"/>
          <w14:textFill>
            <w14:solidFill>
              <w14:schemeClr w14:val="tx1"/>
            </w14:solidFill>
          </w14:textFill>
        </w:rPr>
        <w:t xml:space="preserve"> </w:t>
      </w:r>
      <w:r>
        <w:rPr>
          <w:color w:val="000000" w:themeColor="text1"/>
          <w:sz w:val="26"/>
          <w:szCs w:val="26"/>
          <w14:textFill>
            <w14:solidFill>
              <w14:schemeClr w14:val="tx1"/>
            </w14:solidFill>
          </w14:textFill>
        </w:rPr>
        <w:t>(if any), VAT.</w:t>
      </w:r>
    </w:p>
    <w:p w14:paraId="708C68F1">
      <w:pPr>
        <w:spacing w:before="40" w:after="40"/>
        <w:ind w:firstLine="709"/>
        <w:jc w:val="both"/>
        <w:rPr>
          <w:color w:val="000000" w:themeColor="text1"/>
          <w:sz w:val="26"/>
          <w:szCs w:val="26"/>
          <w14:textFill>
            <w14:solidFill>
              <w14:schemeClr w14:val="tx1"/>
            </w14:solidFill>
          </w14:textFill>
        </w:rPr>
      </w:pPr>
    </w:p>
    <w:p w14:paraId="708C68F2">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br w:type="page"/>
      </w:r>
    </w:p>
    <w:p w14:paraId="708C68F3">
      <w:pPr>
        <w:pStyle w:val="97"/>
        <w:numPr>
          <w:ilvl w:val="0"/>
          <w:numId w:val="57"/>
        </w:numPr>
        <w:rPr>
          <w:b/>
          <w:i/>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For goods manufactured or processed from abroad, already imported within Vietnam</w:t>
      </w:r>
    </w:p>
    <w:tbl>
      <w:tblPr>
        <w:tblStyle w:val="12"/>
        <w:tblpPr w:leftFromText="180" w:rightFromText="180" w:vertAnchor="text" w:horzAnchor="margin" w:tblpXSpec="center" w:tblpY="135"/>
        <w:tblW w:w="158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2" w:type="dxa"/>
          <w:bottom w:w="0" w:type="dxa"/>
          <w:right w:w="72" w:type="dxa"/>
        </w:tblCellMar>
      </w:tblPr>
      <w:tblGrid>
        <w:gridCol w:w="420"/>
        <w:gridCol w:w="708"/>
        <w:gridCol w:w="568"/>
        <w:gridCol w:w="729"/>
        <w:gridCol w:w="28"/>
        <w:gridCol w:w="698"/>
        <w:gridCol w:w="11"/>
        <w:gridCol w:w="698"/>
        <w:gridCol w:w="11"/>
        <w:gridCol w:w="698"/>
        <w:gridCol w:w="11"/>
        <w:gridCol w:w="698"/>
        <w:gridCol w:w="635"/>
        <w:gridCol w:w="886"/>
        <w:gridCol w:w="567"/>
        <w:gridCol w:w="782"/>
        <w:gridCol w:w="992"/>
        <w:gridCol w:w="993"/>
        <w:gridCol w:w="850"/>
        <w:gridCol w:w="1203"/>
        <w:gridCol w:w="1207"/>
        <w:gridCol w:w="19"/>
        <w:gridCol w:w="690"/>
        <w:gridCol w:w="19"/>
        <w:gridCol w:w="690"/>
        <w:gridCol w:w="19"/>
        <w:gridCol w:w="1041"/>
        <w:gridCol w:w="12"/>
      </w:tblGrid>
      <w:tr w14:paraId="708C6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2" w:type="dxa"/>
          <w:cantSplit/>
          <w:trHeight w:val="805" w:hRule="atLeast"/>
        </w:trPr>
        <w:tc>
          <w:tcPr>
            <w:tcW w:w="420" w:type="dxa"/>
            <w:shd w:val="clear" w:color="auto" w:fill="E2EFD9"/>
            <w:vAlign w:val="center"/>
          </w:tcPr>
          <w:p w14:paraId="708C68F4">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No.</w:t>
            </w:r>
          </w:p>
        </w:tc>
        <w:tc>
          <w:tcPr>
            <w:tcW w:w="708" w:type="dxa"/>
            <w:shd w:val="clear" w:color="auto" w:fill="E2EFD9"/>
            <w:vAlign w:val="center"/>
          </w:tcPr>
          <w:p w14:paraId="708C68F5">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List of Goods</w:t>
            </w:r>
          </w:p>
        </w:tc>
        <w:tc>
          <w:tcPr>
            <w:tcW w:w="568" w:type="dxa"/>
            <w:shd w:val="clear" w:color="auto" w:fill="E2EFD9"/>
            <w:vAlign w:val="center"/>
          </w:tcPr>
          <w:p w14:paraId="708C68F6">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Units</w:t>
            </w:r>
          </w:p>
        </w:tc>
        <w:tc>
          <w:tcPr>
            <w:tcW w:w="729" w:type="dxa"/>
            <w:shd w:val="clear" w:color="auto" w:fill="E2EFD9"/>
            <w:vAlign w:val="center"/>
          </w:tcPr>
          <w:p w14:paraId="708C68F7">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Quantity</w:t>
            </w:r>
          </w:p>
          <w:p w14:paraId="708C68F8">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w:t>
            </w:r>
            <w:r>
              <w:rPr>
                <w:b/>
                <w:i/>
                <w:color w:val="000000" w:themeColor="text1"/>
                <w:sz w:val="18"/>
                <w:szCs w:val="18"/>
                <w14:textFill>
                  <w14:solidFill>
                    <w14:schemeClr w14:val="tx1"/>
                  </w14:solidFill>
                </w14:textFill>
              </w:rPr>
              <w:t>insert by scope of supply</w:t>
            </w:r>
            <w:r>
              <w:rPr>
                <w:b/>
                <w:color w:val="000000" w:themeColor="text1"/>
                <w:sz w:val="18"/>
                <w:szCs w:val="18"/>
                <w14:textFill>
                  <w14:solidFill>
                    <w14:schemeClr w14:val="tx1"/>
                  </w14:solidFill>
                </w14:textFill>
              </w:rPr>
              <w:t xml:space="preserve">] </w:t>
            </w:r>
          </w:p>
        </w:tc>
        <w:tc>
          <w:tcPr>
            <w:tcW w:w="726" w:type="dxa"/>
            <w:gridSpan w:val="2"/>
            <w:shd w:val="clear" w:color="auto" w:fill="E2EFD9"/>
            <w:vAlign w:val="center"/>
          </w:tcPr>
          <w:p w14:paraId="708C68F9">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Marks and Numbers</w:t>
            </w:r>
          </w:p>
        </w:tc>
        <w:tc>
          <w:tcPr>
            <w:tcW w:w="709" w:type="dxa"/>
            <w:gridSpan w:val="2"/>
            <w:shd w:val="clear" w:color="auto" w:fill="E2EFD9"/>
            <w:vAlign w:val="center"/>
          </w:tcPr>
          <w:p w14:paraId="708C68FA">
            <w:pPr>
              <w:suppressAutoHyphens/>
              <w:jc w:val="center"/>
              <w:rPr>
                <w:b/>
                <w:color w:val="000000" w:themeColor="text1"/>
                <w:sz w:val="18"/>
                <w:szCs w:val="18"/>
                <w14:textFill>
                  <w14:solidFill>
                    <w14:schemeClr w14:val="tx1"/>
                  </w14:solidFill>
                </w14:textFill>
              </w:rPr>
            </w:pPr>
            <w:r>
              <w:rPr>
                <w:b/>
                <w:bCs/>
                <w:color w:val="000000" w:themeColor="text1"/>
                <w:sz w:val="18"/>
                <w:szCs w:val="18"/>
                <w:lang w:val="nl-NL"/>
                <w14:textFill>
                  <w14:solidFill>
                    <w14:schemeClr w14:val="tx1"/>
                  </w14:solidFill>
                </w14:textFill>
              </w:rPr>
              <w:t>Trademark</w:t>
            </w:r>
          </w:p>
        </w:tc>
        <w:tc>
          <w:tcPr>
            <w:tcW w:w="709" w:type="dxa"/>
            <w:gridSpan w:val="2"/>
            <w:shd w:val="clear" w:color="auto" w:fill="E2EFD9"/>
            <w:vAlign w:val="center"/>
          </w:tcPr>
          <w:p w14:paraId="708C68FB">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Year of manufacture</w:t>
            </w:r>
          </w:p>
        </w:tc>
        <w:tc>
          <w:tcPr>
            <w:tcW w:w="709" w:type="dxa"/>
            <w:gridSpan w:val="2"/>
            <w:shd w:val="clear" w:color="auto" w:fill="E2EFD9"/>
            <w:vAlign w:val="center"/>
          </w:tcPr>
          <w:p w14:paraId="708C68FC">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 xml:space="preserve">Origin </w:t>
            </w:r>
          </w:p>
          <w:p w14:paraId="708C68FD">
            <w:pPr>
              <w:suppressAutoHyphens/>
              <w:jc w:val="center"/>
              <w:rPr>
                <w:b/>
                <w:color w:val="000000" w:themeColor="text1"/>
                <w:sz w:val="18"/>
                <w:szCs w:val="18"/>
                <w14:textFill>
                  <w14:solidFill>
                    <w14:schemeClr w14:val="tx1"/>
                  </w14:solidFill>
                </w14:textFill>
              </w:rPr>
            </w:pPr>
            <w:r>
              <w:rPr>
                <w:i/>
                <w:color w:val="000000" w:themeColor="text1"/>
                <w:sz w:val="18"/>
                <w:szCs w:val="18"/>
                <w14:textFill>
                  <w14:solidFill>
                    <w14:schemeClr w14:val="tx1"/>
                  </w14:solidFill>
                </w14:textFill>
              </w:rPr>
              <w:t xml:space="preserve">[insert name of country, territory] </w:t>
            </w:r>
          </w:p>
        </w:tc>
        <w:tc>
          <w:tcPr>
            <w:tcW w:w="635" w:type="dxa"/>
            <w:shd w:val="clear" w:color="auto" w:fill="E2EFD9"/>
            <w:vAlign w:val="center"/>
          </w:tcPr>
          <w:p w14:paraId="708C68FE">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Manufacturer</w:t>
            </w:r>
          </w:p>
        </w:tc>
        <w:tc>
          <w:tcPr>
            <w:tcW w:w="886" w:type="dxa"/>
            <w:shd w:val="clear" w:color="auto" w:fill="E2EFD9"/>
            <w:vAlign w:val="center"/>
          </w:tcPr>
          <w:p w14:paraId="708C68FF">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Configuration and technical specification</w:t>
            </w:r>
          </w:p>
        </w:tc>
        <w:tc>
          <w:tcPr>
            <w:tcW w:w="567" w:type="dxa"/>
            <w:shd w:val="clear" w:color="auto" w:fill="E2EFD9"/>
            <w:vAlign w:val="center"/>
          </w:tcPr>
          <w:p w14:paraId="708C6900">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 xml:space="preserve">HS Code </w:t>
            </w:r>
          </w:p>
        </w:tc>
        <w:tc>
          <w:tcPr>
            <w:tcW w:w="782" w:type="dxa"/>
            <w:shd w:val="clear" w:color="auto" w:fill="E2EFD9"/>
            <w:vAlign w:val="center"/>
          </w:tcPr>
          <w:p w14:paraId="708C6901">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Unit price includes custom Duties Taxes, fees and duties related to import</w:t>
            </w:r>
          </w:p>
        </w:tc>
        <w:tc>
          <w:tcPr>
            <w:tcW w:w="992" w:type="dxa"/>
            <w:shd w:val="clear" w:color="auto" w:fill="E2EFD9"/>
            <w:vAlign w:val="center"/>
          </w:tcPr>
          <w:p w14:paraId="708C6902">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Custom Duties, Taxes, fees and duties related to import per unit of goods</w:t>
            </w:r>
          </w:p>
        </w:tc>
        <w:tc>
          <w:tcPr>
            <w:tcW w:w="993" w:type="dxa"/>
            <w:shd w:val="clear" w:color="auto" w:fill="E2EFD9"/>
            <w:vAlign w:val="center"/>
          </w:tcPr>
          <w:p w14:paraId="708C6903">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Unit price excludes Custom Duties Taxes, fees and duties related to import</w:t>
            </w:r>
          </w:p>
        </w:tc>
        <w:tc>
          <w:tcPr>
            <w:tcW w:w="850" w:type="dxa"/>
            <w:shd w:val="clear" w:color="auto" w:fill="E2EFD9"/>
            <w:vAlign w:val="center"/>
          </w:tcPr>
          <w:p w14:paraId="708C6904">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The price of each item excludes Custom Duties, Taxes, fees and duties related to import</w:t>
            </w:r>
          </w:p>
        </w:tc>
        <w:tc>
          <w:tcPr>
            <w:tcW w:w="1203" w:type="dxa"/>
            <w:shd w:val="clear" w:color="auto" w:fill="E2EFD9"/>
            <w:vAlign w:val="center"/>
          </w:tcPr>
          <w:p w14:paraId="708C6905">
            <w:pPr>
              <w:suppressAutoHyphens/>
              <w:jc w:val="both"/>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Price per line item for inland transportation, insurance and other services required (including VAT) to convey goods to the final destination</w:t>
            </w:r>
          </w:p>
        </w:tc>
        <w:tc>
          <w:tcPr>
            <w:tcW w:w="1207" w:type="dxa"/>
            <w:shd w:val="clear" w:color="auto" w:fill="E2EFD9"/>
            <w:vAlign w:val="center"/>
          </w:tcPr>
          <w:p w14:paraId="708C6906">
            <w:pPr>
              <w:suppressAutoHyphens/>
              <w:jc w:val="both"/>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 xml:space="preserve">The total price excludes Custom Duties Taxes, fees and duties related to import, </w:t>
            </w:r>
            <w:r>
              <w:rPr>
                <w:b/>
                <w:bCs/>
                <w:color w:val="000000" w:themeColor="text1"/>
                <w:sz w:val="18"/>
                <w:szCs w:val="18"/>
                <w14:textFill>
                  <w14:solidFill>
                    <w14:schemeClr w14:val="tx1"/>
                  </w14:solidFill>
                </w14:textFill>
              </w:rPr>
              <w:t>excise tax</w:t>
            </w:r>
            <w:r>
              <w:rPr>
                <w:b/>
                <w:color w:val="000000" w:themeColor="text1"/>
                <w:sz w:val="18"/>
                <w:szCs w:val="18"/>
                <w14:textFill>
                  <w14:solidFill>
                    <w14:schemeClr w14:val="tx1"/>
                  </w14:solidFill>
                </w14:textFill>
              </w:rPr>
              <w:t xml:space="preserve"> (if any), VAT for Goods</w:t>
            </w:r>
          </w:p>
        </w:tc>
        <w:tc>
          <w:tcPr>
            <w:tcW w:w="709" w:type="dxa"/>
            <w:gridSpan w:val="2"/>
            <w:shd w:val="clear" w:color="auto" w:fill="E2EFD9"/>
            <w:vAlign w:val="center"/>
          </w:tcPr>
          <w:p w14:paraId="708C6907">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Taxes, fees and duties related to import per item</w:t>
            </w:r>
          </w:p>
        </w:tc>
        <w:tc>
          <w:tcPr>
            <w:tcW w:w="709" w:type="dxa"/>
            <w:gridSpan w:val="2"/>
            <w:shd w:val="clear" w:color="auto" w:fill="E2EFD9"/>
            <w:vAlign w:val="center"/>
          </w:tcPr>
          <w:p w14:paraId="708C6908">
            <w:pPr>
              <w:suppressAutoHyphens/>
              <w:jc w:val="center"/>
              <w:rPr>
                <w:b/>
                <w:color w:val="000000" w:themeColor="text1"/>
                <w:sz w:val="18"/>
                <w:szCs w:val="18"/>
                <w14:textFill>
                  <w14:solidFill>
                    <w14:schemeClr w14:val="tx1"/>
                  </w14:solidFill>
                </w14:textFill>
              </w:rPr>
            </w:pPr>
            <w:r>
              <w:rPr>
                <w:b/>
                <w:bCs/>
                <w:color w:val="000000" w:themeColor="text1"/>
                <w:sz w:val="18"/>
                <w:szCs w:val="18"/>
                <w14:textFill>
                  <w14:solidFill>
                    <w14:schemeClr w14:val="tx1"/>
                  </w14:solidFill>
                </w14:textFill>
              </w:rPr>
              <w:t>Excise tax</w:t>
            </w:r>
            <w:r>
              <w:rPr>
                <w:b/>
                <w:color w:val="000000" w:themeColor="text1"/>
                <w:sz w:val="18"/>
                <w:szCs w:val="18"/>
                <w14:textFill>
                  <w14:solidFill>
                    <w14:schemeClr w14:val="tx1"/>
                  </w14:solidFill>
                </w14:textFill>
              </w:rPr>
              <w:t xml:space="preserve"> (if any), VAT for Goods</w:t>
            </w:r>
          </w:p>
        </w:tc>
        <w:tc>
          <w:tcPr>
            <w:tcW w:w="1060" w:type="dxa"/>
            <w:gridSpan w:val="2"/>
            <w:shd w:val="clear" w:color="auto" w:fill="E2EFD9"/>
            <w:vAlign w:val="center"/>
          </w:tcPr>
          <w:p w14:paraId="708C6909">
            <w:pPr>
              <w:suppressAutoHyphens/>
              <w:jc w:val="center"/>
              <w:rPr>
                <w:b/>
                <w:color w:val="000000" w:themeColor="text1"/>
                <w:sz w:val="18"/>
                <w:szCs w:val="18"/>
                <w14:textFill>
                  <w14:solidFill>
                    <w14:schemeClr w14:val="tx1"/>
                  </w14:solidFill>
                </w14:textFill>
              </w:rPr>
            </w:pPr>
          </w:p>
          <w:p w14:paraId="708C690A">
            <w:pPr>
              <w:suppressAutoHyphens/>
              <w:jc w:val="both"/>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The total price includes taxes, fees and duties related to import, excise tax (if any), VAT</w:t>
            </w:r>
          </w:p>
        </w:tc>
      </w:tr>
      <w:tr w14:paraId="708C6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2" w:type="dxa"/>
          <w:cantSplit/>
          <w:trHeight w:val="371" w:hRule="atLeast"/>
        </w:trPr>
        <w:tc>
          <w:tcPr>
            <w:tcW w:w="420" w:type="dxa"/>
            <w:vAlign w:val="center"/>
          </w:tcPr>
          <w:p w14:paraId="708C690C">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w:t>
            </w:r>
          </w:p>
        </w:tc>
        <w:tc>
          <w:tcPr>
            <w:tcW w:w="708" w:type="dxa"/>
            <w:vAlign w:val="center"/>
          </w:tcPr>
          <w:p w14:paraId="708C690D">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w:t>
            </w:r>
          </w:p>
        </w:tc>
        <w:tc>
          <w:tcPr>
            <w:tcW w:w="568" w:type="dxa"/>
            <w:vAlign w:val="center"/>
          </w:tcPr>
          <w:p w14:paraId="708C690E">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729" w:type="dxa"/>
            <w:vAlign w:val="center"/>
          </w:tcPr>
          <w:p w14:paraId="708C690F">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w:t>
            </w:r>
          </w:p>
        </w:tc>
        <w:tc>
          <w:tcPr>
            <w:tcW w:w="726" w:type="dxa"/>
            <w:gridSpan w:val="2"/>
            <w:vAlign w:val="center"/>
          </w:tcPr>
          <w:p w14:paraId="708C6910">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(5)</w:t>
            </w:r>
          </w:p>
        </w:tc>
        <w:tc>
          <w:tcPr>
            <w:tcW w:w="709" w:type="dxa"/>
            <w:gridSpan w:val="2"/>
            <w:vAlign w:val="center"/>
          </w:tcPr>
          <w:p w14:paraId="708C6911">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(6)</w:t>
            </w:r>
          </w:p>
        </w:tc>
        <w:tc>
          <w:tcPr>
            <w:tcW w:w="709" w:type="dxa"/>
            <w:gridSpan w:val="2"/>
            <w:vAlign w:val="center"/>
          </w:tcPr>
          <w:p w14:paraId="708C6912">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(7)</w:t>
            </w:r>
          </w:p>
        </w:tc>
        <w:tc>
          <w:tcPr>
            <w:tcW w:w="709" w:type="dxa"/>
            <w:gridSpan w:val="2"/>
            <w:vAlign w:val="center"/>
          </w:tcPr>
          <w:p w14:paraId="708C6913">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(8)</w:t>
            </w:r>
          </w:p>
        </w:tc>
        <w:tc>
          <w:tcPr>
            <w:tcW w:w="635" w:type="dxa"/>
            <w:vAlign w:val="center"/>
          </w:tcPr>
          <w:p w14:paraId="708C6914">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(9)</w:t>
            </w:r>
          </w:p>
        </w:tc>
        <w:tc>
          <w:tcPr>
            <w:tcW w:w="886" w:type="dxa"/>
            <w:vAlign w:val="center"/>
          </w:tcPr>
          <w:p w14:paraId="708C6915">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(10)</w:t>
            </w:r>
          </w:p>
        </w:tc>
        <w:tc>
          <w:tcPr>
            <w:tcW w:w="567" w:type="dxa"/>
            <w:vAlign w:val="center"/>
          </w:tcPr>
          <w:p w14:paraId="708C6916">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(11)</w:t>
            </w:r>
          </w:p>
        </w:tc>
        <w:tc>
          <w:tcPr>
            <w:tcW w:w="782" w:type="dxa"/>
            <w:vAlign w:val="center"/>
          </w:tcPr>
          <w:p w14:paraId="708C6917">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(12)</w:t>
            </w:r>
          </w:p>
        </w:tc>
        <w:tc>
          <w:tcPr>
            <w:tcW w:w="992" w:type="dxa"/>
            <w:vAlign w:val="center"/>
          </w:tcPr>
          <w:p w14:paraId="708C6918">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(13)</w:t>
            </w:r>
          </w:p>
        </w:tc>
        <w:tc>
          <w:tcPr>
            <w:tcW w:w="993" w:type="dxa"/>
            <w:vAlign w:val="center"/>
          </w:tcPr>
          <w:p w14:paraId="708C6919">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(14)=(12)-(13)</w:t>
            </w:r>
          </w:p>
        </w:tc>
        <w:tc>
          <w:tcPr>
            <w:tcW w:w="850" w:type="dxa"/>
            <w:vAlign w:val="center"/>
          </w:tcPr>
          <w:p w14:paraId="708C691A">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(15)=(4)x(14)</w:t>
            </w:r>
          </w:p>
        </w:tc>
        <w:tc>
          <w:tcPr>
            <w:tcW w:w="1203" w:type="dxa"/>
            <w:vAlign w:val="center"/>
          </w:tcPr>
          <w:p w14:paraId="708C691B">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(16)</w:t>
            </w:r>
          </w:p>
        </w:tc>
        <w:tc>
          <w:tcPr>
            <w:tcW w:w="1207" w:type="dxa"/>
            <w:vAlign w:val="center"/>
          </w:tcPr>
          <w:p w14:paraId="708C691C">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(17)=(15)+(16)</w:t>
            </w:r>
          </w:p>
        </w:tc>
        <w:tc>
          <w:tcPr>
            <w:tcW w:w="709" w:type="dxa"/>
            <w:gridSpan w:val="2"/>
            <w:vAlign w:val="center"/>
          </w:tcPr>
          <w:p w14:paraId="708C691D">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(18)=(4)x(13)</w:t>
            </w:r>
          </w:p>
        </w:tc>
        <w:tc>
          <w:tcPr>
            <w:tcW w:w="709" w:type="dxa"/>
            <w:gridSpan w:val="2"/>
            <w:vAlign w:val="center"/>
          </w:tcPr>
          <w:p w14:paraId="708C691E">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(19)</w:t>
            </w:r>
          </w:p>
        </w:tc>
        <w:tc>
          <w:tcPr>
            <w:tcW w:w="1060" w:type="dxa"/>
            <w:gridSpan w:val="2"/>
            <w:vAlign w:val="center"/>
          </w:tcPr>
          <w:p w14:paraId="708C691F">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(20)=(17)+(18)+(19)</w:t>
            </w:r>
          </w:p>
        </w:tc>
      </w:tr>
      <w:tr w14:paraId="708C6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2" w:type="dxa"/>
          <w:cantSplit/>
          <w:trHeight w:val="645" w:hRule="atLeast"/>
        </w:trPr>
        <w:tc>
          <w:tcPr>
            <w:tcW w:w="420" w:type="dxa"/>
            <w:vAlign w:val="center"/>
          </w:tcPr>
          <w:p w14:paraId="708C6921">
            <w:pPr>
              <w:suppressAutoHyphens/>
              <w:jc w:val="center"/>
              <w:rPr>
                <w:i/>
                <w:iCs/>
                <w:color w:val="000000" w:themeColor="text1"/>
                <w:sz w:val="18"/>
                <w:szCs w:val="18"/>
                <w14:textFill>
                  <w14:solidFill>
                    <w14:schemeClr w14:val="tx1"/>
                  </w14:solidFill>
                </w14:textFill>
              </w:rPr>
            </w:pPr>
          </w:p>
        </w:tc>
        <w:tc>
          <w:tcPr>
            <w:tcW w:w="708" w:type="dxa"/>
            <w:vAlign w:val="center"/>
          </w:tcPr>
          <w:p w14:paraId="708C6922">
            <w:pPr>
              <w:suppressAutoHyphens/>
              <w:rPr>
                <w:i/>
                <w:iCs/>
                <w:color w:val="000000" w:themeColor="text1"/>
                <w:sz w:val="18"/>
                <w:szCs w:val="18"/>
                <w14:textFill>
                  <w14:solidFill>
                    <w14:schemeClr w14:val="tx1"/>
                  </w14:solidFill>
                </w14:textFill>
              </w:rPr>
            </w:pPr>
          </w:p>
        </w:tc>
        <w:tc>
          <w:tcPr>
            <w:tcW w:w="568" w:type="dxa"/>
            <w:vAlign w:val="center"/>
          </w:tcPr>
          <w:p w14:paraId="708C6923">
            <w:pPr>
              <w:suppressAutoHyphens/>
              <w:rPr>
                <w:i/>
                <w:iCs/>
                <w:color w:val="000000" w:themeColor="text1"/>
                <w:sz w:val="18"/>
                <w:szCs w:val="18"/>
                <w14:textFill>
                  <w14:solidFill>
                    <w14:schemeClr w14:val="tx1"/>
                  </w14:solidFill>
                </w14:textFill>
              </w:rPr>
            </w:pPr>
          </w:p>
        </w:tc>
        <w:tc>
          <w:tcPr>
            <w:tcW w:w="729" w:type="dxa"/>
            <w:vAlign w:val="center"/>
          </w:tcPr>
          <w:p w14:paraId="708C6924">
            <w:pPr>
              <w:suppressAutoHyphens/>
              <w:rPr>
                <w:i/>
                <w:iCs/>
                <w:color w:val="000000" w:themeColor="text1"/>
                <w:sz w:val="18"/>
                <w:szCs w:val="18"/>
                <w14:textFill>
                  <w14:solidFill>
                    <w14:schemeClr w14:val="tx1"/>
                  </w14:solidFill>
                </w14:textFill>
              </w:rPr>
            </w:pPr>
          </w:p>
        </w:tc>
        <w:tc>
          <w:tcPr>
            <w:tcW w:w="726" w:type="dxa"/>
            <w:gridSpan w:val="2"/>
            <w:vAlign w:val="center"/>
          </w:tcPr>
          <w:p w14:paraId="708C6925">
            <w:pPr>
              <w:suppressAutoHyphens/>
              <w:rPr>
                <w:i/>
                <w:iCs/>
                <w:color w:val="000000" w:themeColor="text1"/>
                <w:sz w:val="18"/>
                <w:szCs w:val="18"/>
                <w14:textFill>
                  <w14:solidFill>
                    <w14:schemeClr w14:val="tx1"/>
                  </w14:solidFill>
                </w14:textFill>
              </w:rPr>
            </w:pPr>
          </w:p>
        </w:tc>
        <w:tc>
          <w:tcPr>
            <w:tcW w:w="709" w:type="dxa"/>
            <w:gridSpan w:val="2"/>
            <w:vAlign w:val="center"/>
          </w:tcPr>
          <w:p w14:paraId="708C6926">
            <w:pPr>
              <w:suppressAutoHyphens/>
              <w:rPr>
                <w:i/>
                <w:iCs/>
                <w:color w:val="000000" w:themeColor="text1"/>
                <w:sz w:val="18"/>
                <w:szCs w:val="18"/>
                <w14:textFill>
                  <w14:solidFill>
                    <w14:schemeClr w14:val="tx1"/>
                  </w14:solidFill>
                </w14:textFill>
              </w:rPr>
            </w:pPr>
          </w:p>
        </w:tc>
        <w:tc>
          <w:tcPr>
            <w:tcW w:w="709" w:type="dxa"/>
            <w:gridSpan w:val="2"/>
            <w:vAlign w:val="center"/>
          </w:tcPr>
          <w:p w14:paraId="708C6927">
            <w:pPr>
              <w:suppressAutoHyphens/>
              <w:rPr>
                <w:i/>
                <w:iCs/>
                <w:color w:val="000000" w:themeColor="text1"/>
                <w:sz w:val="18"/>
                <w:szCs w:val="18"/>
                <w14:textFill>
                  <w14:solidFill>
                    <w14:schemeClr w14:val="tx1"/>
                  </w14:solidFill>
                </w14:textFill>
              </w:rPr>
            </w:pPr>
          </w:p>
        </w:tc>
        <w:tc>
          <w:tcPr>
            <w:tcW w:w="709" w:type="dxa"/>
            <w:gridSpan w:val="2"/>
            <w:vAlign w:val="center"/>
          </w:tcPr>
          <w:p w14:paraId="708C6928">
            <w:pPr>
              <w:suppressAutoHyphens/>
              <w:rPr>
                <w:i/>
                <w:iCs/>
                <w:color w:val="000000" w:themeColor="text1"/>
                <w:sz w:val="18"/>
                <w:szCs w:val="18"/>
                <w14:textFill>
                  <w14:solidFill>
                    <w14:schemeClr w14:val="tx1"/>
                  </w14:solidFill>
                </w14:textFill>
              </w:rPr>
            </w:pPr>
          </w:p>
        </w:tc>
        <w:tc>
          <w:tcPr>
            <w:tcW w:w="635" w:type="dxa"/>
            <w:vAlign w:val="center"/>
          </w:tcPr>
          <w:p w14:paraId="708C6929">
            <w:pPr>
              <w:suppressAutoHyphens/>
              <w:rPr>
                <w:i/>
                <w:iCs/>
                <w:color w:val="000000" w:themeColor="text1"/>
                <w:sz w:val="18"/>
                <w:szCs w:val="18"/>
                <w14:textFill>
                  <w14:solidFill>
                    <w14:schemeClr w14:val="tx1"/>
                  </w14:solidFill>
                </w14:textFill>
              </w:rPr>
            </w:pPr>
          </w:p>
        </w:tc>
        <w:tc>
          <w:tcPr>
            <w:tcW w:w="886" w:type="dxa"/>
            <w:vAlign w:val="center"/>
          </w:tcPr>
          <w:p w14:paraId="708C692A">
            <w:pPr>
              <w:suppressAutoHyphens/>
              <w:rPr>
                <w:i/>
                <w:iCs/>
                <w:color w:val="000000" w:themeColor="text1"/>
                <w:sz w:val="18"/>
                <w:szCs w:val="18"/>
                <w14:textFill>
                  <w14:solidFill>
                    <w14:schemeClr w14:val="tx1"/>
                  </w14:solidFill>
                </w14:textFill>
              </w:rPr>
            </w:pPr>
          </w:p>
        </w:tc>
        <w:tc>
          <w:tcPr>
            <w:tcW w:w="567" w:type="dxa"/>
            <w:vAlign w:val="center"/>
          </w:tcPr>
          <w:p w14:paraId="708C692B">
            <w:pPr>
              <w:suppressAutoHyphens/>
              <w:rPr>
                <w:i/>
                <w:iCs/>
                <w:color w:val="000000" w:themeColor="text1"/>
                <w:sz w:val="18"/>
                <w:szCs w:val="18"/>
                <w14:textFill>
                  <w14:solidFill>
                    <w14:schemeClr w14:val="tx1"/>
                  </w14:solidFill>
                </w14:textFill>
              </w:rPr>
            </w:pPr>
          </w:p>
        </w:tc>
        <w:tc>
          <w:tcPr>
            <w:tcW w:w="782" w:type="dxa"/>
            <w:vAlign w:val="center"/>
          </w:tcPr>
          <w:p w14:paraId="708C692C">
            <w:pPr>
              <w:suppressAutoHyphens/>
              <w:rPr>
                <w:i/>
                <w:iCs/>
                <w:color w:val="000000" w:themeColor="text1"/>
                <w:sz w:val="18"/>
                <w:szCs w:val="18"/>
                <w14:textFill>
                  <w14:solidFill>
                    <w14:schemeClr w14:val="tx1"/>
                  </w14:solidFill>
                </w14:textFill>
              </w:rPr>
            </w:pPr>
          </w:p>
        </w:tc>
        <w:tc>
          <w:tcPr>
            <w:tcW w:w="992" w:type="dxa"/>
            <w:vAlign w:val="center"/>
          </w:tcPr>
          <w:p w14:paraId="708C692D">
            <w:pPr>
              <w:suppressAutoHyphens/>
              <w:jc w:val="center"/>
              <w:rPr>
                <w:i/>
                <w:iCs/>
                <w:color w:val="000000" w:themeColor="text1"/>
                <w:sz w:val="18"/>
                <w:szCs w:val="18"/>
                <w14:textFill>
                  <w14:solidFill>
                    <w14:schemeClr w14:val="tx1"/>
                  </w14:solidFill>
                </w14:textFill>
              </w:rPr>
            </w:pPr>
          </w:p>
        </w:tc>
        <w:tc>
          <w:tcPr>
            <w:tcW w:w="993" w:type="dxa"/>
            <w:vAlign w:val="center"/>
          </w:tcPr>
          <w:p w14:paraId="708C692E">
            <w:pPr>
              <w:suppressAutoHyphens/>
              <w:rPr>
                <w:i/>
                <w:iCs/>
                <w:color w:val="000000" w:themeColor="text1"/>
                <w:sz w:val="18"/>
                <w:szCs w:val="18"/>
                <w14:textFill>
                  <w14:solidFill>
                    <w14:schemeClr w14:val="tx1"/>
                  </w14:solidFill>
                </w14:textFill>
              </w:rPr>
            </w:pPr>
          </w:p>
        </w:tc>
        <w:tc>
          <w:tcPr>
            <w:tcW w:w="850" w:type="dxa"/>
            <w:vAlign w:val="center"/>
          </w:tcPr>
          <w:p w14:paraId="708C692F">
            <w:pPr>
              <w:suppressAutoHyphens/>
              <w:jc w:val="center"/>
              <w:rPr>
                <w:i/>
                <w:iCs/>
                <w:color w:val="000000" w:themeColor="text1"/>
                <w:sz w:val="18"/>
                <w:szCs w:val="18"/>
                <w14:textFill>
                  <w14:solidFill>
                    <w14:schemeClr w14:val="tx1"/>
                  </w14:solidFill>
                </w14:textFill>
              </w:rPr>
            </w:pPr>
          </w:p>
        </w:tc>
        <w:tc>
          <w:tcPr>
            <w:tcW w:w="1203" w:type="dxa"/>
            <w:vAlign w:val="center"/>
          </w:tcPr>
          <w:p w14:paraId="708C6930">
            <w:pPr>
              <w:suppressAutoHyphens/>
              <w:jc w:val="center"/>
              <w:rPr>
                <w:i/>
                <w:iCs/>
                <w:color w:val="000000" w:themeColor="text1"/>
                <w:sz w:val="18"/>
                <w:szCs w:val="18"/>
                <w14:textFill>
                  <w14:solidFill>
                    <w14:schemeClr w14:val="tx1"/>
                  </w14:solidFill>
                </w14:textFill>
              </w:rPr>
            </w:pPr>
          </w:p>
        </w:tc>
        <w:tc>
          <w:tcPr>
            <w:tcW w:w="1207" w:type="dxa"/>
            <w:vAlign w:val="center"/>
          </w:tcPr>
          <w:p w14:paraId="708C6931">
            <w:pPr>
              <w:suppressAutoHyphens/>
              <w:jc w:val="center"/>
              <w:rPr>
                <w:i/>
                <w:iCs/>
                <w:color w:val="000000" w:themeColor="text1"/>
                <w:sz w:val="18"/>
                <w:szCs w:val="18"/>
                <w14:textFill>
                  <w14:solidFill>
                    <w14:schemeClr w14:val="tx1"/>
                  </w14:solidFill>
                </w14:textFill>
              </w:rPr>
            </w:pPr>
          </w:p>
        </w:tc>
        <w:tc>
          <w:tcPr>
            <w:tcW w:w="709" w:type="dxa"/>
            <w:gridSpan w:val="2"/>
            <w:vAlign w:val="center"/>
          </w:tcPr>
          <w:p w14:paraId="708C6932">
            <w:pPr>
              <w:suppressAutoHyphens/>
              <w:jc w:val="center"/>
              <w:rPr>
                <w:i/>
                <w:iCs/>
                <w:color w:val="000000" w:themeColor="text1"/>
                <w:sz w:val="18"/>
                <w:szCs w:val="18"/>
                <w14:textFill>
                  <w14:solidFill>
                    <w14:schemeClr w14:val="tx1"/>
                  </w14:solidFill>
                </w14:textFill>
              </w:rPr>
            </w:pPr>
          </w:p>
        </w:tc>
        <w:tc>
          <w:tcPr>
            <w:tcW w:w="709" w:type="dxa"/>
            <w:gridSpan w:val="2"/>
            <w:vAlign w:val="center"/>
          </w:tcPr>
          <w:p w14:paraId="708C6933">
            <w:pPr>
              <w:suppressAutoHyphens/>
              <w:jc w:val="center"/>
              <w:rPr>
                <w:i/>
                <w:iCs/>
                <w:color w:val="000000" w:themeColor="text1"/>
                <w:sz w:val="18"/>
                <w:szCs w:val="18"/>
                <w14:textFill>
                  <w14:solidFill>
                    <w14:schemeClr w14:val="tx1"/>
                  </w14:solidFill>
                </w14:textFill>
              </w:rPr>
            </w:pPr>
          </w:p>
        </w:tc>
        <w:tc>
          <w:tcPr>
            <w:tcW w:w="1060" w:type="dxa"/>
            <w:gridSpan w:val="2"/>
            <w:vAlign w:val="center"/>
          </w:tcPr>
          <w:p w14:paraId="708C6934">
            <w:pPr>
              <w:suppressAutoHyphens/>
              <w:jc w:val="center"/>
              <w:rPr>
                <w:i/>
                <w:iCs/>
                <w:color w:val="000000" w:themeColor="text1"/>
                <w:sz w:val="18"/>
                <w:szCs w:val="18"/>
                <w14:textFill>
                  <w14:solidFill>
                    <w14:schemeClr w14:val="tx1"/>
                  </w14:solidFill>
                </w14:textFill>
              </w:rPr>
            </w:pPr>
          </w:p>
        </w:tc>
      </w:tr>
      <w:tr w14:paraId="708C6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45" w:hRule="atLeast"/>
        </w:trPr>
        <w:tc>
          <w:tcPr>
            <w:tcW w:w="1128" w:type="dxa"/>
            <w:gridSpan w:val="2"/>
            <w:vAlign w:val="center"/>
          </w:tcPr>
          <w:p w14:paraId="708C6936">
            <w:pPr>
              <w:suppressAutoHyphens/>
              <w:jc w:val="center"/>
              <w:rPr>
                <w:b/>
                <w:iCs/>
                <w:color w:val="000000" w:themeColor="text1"/>
                <w:sz w:val="18"/>
                <w:szCs w:val="18"/>
                <w14:textFill>
                  <w14:solidFill>
                    <w14:schemeClr w14:val="tx1"/>
                  </w14:solidFill>
                </w14:textFill>
              </w:rPr>
            </w:pPr>
          </w:p>
        </w:tc>
        <w:tc>
          <w:tcPr>
            <w:tcW w:w="1325" w:type="dxa"/>
            <w:gridSpan w:val="3"/>
            <w:vAlign w:val="center"/>
          </w:tcPr>
          <w:p w14:paraId="708C6937">
            <w:pPr>
              <w:suppressAutoHyphens/>
              <w:jc w:val="center"/>
              <w:rPr>
                <w:b/>
                <w:iCs/>
                <w:color w:val="000000" w:themeColor="text1"/>
                <w:sz w:val="18"/>
                <w:szCs w:val="18"/>
                <w14:textFill>
                  <w14:solidFill>
                    <w14:schemeClr w14:val="tx1"/>
                  </w14:solidFill>
                </w14:textFill>
              </w:rPr>
            </w:pPr>
          </w:p>
        </w:tc>
        <w:tc>
          <w:tcPr>
            <w:tcW w:w="709" w:type="dxa"/>
            <w:gridSpan w:val="2"/>
            <w:vAlign w:val="center"/>
          </w:tcPr>
          <w:p w14:paraId="708C6938">
            <w:pPr>
              <w:suppressAutoHyphens/>
              <w:jc w:val="center"/>
              <w:rPr>
                <w:b/>
                <w:iCs/>
                <w:color w:val="000000" w:themeColor="text1"/>
                <w:sz w:val="18"/>
                <w:szCs w:val="18"/>
                <w14:textFill>
                  <w14:solidFill>
                    <w14:schemeClr w14:val="tx1"/>
                  </w14:solidFill>
                </w14:textFill>
              </w:rPr>
            </w:pPr>
          </w:p>
        </w:tc>
        <w:tc>
          <w:tcPr>
            <w:tcW w:w="709" w:type="dxa"/>
            <w:gridSpan w:val="2"/>
            <w:vAlign w:val="center"/>
          </w:tcPr>
          <w:p w14:paraId="708C6939">
            <w:pPr>
              <w:suppressAutoHyphens/>
              <w:jc w:val="center"/>
              <w:rPr>
                <w:b/>
                <w:iCs/>
                <w:color w:val="000000" w:themeColor="text1"/>
                <w:sz w:val="18"/>
                <w:szCs w:val="18"/>
                <w14:textFill>
                  <w14:solidFill>
                    <w14:schemeClr w14:val="tx1"/>
                  </w14:solidFill>
                </w14:textFill>
              </w:rPr>
            </w:pPr>
          </w:p>
        </w:tc>
        <w:tc>
          <w:tcPr>
            <w:tcW w:w="709" w:type="dxa"/>
            <w:gridSpan w:val="2"/>
            <w:vAlign w:val="center"/>
          </w:tcPr>
          <w:p w14:paraId="708C693A">
            <w:pPr>
              <w:suppressAutoHyphens/>
              <w:jc w:val="center"/>
              <w:rPr>
                <w:b/>
                <w:iCs/>
                <w:color w:val="000000" w:themeColor="text1"/>
                <w:sz w:val="18"/>
                <w:szCs w:val="18"/>
                <w14:textFill>
                  <w14:solidFill>
                    <w14:schemeClr w14:val="tx1"/>
                  </w14:solidFill>
                </w14:textFill>
              </w:rPr>
            </w:pPr>
          </w:p>
        </w:tc>
        <w:tc>
          <w:tcPr>
            <w:tcW w:w="7606" w:type="dxa"/>
            <w:gridSpan w:val="9"/>
            <w:vAlign w:val="center"/>
          </w:tcPr>
          <w:p w14:paraId="708C693B">
            <w:pPr>
              <w:suppressAutoHyphens/>
              <w:jc w:val="center"/>
              <w:rPr>
                <w:iCs/>
                <w:color w:val="000000" w:themeColor="text1"/>
                <w:sz w:val="18"/>
                <w:szCs w:val="18"/>
                <w14:textFill>
                  <w14:solidFill>
                    <w14:schemeClr w14:val="tx1"/>
                  </w14:solidFill>
                </w14:textFill>
              </w:rPr>
            </w:pPr>
            <w:r>
              <w:rPr>
                <w:b/>
                <w:iCs/>
                <w:color w:val="000000" w:themeColor="text1"/>
                <w:sz w:val="18"/>
                <w:szCs w:val="18"/>
                <w14:textFill>
                  <w14:solidFill>
                    <w14:schemeClr w14:val="tx1"/>
                  </w14:solidFill>
                </w14:textFill>
              </w:rPr>
              <w:t>Total</w:t>
            </w:r>
          </w:p>
        </w:tc>
        <w:tc>
          <w:tcPr>
            <w:tcW w:w="1226" w:type="dxa"/>
            <w:gridSpan w:val="2"/>
            <w:vAlign w:val="center"/>
          </w:tcPr>
          <w:p w14:paraId="708C693C">
            <w:pPr>
              <w:suppressAutoHyphens/>
              <w:jc w:val="center"/>
              <w:rPr>
                <w:i/>
                <w:iCs/>
                <w:color w:val="000000" w:themeColor="text1"/>
                <w:sz w:val="18"/>
                <w:szCs w:val="18"/>
                <w14:textFill>
                  <w14:solidFill>
                    <w14:schemeClr w14:val="tx1"/>
                  </w14:solidFill>
                </w14:textFill>
              </w:rPr>
            </w:pPr>
            <w:r>
              <w:rPr>
                <w:i/>
                <w:iCs/>
                <w:color w:val="000000" w:themeColor="text1"/>
                <w:sz w:val="18"/>
                <w:szCs w:val="18"/>
                <w14:textFill>
                  <w14:solidFill>
                    <w14:schemeClr w14:val="tx1"/>
                  </w14:solidFill>
                </w14:textFill>
              </w:rPr>
              <w:t>(M</w:t>
            </w:r>
            <w:r>
              <w:rPr>
                <w:i/>
                <w:iCs/>
                <w:color w:val="000000" w:themeColor="text1"/>
                <w:sz w:val="18"/>
                <w:szCs w:val="18"/>
                <w:vertAlign w:val="superscript"/>
                <w14:textFill>
                  <w14:solidFill>
                    <w14:schemeClr w14:val="tx1"/>
                  </w14:solidFill>
                </w14:textFill>
              </w:rPr>
              <w:t>*</w:t>
            </w:r>
            <w:r>
              <w:rPr>
                <w:i/>
                <w:iCs/>
                <w:color w:val="000000" w:themeColor="text1"/>
                <w:sz w:val="18"/>
                <w:szCs w:val="18"/>
                <w14:textFill>
                  <w14:solidFill>
                    <w14:schemeClr w14:val="tx1"/>
                  </w14:solidFill>
                </w14:textFill>
              </w:rPr>
              <w:t>)</w:t>
            </w:r>
          </w:p>
        </w:tc>
        <w:tc>
          <w:tcPr>
            <w:tcW w:w="709" w:type="dxa"/>
            <w:gridSpan w:val="2"/>
            <w:vAlign w:val="center"/>
          </w:tcPr>
          <w:p w14:paraId="708C693D">
            <w:pPr>
              <w:suppressAutoHyphens/>
              <w:jc w:val="center"/>
              <w:rPr>
                <w:i/>
                <w:iCs/>
                <w:color w:val="000000" w:themeColor="text1"/>
                <w:sz w:val="18"/>
                <w:szCs w:val="18"/>
                <w14:textFill>
                  <w14:solidFill>
                    <w14:schemeClr w14:val="tx1"/>
                  </w14:solidFill>
                </w14:textFill>
              </w:rPr>
            </w:pPr>
          </w:p>
        </w:tc>
        <w:tc>
          <w:tcPr>
            <w:tcW w:w="709" w:type="dxa"/>
            <w:gridSpan w:val="2"/>
            <w:vAlign w:val="center"/>
          </w:tcPr>
          <w:p w14:paraId="708C693E">
            <w:pPr>
              <w:suppressAutoHyphens/>
              <w:jc w:val="center"/>
              <w:rPr>
                <w:i/>
                <w:iCs/>
                <w:color w:val="000000" w:themeColor="text1"/>
                <w:sz w:val="18"/>
                <w:szCs w:val="18"/>
                <w14:textFill>
                  <w14:solidFill>
                    <w14:schemeClr w14:val="tx1"/>
                  </w14:solidFill>
                </w14:textFill>
              </w:rPr>
            </w:pPr>
          </w:p>
        </w:tc>
        <w:tc>
          <w:tcPr>
            <w:tcW w:w="1053" w:type="dxa"/>
            <w:gridSpan w:val="2"/>
            <w:vAlign w:val="center"/>
          </w:tcPr>
          <w:p w14:paraId="708C693F">
            <w:pPr>
              <w:suppressAutoHyphens/>
              <w:jc w:val="center"/>
              <w:rPr>
                <w:i/>
                <w:iCs/>
                <w:color w:val="000000" w:themeColor="text1"/>
                <w:sz w:val="18"/>
                <w:szCs w:val="18"/>
                <w14:textFill>
                  <w14:solidFill>
                    <w14:schemeClr w14:val="tx1"/>
                  </w14:solidFill>
                </w14:textFill>
              </w:rPr>
            </w:pPr>
            <w:r>
              <w:rPr>
                <w:i/>
                <w:iCs/>
                <w:color w:val="000000" w:themeColor="text1"/>
                <w:sz w:val="18"/>
                <w:szCs w:val="18"/>
                <w14:textFill>
                  <w14:solidFill>
                    <w14:schemeClr w14:val="tx1"/>
                  </w14:solidFill>
                </w14:textFill>
              </w:rPr>
              <w:t>(M2)</w:t>
            </w:r>
          </w:p>
        </w:tc>
      </w:tr>
    </w:tbl>
    <w:p w14:paraId="708C6941">
      <w:pPr>
        <w:pStyle w:val="15"/>
        <w:widowControl w:val="0"/>
        <w:shd w:val="clear" w:color="auto" w:fill="FFFFFF"/>
        <w:spacing w:before="120" w:line="264" w:lineRule="auto"/>
        <w:ind w:firstLine="567"/>
        <w:jc w:val="right"/>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Legal representative of the Bidder</w:t>
      </w:r>
    </w:p>
    <w:p w14:paraId="708C6942">
      <w:pPr>
        <w:pStyle w:val="4"/>
        <w:widowControl w:val="0"/>
        <w:shd w:val="clear" w:color="auto" w:fill="FFFFFF"/>
        <w:spacing w:before="120" w:after="120" w:line="264" w:lineRule="auto"/>
        <w:ind w:firstLine="567"/>
        <w:jc w:val="right"/>
        <w:rPr>
          <w:rFonts w:ascii="Times New Roman" w:hAnsi="Times New Roman"/>
          <w:i/>
          <w:color w:val="000000" w:themeColor="text1"/>
          <w14:textFill>
            <w14:solidFill>
              <w14:schemeClr w14:val="tx1"/>
            </w14:solidFill>
          </w14:textFill>
        </w:rPr>
      </w:pPr>
      <w:r>
        <w:rPr>
          <w:rFonts w:ascii="Times New Roman" w:hAnsi="Times New Roman"/>
          <w:i/>
          <w:color w:val="000000" w:themeColor="text1"/>
          <w14:textFill>
            <w14:solidFill>
              <w14:schemeClr w14:val="tx1"/>
            </w14:solidFill>
          </w14:textFill>
        </w:rPr>
        <w:t>(Full name, position, signature and seal)</w:t>
      </w:r>
    </w:p>
    <w:p w14:paraId="708C6943">
      <w:pPr>
        <w:spacing w:after="0" w:line="264" w:lineRule="auto"/>
        <w:ind w:firstLine="709"/>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Note: </w:t>
      </w:r>
    </w:p>
    <w:p w14:paraId="708C6944">
      <w:pPr>
        <w:spacing w:after="0"/>
        <w:ind w:firstLine="709"/>
        <w:jc w:val="both"/>
        <w:rPr>
          <w:strike/>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(5), (6), (7), (8), (9), (10): </w:t>
      </w:r>
      <w:r>
        <w:rPr>
          <w:sz w:val="26"/>
          <w:szCs w:val="26"/>
        </w:rPr>
        <w:t xml:space="preserve">The bidder must specify the </w:t>
      </w:r>
      <w:r>
        <w:rPr>
          <w:color w:val="000000"/>
          <w:sz w:val="26"/>
          <w:szCs w:val="26"/>
        </w:rPr>
        <w:t xml:space="preserve">Marks and Numbers, Trade mark, Origin, Manufacturer </w:t>
      </w:r>
      <w:r>
        <w:rPr>
          <w:sz w:val="26"/>
          <w:szCs w:val="26"/>
        </w:rPr>
        <w:t>of the Goods in accordance with the technical proposal</w:t>
      </w:r>
      <w:r>
        <w:rPr>
          <w:color w:val="000000" w:themeColor="text1"/>
          <w:sz w:val="26"/>
          <w:szCs w:val="26"/>
          <w14:textFill>
            <w14:solidFill>
              <w14:schemeClr w14:val="tx1"/>
            </w14:solidFill>
          </w14:textFill>
        </w:rPr>
        <w:t>;</w:t>
      </w:r>
    </w:p>
    <w:p w14:paraId="708C6945">
      <w:pPr>
        <w:spacing w:after="0"/>
        <w:ind w:firstLine="709"/>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(11): If the Bidder knows HS code of goods, then fill it; otherwise, leave it blank;</w:t>
      </w:r>
    </w:p>
    <w:p w14:paraId="708C6946">
      <w:pPr>
        <w:spacing w:after="0"/>
        <w:ind w:firstLine="709"/>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(16): Including unloading cost at site (including premium)</w:t>
      </w:r>
    </w:p>
    <w:p w14:paraId="708C6947">
      <w:pPr>
        <w:spacing w:after="0"/>
        <w:ind w:firstLine="709"/>
        <w:jc w:val="both"/>
        <w:rPr>
          <w:b/>
          <w:color w:val="000000" w:themeColor="text1"/>
          <w14:textFill>
            <w14:solidFill>
              <w14:schemeClr w14:val="tx1"/>
            </w14:solidFill>
          </w14:textFill>
        </w:rPr>
      </w:pPr>
      <w:r>
        <w:rPr>
          <w:color w:val="000000" w:themeColor="text1"/>
          <w:sz w:val="26"/>
          <w:szCs w:val="26"/>
          <w14:textFill>
            <w14:solidFill>
              <w14:schemeClr w14:val="tx1"/>
            </w14:solidFill>
          </w14:textFill>
        </w:rPr>
        <w:t>The total price (M*) does not include taxes, fees and duties related to import, excise tax (if any), VAT for Goods is the basis for comparison and ranking of the bidders. Value of taxes, fees, and duties related to import (column 18) and excise tax (if any), VAT for Goods (column 19) will not be considered in the evaluation process for the comparison and ranking of bidders. The proposed awarding bid price and the contract price shall include value of all taxes, fees and duties related to import, excise tax (if any), VAT.</w:t>
      </w:r>
    </w:p>
    <w:p w14:paraId="708C6948">
      <w:pPr>
        <w:pStyle w:val="97"/>
        <w:jc w:val="right"/>
        <w:rPr>
          <w:b/>
          <w:color w:val="000000" w:themeColor="text1"/>
          <w:sz w:val="28"/>
          <w:szCs w:val="28"/>
          <w14:textFill>
            <w14:solidFill>
              <w14:schemeClr w14:val="tx1"/>
            </w14:solidFill>
          </w14:textFill>
        </w:rPr>
      </w:pPr>
    </w:p>
    <w:p w14:paraId="708C6949">
      <w:pPr>
        <w:pStyle w:val="97"/>
        <w:numPr>
          <w:ilvl w:val="0"/>
          <w:numId w:val="57"/>
        </w:numPr>
        <w:rPr>
          <w:b/>
          <w:i/>
          <w:color w:val="000000" w:themeColor="text1"/>
          <w:szCs w:val="24"/>
          <w14:textFill>
            <w14:solidFill>
              <w14:schemeClr w14:val="tx1"/>
            </w14:solidFill>
          </w14:textFill>
        </w:rPr>
      </w:pPr>
      <w:r>
        <w:rPr>
          <w:b/>
          <w:color w:val="000000" w:themeColor="text1"/>
          <w:szCs w:val="24"/>
          <w14:textFill>
            <w14:solidFill>
              <w14:schemeClr w14:val="tx1"/>
            </w14:solidFill>
          </w14:textFill>
        </w:rPr>
        <w:t>For goods manufactured or processed from abroad, to be imported</w:t>
      </w:r>
    </w:p>
    <w:tbl>
      <w:tblPr>
        <w:tblStyle w:val="12"/>
        <w:tblpPr w:leftFromText="180" w:rightFromText="180" w:vertAnchor="text" w:horzAnchor="margin" w:tblpXSpec="center" w:tblpY="135"/>
        <w:tblW w:w="164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2" w:type="dxa"/>
          <w:bottom w:w="0" w:type="dxa"/>
          <w:right w:w="72" w:type="dxa"/>
        </w:tblCellMar>
      </w:tblPr>
      <w:tblGrid>
        <w:gridCol w:w="421"/>
        <w:gridCol w:w="567"/>
        <w:gridCol w:w="567"/>
        <w:gridCol w:w="729"/>
        <w:gridCol w:w="867"/>
        <w:gridCol w:w="9"/>
        <w:gridCol w:w="666"/>
        <w:gridCol w:w="709"/>
        <w:gridCol w:w="851"/>
        <w:gridCol w:w="709"/>
        <w:gridCol w:w="709"/>
        <w:gridCol w:w="566"/>
        <w:gridCol w:w="1276"/>
        <w:gridCol w:w="851"/>
        <w:gridCol w:w="1842"/>
        <w:gridCol w:w="23"/>
        <w:gridCol w:w="1536"/>
        <w:gridCol w:w="1418"/>
        <w:gridCol w:w="709"/>
        <w:gridCol w:w="1418"/>
      </w:tblGrid>
      <w:tr w14:paraId="708C6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805" w:hRule="atLeast"/>
        </w:trPr>
        <w:tc>
          <w:tcPr>
            <w:tcW w:w="421" w:type="dxa"/>
            <w:shd w:val="clear" w:color="auto" w:fill="E2EFD9"/>
            <w:vAlign w:val="center"/>
          </w:tcPr>
          <w:p w14:paraId="708C694A">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No.</w:t>
            </w:r>
          </w:p>
        </w:tc>
        <w:tc>
          <w:tcPr>
            <w:tcW w:w="567" w:type="dxa"/>
            <w:shd w:val="clear" w:color="auto" w:fill="E2EFD9"/>
            <w:vAlign w:val="center"/>
          </w:tcPr>
          <w:p w14:paraId="708C694B">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List of Goods</w:t>
            </w:r>
          </w:p>
        </w:tc>
        <w:tc>
          <w:tcPr>
            <w:tcW w:w="567" w:type="dxa"/>
            <w:shd w:val="clear" w:color="auto" w:fill="E2EFD9"/>
            <w:vAlign w:val="center"/>
          </w:tcPr>
          <w:p w14:paraId="708C694C">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Units</w:t>
            </w:r>
          </w:p>
        </w:tc>
        <w:tc>
          <w:tcPr>
            <w:tcW w:w="729" w:type="dxa"/>
            <w:shd w:val="clear" w:color="auto" w:fill="E2EFD9"/>
            <w:vAlign w:val="center"/>
          </w:tcPr>
          <w:p w14:paraId="708C694D">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Quantity</w:t>
            </w:r>
          </w:p>
          <w:p w14:paraId="708C694E">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w:t>
            </w:r>
            <w:r>
              <w:rPr>
                <w:b/>
                <w:i/>
                <w:color w:val="000000" w:themeColor="text1"/>
                <w:sz w:val="18"/>
                <w:szCs w:val="18"/>
                <w14:textFill>
                  <w14:solidFill>
                    <w14:schemeClr w14:val="tx1"/>
                  </w14:solidFill>
                </w14:textFill>
              </w:rPr>
              <w:t>insert by scope of supply</w:t>
            </w:r>
            <w:r>
              <w:rPr>
                <w:b/>
                <w:color w:val="000000" w:themeColor="text1"/>
                <w:sz w:val="18"/>
                <w:szCs w:val="18"/>
                <w14:textFill>
                  <w14:solidFill>
                    <w14:schemeClr w14:val="tx1"/>
                  </w14:solidFill>
                </w14:textFill>
              </w:rPr>
              <w:t xml:space="preserve">] </w:t>
            </w:r>
          </w:p>
        </w:tc>
        <w:tc>
          <w:tcPr>
            <w:tcW w:w="867" w:type="dxa"/>
            <w:shd w:val="clear" w:color="auto" w:fill="E2EFD9"/>
            <w:vAlign w:val="center"/>
          </w:tcPr>
          <w:p w14:paraId="708C694F">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Marks and Numbers</w:t>
            </w:r>
          </w:p>
        </w:tc>
        <w:tc>
          <w:tcPr>
            <w:tcW w:w="675" w:type="dxa"/>
            <w:gridSpan w:val="2"/>
            <w:shd w:val="clear" w:color="auto" w:fill="E2EFD9"/>
            <w:vAlign w:val="center"/>
          </w:tcPr>
          <w:p w14:paraId="708C6950">
            <w:pPr>
              <w:suppressAutoHyphens/>
              <w:jc w:val="center"/>
              <w:rPr>
                <w:b/>
                <w:color w:val="000000" w:themeColor="text1"/>
                <w:sz w:val="18"/>
                <w:szCs w:val="18"/>
                <w14:textFill>
                  <w14:solidFill>
                    <w14:schemeClr w14:val="tx1"/>
                  </w14:solidFill>
                </w14:textFill>
              </w:rPr>
            </w:pPr>
            <w:r>
              <w:rPr>
                <w:b/>
                <w:bCs/>
                <w:color w:val="000000" w:themeColor="text1"/>
                <w:sz w:val="18"/>
                <w:szCs w:val="18"/>
                <w:lang w:val="nl-NL"/>
                <w14:textFill>
                  <w14:solidFill>
                    <w14:schemeClr w14:val="tx1"/>
                  </w14:solidFill>
                </w14:textFill>
              </w:rPr>
              <w:t>Trademark</w:t>
            </w:r>
          </w:p>
        </w:tc>
        <w:tc>
          <w:tcPr>
            <w:tcW w:w="709" w:type="dxa"/>
            <w:shd w:val="clear" w:color="auto" w:fill="E2EFD9"/>
            <w:vAlign w:val="center"/>
          </w:tcPr>
          <w:p w14:paraId="708C6951">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Year of manufacture</w:t>
            </w:r>
          </w:p>
        </w:tc>
        <w:tc>
          <w:tcPr>
            <w:tcW w:w="851" w:type="dxa"/>
            <w:shd w:val="clear" w:color="auto" w:fill="E2EFD9"/>
            <w:vAlign w:val="center"/>
          </w:tcPr>
          <w:p w14:paraId="708C6952">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 xml:space="preserve">Origin </w:t>
            </w:r>
          </w:p>
          <w:p w14:paraId="708C6953">
            <w:pPr>
              <w:suppressAutoHyphens/>
              <w:jc w:val="center"/>
              <w:rPr>
                <w:b/>
                <w:color w:val="000000" w:themeColor="text1"/>
                <w:sz w:val="18"/>
                <w:szCs w:val="18"/>
                <w14:textFill>
                  <w14:solidFill>
                    <w14:schemeClr w14:val="tx1"/>
                  </w14:solidFill>
                </w14:textFill>
              </w:rPr>
            </w:pPr>
            <w:r>
              <w:rPr>
                <w:i/>
                <w:color w:val="000000" w:themeColor="text1"/>
                <w:sz w:val="18"/>
                <w:szCs w:val="18"/>
                <w14:textFill>
                  <w14:solidFill>
                    <w14:schemeClr w14:val="tx1"/>
                  </w14:solidFill>
                </w14:textFill>
              </w:rPr>
              <w:t xml:space="preserve">[insert name of country, territory] </w:t>
            </w:r>
          </w:p>
        </w:tc>
        <w:tc>
          <w:tcPr>
            <w:tcW w:w="709" w:type="dxa"/>
            <w:shd w:val="clear" w:color="auto" w:fill="E2EFD9"/>
            <w:vAlign w:val="center"/>
          </w:tcPr>
          <w:p w14:paraId="708C6954">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Manufacturer</w:t>
            </w:r>
          </w:p>
        </w:tc>
        <w:tc>
          <w:tcPr>
            <w:tcW w:w="709" w:type="dxa"/>
            <w:shd w:val="clear" w:color="auto" w:fill="E2EFD9"/>
            <w:vAlign w:val="center"/>
          </w:tcPr>
          <w:p w14:paraId="708C6955">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Configuration and technical specification</w:t>
            </w:r>
          </w:p>
        </w:tc>
        <w:tc>
          <w:tcPr>
            <w:tcW w:w="566" w:type="dxa"/>
            <w:shd w:val="clear" w:color="auto" w:fill="E2EFD9"/>
            <w:vAlign w:val="center"/>
          </w:tcPr>
          <w:p w14:paraId="708C6956">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 xml:space="preserve">HS Code </w:t>
            </w:r>
          </w:p>
        </w:tc>
        <w:tc>
          <w:tcPr>
            <w:tcW w:w="1276" w:type="dxa"/>
            <w:shd w:val="clear" w:color="auto" w:fill="E2EFD9"/>
            <w:vAlign w:val="center"/>
          </w:tcPr>
          <w:p w14:paraId="708C6957">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Unit price (CIP price)</w:t>
            </w:r>
          </w:p>
          <w:p w14:paraId="708C6958">
            <w:pPr>
              <w:suppressAutoHyphens/>
              <w:spacing w:after="0" w:line="240" w:lineRule="auto"/>
              <w:jc w:val="center"/>
              <w:rPr>
                <w:color w:val="000000" w:themeColor="text1"/>
                <w:sz w:val="18"/>
                <w:szCs w:val="18"/>
                <w14:textFill>
                  <w14:solidFill>
                    <w14:schemeClr w14:val="tx1"/>
                  </w14:solidFill>
                </w14:textFill>
              </w:rPr>
            </w:pPr>
            <w:r>
              <w:rPr>
                <w:i/>
                <w:iCs/>
                <w:color w:val="000000" w:themeColor="text1"/>
                <w:sz w:val="18"/>
                <w:szCs w:val="18"/>
                <w14:textFill>
                  <w14:solidFill>
                    <w14:schemeClr w14:val="tx1"/>
                  </w14:solidFill>
                </w14:textFill>
              </w:rPr>
              <w:t>[insert place of destination]</w:t>
            </w:r>
          </w:p>
          <w:p w14:paraId="708C6959">
            <w:pPr>
              <w:suppressAutoHyphens/>
              <w:jc w:val="center"/>
              <w:rPr>
                <w:b/>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in accordance with ITB 13.6.(b)(i)</w:t>
            </w:r>
          </w:p>
        </w:tc>
        <w:tc>
          <w:tcPr>
            <w:tcW w:w="851" w:type="dxa"/>
            <w:shd w:val="clear" w:color="auto" w:fill="E2EFD9"/>
            <w:vAlign w:val="center"/>
          </w:tcPr>
          <w:p w14:paraId="708C695A">
            <w:pPr>
              <w:suppressAutoHyphens/>
              <w:jc w:val="center"/>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Total CIP price per line item</w:t>
            </w:r>
          </w:p>
        </w:tc>
        <w:tc>
          <w:tcPr>
            <w:tcW w:w="1842" w:type="dxa"/>
            <w:shd w:val="clear" w:color="auto" w:fill="E2EFD9"/>
            <w:vAlign w:val="center"/>
          </w:tcPr>
          <w:p w14:paraId="708C695B">
            <w:pPr>
              <w:suppressAutoHyphens/>
              <w:jc w:val="both"/>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Price per line item for inland transportation, insurance and other services required (including VAT) to convey goods to the final destination</w:t>
            </w:r>
          </w:p>
        </w:tc>
        <w:tc>
          <w:tcPr>
            <w:tcW w:w="1559" w:type="dxa"/>
            <w:gridSpan w:val="2"/>
            <w:shd w:val="clear" w:color="auto" w:fill="E2EFD9"/>
            <w:vAlign w:val="center"/>
          </w:tcPr>
          <w:p w14:paraId="708C695C">
            <w:pPr>
              <w:suppressAutoHyphens/>
              <w:jc w:val="both"/>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 xml:space="preserve">The total price excludes taxes, fees and duties related to import, </w:t>
            </w:r>
            <w:r>
              <w:rPr>
                <w:b/>
                <w:bCs/>
                <w:color w:val="000000" w:themeColor="text1"/>
                <w:sz w:val="18"/>
                <w:szCs w:val="18"/>
                <w14:textFill>
                  <w14:solidFill>
                    <w14:schemeClr w14:val="tx1"/>
                  </w14:solidFill>
                </w14:textFill>
              </w:rPr>
              <w:t>excise tax</w:t>
            </w:r>
            <w:r>
              <w:rPr>
                <w:b/>
                <w:color w:val="000000" w:themeColor="text1"/>
                <w:sz w:val="18"/>
                <w:szCs w:val="18"/>
                <w14:textFill>
                  <w14:solidFill>
                    <w14:schemeClr w14:val="tx1"/>
                  </w14:solidFill>
                </w14:textFill>
              </w:rPr>
              <w:t xml:space="preserve"> (if any), VAT for Goods</w:t>
            </w:r>
          </w:p>
        </w:tc>
        <w:tc>
          <w:tcPr>
            <w:tcW w:w="1418" w:type="dxa"/>
            <w:shd w:val="clear" w:color="auto" w:fill="E2EFD9"/>
            <w:vAlign w:val="center"/>
          </w:tcPr>
          <w:p w14:paraId="708C695D">
            <w:pPr>
              <w:suppressAutoHyphens/>
              <w:jc w:val="both"/>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Taxes, fees and duties related to import</w:t>
            </w:r>
          </w:p>
        </w:tc>
        <w:tc>
          <w:tcPr>
            <w:tcW w:w="709" w:type="dxa"/>
            <w:shd w:val="clear" w:color="auto" w:fill="E2EFD9"/>
            <w:vAlign w:val="center"/>
          </w:tcPr>
          <w:p w14:paraId="708C695E">
            <w:pPr>
              <w:suppressAutoHyphens/>
              <w:jc w:val="both"/>
              <w:rPr>
                <w:b/>
                <w:color w:val="000000" w:themeColor="text1"/>
                <w:sz w:val="18"/>
                <w:szCs w:val="18"/>
                <w14:textFill>
                  <w14:solidFill>
                    <w14:schemeClr w14:val="tx1"/>
                  </w14:solidFill>
                </w14:textFill>
              </w:rPr>
            </w:pPr>
            <w:r>
              <w:rPr>
                <w:b/>
                <w:bCs/>
                <w:color w:val="000000" w:themeColor="text1"/>
                <w:sz w:val="18"/>
                <w:szCs w:val="18"/>
                <w14:textFill>
                  <w14:solidFill>
                    <w14:schemeClr w14:val="tx1"/>
                  </w14:solidFill>
                </w14:textFill>
              </w:rPr>
              <w:t>Excise tax</w:t>
            </w:r>
            <w:r>
              <w:rPr>
                <w:b/>
                <w:color w:val="000000" w:themeColor="text1"/>
                <w:sz w:val="18"/>
                <w:szCs w:val="18"/>
                <w14:textFill>
                  <w14:solidFill>
                    <w14:schemeClr w14:val="tx1"/>
                  </w14:solidFill>
                </w14:textFill>
              </w:rPr>
              <w:t xml:space="preserve"> (if any), VAT for Goods</w:t>
            </w:r>
          </w:p>
        </w:tc>
        <w:tc>
          <w:tcPr>
            <w:tcW w:w="1418" w:type="dxa"/>
            <w:shd w:val="clear" w:color="auto" w:fill="E2EFD9"/>
            <w:vAlign w:val="center"/>
          </w:tcPr>
          <w:p w14:paraId="708C695F">
            <w:pPr>
              <w:suppressAutoHyphens/>
              <w:jc w:val="both"/>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The total price includes taxes, fees and duties related to import, excise tax (if any), VAT</w:t>
            </w:r>
          </w:p>
        </w:tc>
      </w:tr>
      <w:tr w14:paraId="708C6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371" w:hRule="atLeast"/>
        </w:trPr>
        <w:tc>
          <w:tcPr>
            <w:tcW w:w="421" w:type="dxa"/>
            <w:vAlign w:val="center"/>
          </w:tcPr>
          <w:p w14:paraId="708C6961">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w:t>
            </w:r>
          </w:p>
        </w:tc>
        <w:tc>
          <w:tcPr>
            <w:tcW w:w="567" w:type="dxa"/>
            <w:vAlign w:val="center"/>
          </w:tcPr>
          <w:p w14:paraId="708C6962">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w:t>
            </w:r>
          </w:p>
        </w:tc>
        <w:tc>
          <w:tcPr>
            <w:tcW w:w="567" w:type="dxa"/>
            <w:vAlign w:val="center"/>
          </w:tcPr>
          <w:p w14:paraId="708C6963">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w:t>
            </w:r>
          </w:p>
        </w:tc>
        <w:tc>
          <w:tcPr>
            <w:tcW w:w="729" w:type="dxa"/>
            <w:vAlign w:val="center"/>
          </w:tcPr>
          <w:p w14:paraId="708C6964">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w:t>
            </w:r>
          </w:p>
        </w:tc>
        <w:tc>
          <w:tcPr>
            <w:tcW w:w="867" w:type="dxa"/>
            <w:vAlign w:val="center"/>
          </w:tcPr>
          <w:p w14:paraId="708C6965">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(5)</w:t>
            </w:r>
          </w:p>
        </w:tc>
        <w:tc>
          <w:tcPr>
            <w:tcW w:w="675" w:type="dxa"/>
            <w:gridSpan w:val="2"/>
            <w:vAlign w:val="center"/>
          </w:tcPr>
          <w:p w14:paraId="708C6966">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(6)</w:t>
            </w:r>
          </w:p>
        </w:tc>
        <w:tc>
          <w:tcPr>
            <w:tcW w:w="709" w:type="dxa"/>
            <w:vAlign w:val="center"/>
          </w:tcPr>
          <w:p w14:paraId="708C6967">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(7)</w:t>
            </w:r>
          </w:p>
        </w:tc>
        <w:tc>
          <w:tcPr>
            <w:tcW w:w="851" w:type="dxa"/>
            <w:vAlign w:val="center"/>
          </w:tcPr>
          <w:p w14:paraId="708C6968">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(8)</w:t>
            </w:r>
          </w:p>
        </w:tc>
        <w:tc>
          <w:tcPr>
            <w:tcW w:w="709" w:type="dxa"/>
            <w:vAlign w:val="center"/>
          </w:tcPr>
          <w:p w14:paraId="708C6969">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(9)</w:t>
            </w:r>
          </w:p>
        </w:tc>
        <w:tc>
          <w:tcPr>
            <w:tcW w:w="709" w:type="dxa"/>
            <w:vAlign w:val="center"/>
          </w:tcPr>
          <w:p w14:paraId="708C696A">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(10)</w:t>
            </w:r>
          </w:p>
        </w:tc>
        <w:tc>
          <w:tcPr>
            <w:tcW w:w="566" w:type="dxa"/>
            <w:vAlign w:val="center"/>
          </w:tcPr>
          <w:p w14:paraId="708C696B">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(11)</w:t>
            </w:r>
          </w:p>
        </w:tc>
        <w:tc>
          <w:tcPr>
            <w:tcW w:w="1276" w:type="dxa"/>
            <w:vAlign w:val="center"/>
          </w:tcPr>
          <w:p w14:paraId="708C696C">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(12)</w:t>
            </w:r>
          </w:p>
        </w:tc>
        <w:tc>
          <w:tcPr>
            <w:tcW w:w="851" w:type="dxa"/>
            <w:vAlign w:val="center"/>
          </w:tcPr>
          <w:p w14:paraId="708C696D">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(13)=(4)x(12)</w:t>
            </w:r>
          </w:p>
        </w:tc>
        <w:tc>
          <w:tcPr>
            <w:tcW w:w="1842" w:type="dxa"/>
            <w:vAlign w:val="center"/>
          </w:tcPr>
          <w:p w14:paraId="708C696E">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(14)</w:t>
            </w:r>
          </w:p>
        </w:tc>
        <w:tc>
          <w:tcPr>
            <w:tcW w:w="1559" w:type="dxa"/>
            <w:gridSpan w:val="2"/>
            <w:vAlign w:val="center"/>
          </w:tcPr>
          <w:p w14:paraId="708C696F">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(15)=(14)+(13)</w:t>
            </w:r>
          </w:p>
        </w:tc>
        <w:tc>
          <w:tcPr>
            <w:tcW w:w="1418" w:type="dxa"/>
            <w:vAlign w:val="center"/>
          </w:tcPr>
          <w:p w14:paraId="708C6970">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(16)</w:t>
            </w:r>
          </w:p>
        </w:tc>
        <w:tc>
          <w:tcPr>
            <w:tcW w:w="709" w:type="dxa"/>
            <w:vAlign w:val="center"/>
          </w:tcPr>
          <w:p w14:paraId="708C6971">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(17)</w:t>
            </w:r>
          </w:p>
        </w:tc>
        <w:tc>
          <w:tcPr>
            <w:tcW w:w="1418" w:type="dxa"/>
            <w:vAlign w:val="center"/>
          </w:tcPr>
          <w:p w14:paraId="708C6972">
            <w:pPr>
              <w:suppressAutoHyphens/>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(18)=(15)+(16)+(17)</w:t>
            </w:r>
          </w:p>
        </w:tc>
      </w:tr>
      <w:tr w14:paraId="708C6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45" w:hRule="atLeast"/>
        </w:trPr>
        <w:tc>
          <w:tcPr>
            <w:tcW w:w="421" w:type="dxa"/>
            <w:vAlign w:val="center"/>
          </w:tcPr>
          <w:p w14:paraId="708C6974">
            <w:pPr>
              <w:suppressAutoHyphens/>
              <w:jc w:val="center"/>
              <w:rPr>
                <w:i/>
                <w:iCs/>
                <w:color w:val="000000" w:themeColor="text1"/>
                <w:sz w:val="18"/>
                <w:szCs w:val="18"/>
                <w14:textFill>
                  <w14:solidFill>
                    <w14:schemeClr w14:val="tx1"/>
                  </w14:solidFill>
                </w14:textFill>
              </w:rPr>
            </w:pPr>
          </w:p>
        </w:tc>
        <w:tc>
          <w:tcPr>
            <w:tcW w:w="567" w:type="dxa"/>
            <w:vAlign w:val="center"/>
          </w:tcPr>
          <w:p w14:paraId="708C6975">
            <w:pPr>
              <w:suppressAutoHyphens/>
              <w:rPr>
                <w:i/>
                <w:iCs/>
                <w:color w:val="000000" w:themeColor="text1"/>
                <w:sz w:val="18"/>
                <w:szCs w:val="18"/>
                <w14:textFill>
                  <w14:solidFill>
                    <w14:schemeClr w14:val="tx1"/>
                  </w14:solidFill>
                </w14:textFill>
              </w:rPr>
            </w:pPr>
          </w:p>
        </w:tc>
        <w:tc>
          <w:tcPr>
            <w:tcW w:w="567" w:type="dxa"/>
            <w:vAlign w:val="center"/>
          </w:tcPr>
          <w:p w14:paraId="708C6976">
            <w:pPr>
              <w:suppressAutoHyphens/>
              <w:rPr>
                <w:i/>
                <w:iCs/>
                <w:color w:val="000000" w:themeColor="text1"/>
                <w:sz w:val="18"/>
                <w:szCs w:val="18"/>
                <w14:textFill>
                  <w14:solidFill>
                    <w14:schemeClr w14:val="tx1"/>
                  </w14:solidFill>
                </w14:textFill>
              </w:rPr>
            </w:pPr>
          </w:p>
        </w:tc>
        <w:tc>
          <w:tcPr>
            <w:tcW w:w="729" w:type="dxa"/>
            <w:vAlign w:val="center"/>
          </w:tcPr>
          <w:p w14:paraId="708C6977">
            <w:pPr>
              <w:suppressAutoHyphens/>
              <w:rPr>
                <w:i/>
                <w:iCs/>
                <w:color w:val="000000" w:themeColor="text1"/>
                <w:sz w:val="18"/>
                <w:szCs w:val="18"/>
                <w14:textFill>
                  <w14:solidFill>
                    <w14:schemeClr w14:val="tx1"/>
                  </w14:solidFill>
                </w14:textFill>
              </w:rPr>
            </w:pPr>
          </w:p>
        </w:tc>
        <w:tc>
          <w:tcPr>
            <w:tcW w:w="867" w:type="dxa"/>
            <w:vAlign w:val="center"/>
          </w:tcPr>
          <w:p w14:paraId="708C6978">
            <w:pPr>
              <w:suppressAutoHyphens/>
              <w:rPr>
                <w:i/>
                <w:iCs/>
                <w:color w:val="000000" w:themeColor="text1"/>
                <w:sz w:val="18"/>
                <w:szCs w:val="18"/>
                <w14:textFill>
                  <w14:solidFill>
                    <w14:schemeClr w14:val="tx1"/>
                  </w14:solidFill>
                </w14:textFill>
              </w:rPr>
            </w:pPr>
          </w:p>
        </w:tc>
        <w:tc>
          <w:tcPr>
            <w:tcW w:w="675" w:type="dxa"/>
            <w:gridSpan w:val="2"/>
            <w:vAlign w:val="center"/>
          </w:tcPr>
          <w:p w14:paraId="708C6979">
            <w:pPr>
              <w:suppressAutoHyphens/>
              <w:rPr>
                <w:i/>
                <w:iCs/>
                <w:color w:val="000000" w:themeColor="text1"/>
                <w:sz w:val="18"/>
                <w:szCs w:val="18"/>
                <w14:textFill>
                  <w14:solidFill>
                    <w14:schemeClr w14:val="tx1"/>
                  </w14:solidFill>
                </w14:textFill>
              </w:rPr>
            </w:pPr>
          </w:p>
        </w:tc>
        <w:tc>
          <w:tcPr>
            <w:tcW w:w="709" w:type="dxa"/>
            <w:vAlign w:val="center"/>
          </w:tcPr>
          <w:p w14:paraId="708C697A">
            <w:pPr>
              <w:suppressAutoHyphens/>
              <w:rPr>
                <w:i/>
                <w:iCs/>
                <w:color w:val="000000" w:themeColor="text1"/>
                <w:sz w:val="18"/>
                <w:szCs w:val="18"/>
                <w14:textFill>
                  <w14:solidFill>
                    <w14:schemeClr w14:val="tx1"/>
                  </w14:solidFill>
                </w14:textFill>
              </w:rPr>
            </w:pPr>
          </w:p>
        </w:tc>
        <w:tc>
          <w:tcPr>
            <w:tcW w:w="851" w:type="dxa"/>
            <w:vAlign w:val="center"/>
          </w:tcPr>
          <w:p w14:paraId="708C697B">
            <w:pPr>
              <w:suppressAutoHyphens/>
              <w:rPr>
                <w:i/>
                <w:iCs/>
                <w:color w:val="000000" w:themeColor="text1"/>
                <w:sz w:val="18"/>
                <w:szCs w:val="18"/>
                <w14:textFill>
                  <w14:solidFill>
                    <w14:schemeClr w14:val="tx1"/>
                  </w14:solidFill>
                </w14:textFill>
              </w:rPr>
            </w:pPr>
          </w:p>
        </w:tc>
        <w:tc>
          <w:tcPr>
            <w:tcW w:w="709" w:type="dxa"/>
            <w:vAlign w:val="center"/>
          </w:tcPr>
          <w:p w14:paraId="708C697C">
            <w:pPr>
              <w:suppressAutoHyphens/>
              <w:rPr>
                <w:i/>
                <w:iCs/>
                <w:color w:val="000000" w:themeColor="text1"/>
                <w:sz w:val="18"/>
                <w:szCs w:val="18"/>
                <w14:textFill>
                  <w14:solidFill>
                    <w14:schemeClr w14:val="tx1"/>
                  </w14:solidFill>
                </w14:textFill>
              </w:rPr>
            </w:pPr>
          </w:p>
        </w:tc>
        <w:tc>
          <w:tcPr>
            <w:tcW w:w="709" w:type="dxa"/>
            <w:vAlign w:val="center"/>
          </w:tcPr>
          <w:p w14:paraId="708C697D">
            <w:pPr>
              <w:suppressAutoHyphens/>
              <w:rPr>
                <w:i/>
                <w:iCs/>
                <w:color w:val="000000" w:themeColor="text1"/>
                <w:sz w:val="18"/>
                <w:szCs w:val="18"/>
                <w14:textFill>
                  <w14:solidFill>
                    <w14:schemeClr w14:val="tx1"/>
                  </w14:solidFill>
                </w14:textFill>
              </w:rPr>
            </w:pPr>
          </w:p>
        </w:tc>
        <w:tc>
          <w:tcPr>
            <w:tcW w:w="566" w:type="dxa"/>
            <w:vAlign w:val="center"/>
          </w:tcPr>
          <w:p w14:paraId="708C697E">
            <w:pPr>
              <w:suppressAutoHyphens/>
              <w:rPr>
                <w:i/>
                <w:iCs/>
                <w:color w:val="000000" w:themeColor="text1"/>
                <w:sz w:val="18"/>
                <w:szCs w:val="18"/>
                <w14:textFill>
                  <w14:solidFill>
                    <w14:schemeClr w14:val="tx1"/>
                  </w14:solidFill>
                </w14:textFill>
              </w:rPr>
            </w:pPr>
          </w:p>
        </w:tc>
        <w:tc>
          <w:tcPr>
            <w:tcW w:w="1276" w:type="dxa"/>
            <w:vAlign w:val="center"/>
          </w:tcPr>
          <w:p w14:paraId="708C697F">
            <w:pPr>
              <w:suppressAutoHyphens/>
              <w:rPr>
                <w:i/>
                <w:iCs/>
                <w:color w:val="000000" w:themeColor="text1"/>
                <w:sz w:val="18"/>
                <w:szCs w:val="18"/>
                <w14:textFill>
                  <w14:solidFill>
                    <w14:schemeClr w14:val="tx1"/>
                  </w14:solidFill>
                </w14:textFill>
              </w:rPr>
            </w:pPr>
          </w:p>
        </w:tc>
        <w:tc>
          <w:tcPr>
            <w:tcW w:w="851" w:type="dxa"/>
            <w:vAlign w:val="center"/>
          </w:tcPr>
          <w:p w14:paraId="708C6980">
            <w:pPr>
              <w:suppressAutoHyphens/>
              <w:jc w:val="center"/>
              <w:rPr>
                <w:i/>
                <w:iCs/>
                <w:color w:val="000000" w:themeColor="text1"/>
                <w:sz w:val="18"/>
                <w:szCs w:val="18"/>
                <w14:textFill>
                  <w14:solidFill>
                    <w14:schemeClr w14:val="tx1"/>
                  </w14:solidFill>
                </w14:textFill>
              </w:rPr>
            </w:pPr>
          </w:p>
        </w:tc>
        <w:tc>
          <w:tcPr>
            <w:tcW w:w="1842" w:type="dxa"/>
            <w:vAlign w:val="center"/>
          </w:tcPr>
          <w:p w14:paraId="708C6981">
            <w:pPr>
              <w:suppressAutoHyphens/>
              <w:jc w:val="center"/>
              <w:rPr>
                <w:i/>
                <w:iCs/>
                <w:color w:val="000000" w:themeColor="text1"/>
                <w:sz w:val="18"/>
                <w:szCs w:val="18"/>
                <w14:textFill>
                  <w14:solidFill>
                    <w14:schemeClr w14:val="tx1"/>
                  </w14:solidFill>
                </w14:textFill>
              </w:rPr>
            </w:pPr>
          </w:p>
        </w:tc>
        <w:tc>
          <w:tcPr>
            <w:tcW w:w="1559" w:type="dxa"/>
            <w:gridSpan w:val="2"/>
            <w:vAlign w:val="center"/>
          </w:tcPr>
          <w:p w14:paraId="708C6982">
            <w:pPr>
              <w:suppressAutoHyphens/>
              <w:jc w:val="center"/>
              <w:rPr>
                <w:i/>
                <w:iCs/>
                <w:color w:val="000000" w:themeColor="text1"/>
                <w:sz w:val="18"/>
                <w:szCs w:val="18"/>
                <w14:textFill>
                  <w14:solidFill>
                    <w14:schemeClr w14:val="tx1"/>
                  </w14:solidFill>
                </w14:textFill>
              </w:rPr>
            </w:pPr>
          </w:p>
        </w:tc>
        <w:tc>
          <w:tcPr>
            <w:tcW w:w="1418" w:type="dxa"/>
            <w:vAlign w:val="center"/>
          </w:tcPr>
          <w:p w14:paraId="708C6983">
            <w:pPr>
              <w:suppressAutoHyphens/>
              <w:jc w:val="center"/>
              <w:rPr>
                <w:i/>
                <w:iCs/>
                <w:color w:val="000000" w:themeColor="text1"/>
                <w:sz w:val="18"/>
                <w:szCs w:val="18"/>
                <w14:textFill>
                  <w14:solidFill>
                    <w14:schemeClr w14:val="tx1"/>
                  </w14:solidFill>
                </w14:textFill>
              </w:rPr>
            </w:pPr>
          </w:p>
        </w:tc>
        <w:tc>
          <w:tcPr>
            <w:tcW w:w="709" w:type="dxa"/>
            <w:vAlign w:val="center"/>
          </w:tcPr>
          <w:p w14:paraId="708C6984">
            <w:pPr>
              <w:suppressAutoHyphens/>
              <w:jc w:val="center"/>
              <w:rPr>
                <w:i/>
                <w:iCs/>
                <w:color w:val="000000" w:themeColor="text1"/>
                <w:sz w:val="18"/>
                <w:szCs w:val="18"/>
                <w14:textFill>
                  <w14:solidFill>
                    <w14:schemeClr w14:val="tx1"/>
                  </w14:solidFill>
                </w14:textFill>
              </w:rPr>
            </w:pPr>
          </w:p>
        </w:tc>
        <w:tc>
          <w:tcPr>
            <w:tcW w:w="1418" w:type="dxa"/>
            <w:vAlign w:val="center"/>
          </w:tcPr>
          <w:p w14:paraId="708C6985">
            <w:pPr>
              <w:suppressAutoHyphens/>
              <w:jc w:val="center"/>
              <w:rPr>
                <w:i/>
                <w:iCs/>
                <w:color w:val="000000" w:themeColor="text1"/>
                <w:sz w:val="18"/>
                <w:szCs w:val="18"/>
                <w14:textFill>
                  <w14:solidFill>
                    <w14:schemeClr w14:val="tx1"/>
                  </w14:solidFill>
                </w14:textFill>
              </w:rPr>
            </w:pPr>
          </w:p>
        </w:tc>
      </w:tr>
      <w:tr w14:paraId="708C6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45" w:hRule="atLeast"/>
        </w:trPr>
        <w:tc>
          <w:tcPr>
            <w:tcW w:w="988" w:type="dxa"/>
            <w:gridSpan w:val="2"/>
            <w:vAlign w:val="center"/>
          </w:tcPr>
          <w:p w14:paraId="708C6987">
            <w:pPr>
              <w:suppressAutoHyphens/>
              <w:jc w:val="center"/>
              <w:rPr>
                <w:b/>
                <w:iCs/>
                <w:color w:val="000000" w:themeColor="text1"/>
                <w:sz w:val="18"/>
                <w:szCs w:val="18"/>
                <w14:textFill>
                  <w14:solidFill>
                    <w14:schemeClr w14:val="tx1"/>
                  </w14:solidFill>
                </w14:textFill>
              </w:rPr>
            </w:pPr>
          </w:p>
        </w:tc>
        <w:tc>
          <w:tcPr>
            <w:tcW w:w="2172" w:type="dxa"/>
            <w:gridSpan w:val="4"/>
            <w:vAlign w:val="center"/>
          </w:tcPr>
          <w:p w14:paraId="708C6988">
            <w:pPr>
              <w:suppressAutoHyphens/>
              <w:jc w:val="center"/>
              <w:rPr>
                <w:b/>
                <w:iCs/>
                <w:color w:val="000000" w:themeColor="text1"/>
                <w:sz w:val="18"/>
                <w:szCs w:val="18"/>
                <w14:textFill>
                  <w14:solidFill>
                    <w14:schemeClr w14:val="tx1"/>
                  </w14:solidFill>
                </w14:textFill>
              </w:rPr>
            </w:pPr>
          </w:p>
        </w:tc>
        <w:tc>
          <w:tcPr>
            <w:tcW w:w="666" w:type="dxa"/>
            <w:vAlign w:val="center"/>
          </w:tcPr>
          <w:p w14:paraId="708C6989">
            <w:pPr>
              <w:suppressAutoHyphens/>
              <w:jc w:val="center"/>
              <w:rPr>
                <w:b/>
                <w:iCs/>
                <w:color w:val="000000" w:themeColor="text1"/>
                <w:sz w:val="18"/>
                <w:szCs w:val="18"/>
                <w14:textFill>
                  <w14:solidFill>
                    <w14:schemeClr w14:val="tx1"/>
                  </w14:solidFill>
                </w14:textFill>
              </w:rPr>
            </w:pPr>
          </w:p>
        </w:tc>
        <w:tc>
          <w:tcPr>
            <w:tcW w:w="709" w:type="dxa"/>
            <w:vAlign w:val="center"/>
          </w:tcPr>
          <w:p w14:paraId="708C698A">
            <w:pPr>
              <w:suppressAutoHyphens/>
              <w:jc w:val="center"/>
              <w:rPr>
                <w:b/>
                <w:iCs/>
                <w:color w:val="000000" w:themeColor="text1"/>
                <w:sz w:val="18"/>
                <w:szCs w:val="18"/>
                <w14:textFill>
                  <w14:solidFill>
                    <w14:schemeClr w14:val="tx1"/>
                  </w14:solidFill>
                </w14:textFill>
              </w:rPr>
            </w:pPr>
          </w:p>
        </w:tc>
        <w:tc>
          <w:tcPr>
            <w:tcW w:w="851" w:type="dxa"/>
            <w:vAlign w:val="center"/>
          </w:tcPr>
          <w:p w14:paraId="708C698B">
            <w:pPr>
              <w:suppressAutoHyphens/>
              <w:jc w:val="center"/>
              <w:rPr>
                <w:b/>
                <w:iCs/>
                <w:color w:val="000000" w:themeColor="text1"/>
                <w:sz w:val="18"/>
                <w:szCs w:val="18"/>
                <w14:textFill>
                  <w14:solidFill>
                    <w14:schemeClr w14:val="tx1"/>
                  </w14:solidFill>
                </w14:textFill>
              </w:rPr>
            </w:pPr>
          </w:p>
        </w:tc>
        <w:tc>
          <w:tcPr>
            <w:tcW w:w="5976" w:type="dxa"/>
            <w:gridSpan w:val="7"/>
            <w:vAlign w:val="center"/>
          </w:tcPr>
          <w:p w14:paraId="708C698C">
            <w:pPr>
              <w:suppressAutoHyphens/>
              <w:jc w:val="center"/>
              <w:rPr>
                <w:iCs/>
                <w:color w:val="000000" w:themeColor="text1"/>
                <w:sz w:val="18"/>
                <w:szCs w:val="18"/>
                <w14:textFill>
                  <w14:solidFill>
                    <w14:schemeClr w14:val="tx1"/>
                  </w14:solidFill>
                </w14:textFill>
              </w:rPr>
            </w:pPr>
            <w:r>
              <w:rPr>
                <w:b/>
                <w:iCs/>
                <w:color w:val="000000" w:themeColor="text1"/>
                <w:sz w:val="18"/>
                <w:szCs w:val="18"/>
                <w14:textFill>
                  <w14:solidFill>
                    <w14:schemeClr w14:val="tx1"/>
                  </w14:solidFill>
                </w14:textFill>
              </w:rPr>
              <w:t>Total</w:t>
            </w:r>
          </w:p>
        </w:tc>
        <w:tc>
          <w:tcPr>
            <w:tcW w:w="1536" w:type="dxa"/>
            <w:vAlign w:val="center"/>
          </w:tcPr>
          <w:p w14:paraId="708C698D">
            <w:pPr>
              <w:suppressAutoHyphens/>
              <w:jc w:val="center"/>
              <w:rPr>
                <w:i/>
                <w:iCs/>
                <w:color w:val="000000" w:themeColor="text1"/>
                <w:sz w:val="18"/>
                <w:szCs w:val="18"/>
                <w14:textFill>
                  <w14:solidFill>
                    <w14:schemeClr w14:val="tx1"/>
                  </w14:solidFill>
                </w14:textFill>
              </w:rPr>
            </w:pPr>
            <w:r>
              <w:rPr>
                <w:i/>
                <w:iCs/>
                <w:color w:val="000000" w:themeColor="text1"/>
                <w:sz w:val="18"/>
                <w:szCs w:val="18"/>
                <w14:textFill>
                  <w14:solidFill>
                    <w14:schemeClr w14:val="tx1"/>
                  </w14:solidFill>
                </w14:textFill>
              </w:rPr>
              <w:t>(M</w:t>
            </w:r>
            <w:r>
              <w:rPr>
                <w:i/>
                <w:iCs/>
                <w:color w:val="000000" w:themeColor="text1"/>
                <w:sz w:val="18"/>
                <w:szCs w:val="18"/>
                <w:vertAlign w:val="superscript"/>
                <w14:textFill>
                  <w14:solidFill>
                    <w14:schemeClr w14:val="tx1"/>
                  </w14:solidFill>
                </w14:textFill>
              </w:rPr>
              <w:t>*</w:t>
            </w:r>
            <w:r>
              <w:rPr>
                <w:i/>
                <w:iCs/>
                <w:color w:val="000000" w:themeColor="text1"/>
                <w:sz w:val="18"/>
                <w:szCs w:val="18"/>
                <w14:textFill>
                  <w14:solidFill>
                    <w14:schemeClr w14:val="tx1"/>
                  </w14:solidFill>
                </w14:textFill>
              </w:rPr>
              <w:t>)</w:t>
            </w:r>
          </w:p>
        </w:tc>
        <w:tc>
          <w:tcPr>
            <w:tcW w:w="1418" w:type="dxa"/>
            <w:vAlign w:val="center"/>
          </w:tcPr>
          <w:p w14:paraId="708C698E">
            <w:pPr>
              <w:suppressAutoHyphens/>
              <w:jc w:val="center"/>
              <w:rPr>
                <w:i/>
                <w:iCs/>
                <w:color w:val="000000" w:themeColor="text1"/>
                <w:sz w:val="18"/>
                <w:szCs w:val="18"/>
                <w14:textFill>
                  <w14:solidFill>
                    <w14:schemeClr w14:val="tx1"/>
                  </w14:solidFill>
                </w14:textFill>
              </w:rPr>
            </w:pPr>
          </w:p>
        </w:tc>
        <w:tc>
          <w:tcPr>
            <w:tcW w:w="709" w:type="dxa"/>
            <w:vAlign w:val="center"/>
          </w:tcPr>
          <w:p w14:paraId="708C698F">
            <w:pPr>
              <w:suppressAutoHyphens/>
              <w:jc w:val="center"/>
              <w:rPr>
                <w:i/>
                <w:iCs/>
                <w:color w:val="000000" w:themeColor="text1"/>
                <w:sz w:val="18"/>
                <w:szCs w:val="18"/>
                <w14:textFill>
                  <w14:solidFill>
                    <w14:schemeClr w14:val="tx1"/>
                  </w14:solidFill>
                </w14:textFill>
              </w:rPr>
            </w:pPr>
          </w:p>
        </w:tc>
        <w:tc>
          <w:tcPr>
            <w:tcW w:w="1418" w:type="dxa"/>
            <w:vAlign w:val="center"/>
          </w:tcPr>
          <w:p w14:paraId="708C6990">
            <w:pPr>
              <w:suppressAutoHyphens/>
              <w:jc w:val="center"/>
              <w:rPr>
                <w:i/>
                <w:iCs/>
                <w:color w:val="000000" w:themeColor="text1"/>
                <w:sz w:val="18"/>
                <w:szCs w:val="18"/>
                <w14:textFill>
                  <w14:solidFill>
                    <w14:schemeClr w14:val="tx1"/>
                  </w14:solidFill>
                </w14:textFill>
              </w:rPr>
            </w:pPr>
            <w:r>
              <w:rPr>
                <w:i/>
                <w:iCs/>
                <w:color w:val="000000" w:themeColor="text1"/>
                <w:sz w:val="18"/>
                <w:szCs w:val="18"/>
                <w14:textFill>
                  <w14:solidFill>
                    <w14:schemeClr w14:val="tx1"/>
                  </w14:solidFill>
                </w14:textFill>
              </w:rPr>
              <w:t>(M3)</w:t>
            </w:r>
          </w:p>
        </w:tc>
      </w:tr>
    </w:tbl>
    <w:p w14:paraId="708C6992">
      <w:pPr>
        <w:pStyle w:val="15"/>
        <w:widowControl w:val="0"/>
        <w:shd w:val="clear" w:color="auto" w:fill="FFFFFF"/>
        <w:spacing w:before="120" w:line="264" w:lineRule="auto"/>
        <w:ind w:firstLine="567"/>
        <w:jc w:val="right"/>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Legal representative of the Bidder</w:t>
      </w:r>
    </w:p>
    <w:p w14:paraId="708C6993">
      <w:pPr>
        <w:pStyle w:val="4"/>
        <w:widowControl w:val="0"/>
        <w:shd w:val="clear" w:color="auto" w:fill="FFFFFF"/>
        <w:spacing w:before="120" w:after="120" w:line="264" w:lineRule="auto"/>
        <w:ind w:firstLine="567"/>
        <w:jc w:val="right"/>
        <w:rPr>
          <w:rFonts w:ascii="Times New Roman" w:hAnsi="Times New Roman"/>
          <w:i/>
          <w:color w:val="000000" w:themeColor="text1"/>
          <w14:textFill>
            <w14:solidFill>
              <w14:schemeClr w14:val="tx1"/>
            </w14:solidFill>
          </w14:textFill>
        </w:rPr>
      </w:pPr>
      <w:r>
        <w:rPr>
          <w:rFonts w:ascii="Times New Roman" w:hAnsi="Times New Roman"/>
          <w:i/>
          <w:color w:val="000000" w:themeColor="text1"/>
          <w14:textFill>
            <w14:solidFill>
              <w14:schemeClr w14:val="tx1"/>
            </w14:solidFill>
          </w14:textFill>
        </w:rPr>
        <w:t>(Full name, position, signature and seal)</w:t>
      </w:r>
    </w:p>
    <w:p w14:paraId="708C6994">
      <w:pPr>
        <w:spacing w:before="40" w:after="40" w:line="264" w:lineRule="auto"/>
        <w:ind w:firstLine="709"/>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Note: </w:t>
      </w:r>
    </w:p>
    <w:p w14:paraId="708C6995">
      <w:pPr>
        <w:spacing w:before="40" w:after="40"/>
        <w:ind w:firstLine="709"/>
        <w:jc w:val="both"/>
        <w:rPr>
          <w:strike/>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(5), (6), (7), (8), (9) and (10): </w:t>
      </w:r>
      <w:r>
        <w:rPr>
          <w:sz w:val="26"/>
          <w:szCs w:val="26"/>
        </w:rPr>
        <w:t xml:space="preserve">The bidder must specify the </w:t>
      </w:r>
      <w:r>
        <w:rPr>
          <w:color w:val="000000"/>
          <w:sz w:val="26"/>
          <w:szCs w:val="26"/>
        </w:rPr>
        <w:t xml:space="preserve">Marks and Numbers, Trade mark, Origin, Manufacturer </w:t>
      </w:r>
      <w:r>
        <w:rPr>
          <w:sz w:val="26"/>
          <w:szCs w:val="26"/>
        </w:rPr>
        <w:t>of the Goods in accordance with the technical proposal</w:t>
      </w:r>
      <w:r>
        <w:rPr>
          <w:color w:val="000000" w:themeColor="text1"/>
          <w:sz w:val="26"/>
          <w:szCs w:val="26"/>
          <w14:textFill>
            <w14:solidFill>
              <w14:schemeClr w14:val="tx1"/>
            </w14:solidFill>
          </w14:textFill>
        </w:rPr>
        <w:t>;</w:t>
      </w:r>
    </w:p>
    <w:p w14:paraId="708C6996">
      <w:pPr>
        <w:spacing w:before="40" w:after="40"/>
        <w:ind w:firstLine="709"/>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(11): If the Bidder knows HS code of goods, then fill it; otherwise, leave it blank;</w:t>
      </w:r>
    </w:p>
    <w:p w14:paraId="708C6997">
      <w:pPr>
        <w:spacing w:before="40" w:after="40"/>
        <w:ind w:firstLine="709"/>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(14): Including THC, DO, CIC, cleaning fee, handling fee, loading cost at final destination port and unloading cost at site (including premium), fee for opening the packages to inspect goods at site;</w:t>
      </w:r>
    </w:p>
    <w:p w14:paraId="708C6998">
      <w:pPr>
        <w:spacing w:before="120" w:after="120"/>
        <w:ind w:firstLine="709"/>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total price (M*) does not include taxes, fees and duties related to import, excise tax (if any), VAT for Goods is the basis for comparison and ranking of the bidders. Value of taxes, fees, and duties related to import (column 16) and excise tax (if any), VAT for Goods (column 17) will not be considered in the evaluation process for the comparison and ranking of bidders. The proposed awarding bid price and the contract price shall include value of all taxes, fees and duties related to import, excise tax (if any), VAT.</w:t>
      </w:r>
    </w:p>
    <w:p w14:paraId="708C6999">
      <w:pPr>
        <w:spacing w:before="120" w:after="120"/>
        <w:ind w:firstLine="709"/>
        <w:jc w:val="right"/>
        <w:rPr>
          <w:color w:val="000000" w:themeColor="text1"/>
          <w:sz w:val="26"/>
          <w:szCs w:val="26"/>
          <w14:textFill>
            <w14:solidFill>
              <w14:schemeClr w14:val="tx1"/>
            </w14:solidFill>
          </w14:textFill>
        </w:rPr>
        <w:sectPr>
          <w:headerReference r:id="rId18" w:type="default"/>
          <w:footerReference r:id="rId19" w:type="default"/>
          <w:pgSz w:w="16840" w:h="11907" w:orient="landscape"/>
          <w:pgMar w:top="1020" w:right="1134" w:bottom="1020" w:left="1134" w:header="720" w:footer="720" w:gutter="0"/>
          <w:cols w:space="0" w:num="1"/>
          <w:docGrid w:linePitch="360" w:charSpace="0"/>
        </w:sectPr>
      </w:pPr>
    </w:p>
    <w:p w14:paraId="708C699A">
      <w:pPr>
        <w:spacing w:before="120" w:after="120"/>
        <w:ind w:firstLine="709"/>
        <w:jc w:val="right"/>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Form 5 (b)</w:t>
      </w:r>
    </w:p>
    <w:p w14:paraId="708C699B">
      <w:pPr>
        <w:shd w:val="clear" w:color="auto" w:fill="FFFFFF"/>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PRICE SCHEDULE FOR RELATED SERVICES</w:t>
      </w:r>
    </w:p>
    <w:p w14:paraId="708C699C">
      <w:pPr>
        <w:shd w:val="clear" w:color="auto" w:fill="FFFFFF"/>
        <w:jc w:val="center"/>
        <w:rPr>
          <w:b/>
          <w:i/>
          <w:color w:val="000000" w:themeColor="text1"/>
          <w:sz w:val="26"/>
          <w:szCs w:val="26"/>
          <w14:textFill>
            <w14:solidFill>
              <w14:schemeClr w14:val="tx1"/>
            </w14:solidFill>
          </w14:textFill>
        </w:rPr>
      </w:pPr>
    </w:p>
    <w:tbl>
      <w:tblPr>
        <w:tblStyle w:val="12"/>
        <w:tblW w:w="15055" w:type="dxa"/>
        <w:tblInd w:w="108" w:type="dxa"/>
        <w:tblLayout w:type="autofit"/>
        <w:tblCellMar>
          <w:top w:w="0" w:type="dxa"/>
          <w:left w:w="108" w:type="dxa"/>
          <w:bottom w:w="0" w:type="dxa"/>
          <w:right w:w="108" w:type="dxa"/>
        </w:tblCellMar>
      </w:tblPr>
      <w:tblGrid>
        <w:gridCol w:w="993"/>
        <w:gridCol w:w="2727"/>
        <w:gridCol w:w="1735"/>
        <w:gridCol w:w="1418"/>
        <w:gridCol w:w="1953"/>
        <w:gridCol w:w="1874"/>
        <w:gridCol w:w="1620"/>
        <w:gridCol w:w="2735"/>
      </w:tblGrid>
      <w:tr w14:paraId="708C69A5">
        <w:tblPrEx>
          <w:tblCellMar>
            <w:top w:w="0" w:type="dxa"/>
            <w:left w:w="108" w:type="dxa"/>
            <w:bottom w:w="0" w:type="dxa"/>
            <w:right w:w="108" w:type="dxa"/>
          </w:tblCellMar>
        </w:tblPrEx>
        <w:trPr>
          <w:trHeight w:val="426" w:hRule="atLeast"/>
        </w:trPr>
        <w:tc>
          <w:tcPr>
            <w:tcW w:w="993" w:type="dxa"/>
            <w:tcBorders>
              <w:top w:val="single" w:color="auto" w:sz="4" w:space="0"/>
              <w:left w:val="single" w:color="auto" w:sz="4" w:space="0"/>
              <w:bottom w:val="single" w:color="auto" w:sz="4" w:space="0"/>
              <w:right w:val="single" w:color="auto" w:sz="4" w:space="0"/>
            </w:tcBorders>
            <w:shd w:val="clear" w:color="auto" w:fill="E2EFD9"/>
            <w:vAlign w:val="center"/>
          </w:tcPr>
          <w:p w14:paraId="708C699D">
            <w:pPr>
              <w:spacing w:before="120" w:after="12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No.</w:t>
            </w:r>
          </w:p>
        </w:tc>
        <w:tc>
          <w:tcPr>
            <w:tcW w:w="2727" w:type="dxa"/>
            <w:tcBorders>
              <w:top w:val="single" w:color="auto" w:sz="4" w:space="0"/>
              <w:left w:val="single" w:color="auto" w:sz="4" w:space="0"/>
              <w:bottom w:val="single" w:color="auto" w:sz="4" w:space="0"/>
              <w:right w:val="single" w:color="auto" w:sz="4" w:space="0"/>
            </w:tcBorders>
            <w:shd w:val="clear" w:color="auto" w:fill="E2EFD9"/>
            <w:vAlign w:val="center"/>
          </w:tcPr>
          <w:p w14:paraId="708C699E">
            <w:pPr>
              <w:spacing w:before="120" w:after="12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Description of services</w:t>
            </w:r>
          </w:p>
        </w:tc>
        <w:tc>
          <w:tcPr>
            <w:tcW w:w="1735" w:type="dxa"/>
            <w:tcBorders>
              <w:top w:val="single" w:color="auto" w:sz="4" w:space="0"/>
              <w:left w:val="single" w:color="auto" w:sz="4" w:space="0"/>
              <w:bottom w:val="single" w:color="auto" w:sz="4" w:space="0"/>
              <w:right w:val="single" w:color="auto" w:sz="4" w:space="0"/>
            </w:tcBorders>
            <w:shd w:val="clear" w:color="auto" w:fill="E2EFD9"/>
            <w:vAlign w:val="center"/>
          </w:tcPr>
          <w:p w14:paraId="708C699F">
            <w:pPr>
              <w:spacing w:before="120" w:after="12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Quantity</w:t>
            </w:r>
          </w:p>
        </w:tc>
        <w:tc>
          <w:tcPr>
            <w:tcW w:w="1418" w:type="dxa"/>
            <w:tcBorders>
              <w:top w:val="single" w:color="auto" w:sz="4" w:space="0"/>
              <w:left w:val="single" w:color="auto" w:sz="4" w:space="0"/>
              <w:bottom w:val="single" w:color="auto" w:sz="4" w:space="0"/>
              <w:right w:val="single" w:color="auto" w:sz="4" w:space="0"/>
            </w:tcBorders>
            <w:shd w:val="clear" w:color="auto" w:fill="E2EFD9"/>
            <w:vAlign w:val="center"/>
          </w:tcPr>
          <w:p w14:paraId="708C69A0">
            <w:pPr>
              <w:spacing w:before="120" w:after="12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Unit</w:t>
            </w:r>
          </w:p>
        </w:tc>
        <w:tc>
          <w:tcPr>
            <w:tcW w:w="1953" w:type="dxa"/>
            <w:tcBorders>
              <w:top w:val="single" w:color="auto" w:sz="4" w:space="0"/>
              <w:left w:val="single" w:color="auto" w:sz="4" w:space="0"/>
              <w:bottom w:val="single" w:color="auto" w:sz="4" w:space="0"/>
              <w:right w:val="single" w:color="auto" w:sz="4" w:space="0"/>
            </w:tcBorders>
            <w:shd w:val="clear" w:color="auto" w:fill="E2EFD9"/>
            <w:vAlign w:val="center"/>
          </w:tcPr>
          <w:p w14:paraId="708C69A1">
            <w:pPr>
              <w:spacing w:before="120" w:after="12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Place</w:t>
            </w:r>
          </w:p>
        </w:tc>
        <w:tc>
          <w:tcPr>
            <w:tcW w:w="1874" w:type="dxa"/>
            <w:tcBorders>
              <w:top w:val="single" w:color="auto" w:sz="4" w:space="0"/>
              <w:left w:val="single" w:color="auto" w:sz="4" w:space="0"/>
              <w:bottom w:val="single" w:color="auto" w:sz="4" w:space="0"/>
              <w:right w:val="single" w:color="auto" w:sz="4" w:space="0"/>
            </w:tcBorders>
            <w:shd w:val="clear" w:color="auto" w:fill="E2EFD9"/>
            <w:vAlign w:val="center"/>
          </w:tcPr>
          <w:p w14:paraId="708C69A2">
            <w:pPr>
              <w:spacing w:before="120" w:after="12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Completion date</w:t>
            </w:r>
          </w:p>
        </w:tc>
        <w:tc>
          <w:tcPr>
            <w:tcW w:w="1620" w:type="dxa"/>
            <w:tcBorders>
              <w:top w:val="single" w:color="auto" w:sz="4" w:space="0"/>
              <w:left w:val="single" w:color="auto" w:sz="4" w:space="0"/>
              <w:bottom w:val="single" w:color="auto" w:sz="4" w:space="0"/>
              <w:right w:val="single" w:color="auto" w:sz="4" w:space="0"/>
            </w:tcBorders>
            <w:shd w:val="clear" w:color="auto" w:fill="E2EFD9"/>
            <w:vAlign w:val="center"/>
          </w:tcPr>
          <w:p w14:paraId="708C69A3">
            <w:pPr>
              <w:spacing w:before="120" w:after="12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Unit price</w:t>
            </w:r>
          </w:p>
        </w:tc>
        <w:tc>
          <w:tcPr>
            <w:tcW w:w="2735" w:type="dxa"/>
            <w:tcBorders>
              <w:top w:val="single" w:color="auto" w:sz="4" w:space="0"/>
              <w:left w:val="nil"/>
              <w:bottom w:val="single" w:color="auto" w:sz="4" w:space="0"/>
              <w:right w:val="single" w:color="auto" w:sz="4" w:space="0"/>
            </w:tcBorders>
            <w:shd w:val="clear" w:color="auto" w:fill="E2EFD9"/>
            <w:vAlign w:val="center"/>
          </w:tcPr>
          <w:p w14:paraId="708C69A4">
            <w:pPr>
              <w:spacing w:before="120" w:after="120" w:line="240"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Total Price</w:t>
            </w:r>
          </w:p>
        </w:tc>
      </w:tr>
      <w:tr w14:paraId="708C69AE">
        <w:tblPrEx>
          <w:tblCellMar>
            <w:top w:w="0" w:type="dxa"/>
            <w:left w:w="108" w:type="dxa"/>
            <w:bottom w:w="0" w:type="dxa"/>
            <w:right w:w="108" w:type="dxa"/>
          </w:tblCellMar>
        </w:tblPrEx>
        <w:trPr>
          <w:trHeight w:val="330" w:hRule="atLeast"/>
        </w:trPr>
        <w:tc>
          <w:tcPr>
            <w:tcW w:w="993" w:type="dxa"/>
            <w:tcBorders>
              <w:top w:val="nil"/>
              <w:left w:val="single" w:color="auto" w:sz="4" w:space="0"/>
              <w:bottom w:val="single" w:color="auto" w:sz="4" w:space="0"/>
              <w:right w:val="single" w:color="auto" w:sz="4" w:space="0"/>
            </w:tcBorders>
            <w:shd w:val="clear" w:color="auto" w:fill="E2EFD9"/>
            <w:vAlign w:val="center"/>
          </w:tcPr>
          <w:p w14:paraId="708C69A6">
            <w:pPr>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w:t>
            </w:r>
          </w:p>
        </w:tc>
        <w:tc>
          <w:tcPr>
            <w:tcW w:w="2727" w:type="dxa"/>
            <w:tcBorders>
              <w:top w:val="nil"/>
              <w:left w:val="nil"/>
              <w:bottom w:val="single" w:color="auto" w:sz="4" w:space="0"/>
              <w:right w:val="single" w:color="auto" w:sz="4" w:space="0"/>
            </w:tcBorders>
            <w:shd w:val="clear" w:color="auto" w:fill="E2EFD9"/>
            <w:vAlign w:val="center"/>
          </w:tcPr>
          <w:p w14:paraId="708C69A7">
            <w:pPr>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w:t>
            </w:r>
          </w:p>
        </w:tc>
        <w:tc>
          <w:tcPr>
            <w:tcW w:w="1735" w:type="dxa"/>
            <w:tcBorders>
              <w:top w:val="nil"/>
              <w:left w:val="nil"/>
              <w:bottom w:val="single" w:color="auto" w:sz="4" w:space="0"/>
              <w:right w:val="single" w:color="auto" w:sz="4" w:space="0"/>
            </w:tcBorders>
            <w:shd w:val="clear" w:color="auto" w:fill="E2EFD9"/>
            <w:vAlign w:val="center"/>
          </w:tcPr>
          <w:p w14:paraId="708C69A8">
            <w:pPr>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(3)</w:t>
            </w:r>
          </w:p>
        </w:tc>
        <w:tc>
          <w:tcPr>
            <w:tcW w:w="1418" w:type="dxa"/>
            <w:tcBorders>
              <w:top w:val="nil"/>
              <w:left w:val="nil"/>
              <w:bottom w:val="single" w:color="auto" w:sz="4" w:space="0"/>
              <w:right w:val="single" w:color="auto" w:sz="4" w:space="0"/>
            </w:tcBorders>
            <w:shd w:val="clear" w:color="auto" w:fill="E2EFD9"/>
            <w:vAlign w:val="center"/>
          </w:tcPr>
          <w:p w14:paraId="708C69A9">
            <w:pPr>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(4)</w:t>
            </w:r>
          </w:p>
        </w:tc>
        <w:tc>
          <w:tcPr>
            <w:tcW w:w="1953" w:type="dxa"/>
            <w:tcBorders>
              <w:top w:val="nil"/>
              <w:left w:val="nil"/>
              <w:bottom w:val="single" w:color="auto" w:sz="4" w:space="0"/>
              <w:right w:val="single" w:color="auto" w:sz="4" w:space="0"/>
            </w:tcBorders>
            <w:shd w:val="clear" w:color="auto" w:fill="E2EFD9"/>
            <w:vAlign w:val="center"/>
          </w:tcPr>
          <w:p w14:paraId="708C69AA">
            <w:pPr>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(5)</w:t>
            </w:r>
          </w:p>
        </w:tc>
        <w:tc>
          <w:tcPr>
            <w:tcW w:w="1874" w:type="dxa"/>
            <w:tcBorders>
              <w:top w:val="nil"/>
              <w:left w:val="nil"/>
              <w:bottom w:val="single" w:color="auto" w:sz="4" w:space="0"/>
              <w:right w:val="single" w:color="auto" w:sz="4" w:space="0"/>
            </w:tcBorders>
            <w:shd w:val="clear" w:color="auto" w:fill="E2EFD9"/>
            <w:vAlign w:val="center"/>
          </w:tcPr>
          <w:p w14:paraId="708C69AB">
            <w:pPr>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(6)</w:t>
            </w:r>
          </w:p>
        </w:tc>
        <w:tc>
          <w:tcPr>
            <w:tcW w:w="1620" w:type="dxa"/>
            <w:tcBorders>
              <w:top w:val="nil"/>
              <w:left w:val="nil"/>
              <w:bottom w:val="single" w:color="auto" w:sz="4" w:space="0"/>
              <w:right w:val="single" w:color="auto" w:sz="4" w:space="0"/>
            </w:tcBorders>
            <w:shd w:val="clear" w:color="auto" w:fill="E2EFD9"/>
            <w:vAlign w:val="center"/>
          </w:tcPr>
          <w:p w14:paraId="708C69AC">
            <w:pPr>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(7)</w:t>
            </w:r>
          </w:p>
        </w:tc>
        <w:tc>
          <w:tcPr>
            <w:tcW w:w="2735" w:type="dxa"/>
            <w:tcBorders>
              <w:top w:val="single" w:color="auto" w:sz="4" w:space="0"/>
              <w:left w:val="nil"/>
              <w:bottom w:val="single" w:color="auto" w:sz="4" w:space="0"/>
              <w:right w:val="single" w:color="auto" w:sz="4" w:space="0"/>
            </w:tcBorders>
            <w:shd w:val="clear" w:color="auto" w:fill="E2EFD9"/>
            <w:vAlign w:val="center"/>
          </w:tcPr>
          <w:p w14:paraId="708C69AD">
            <w:pPr>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(8) = (3) x (7)</w:t>
            </w:r>
          </w:p>
        </w:tc>
      </w:tr>
      <w:tr w14:paraId="708C69B7">
        <w:tblPrEx>
          <w:tblCellMar>
            <w:top w:w="0" w:type="dxa"/>
            <w:left w:w="108" w:type="dxa"/>
            <w:bottom w:w="0" w:type="dxa"/>
            <w:right w:w="108" w:type="dxa"/>
          </w:tblCellMar>
        </w:tblPrEx>
        <w:trPr>
          <w:trHeight w:val="630" w:hRule="atLeast"/>
        </w:trPr>
        <w:tc>
          <w:tcPr>
            <w:tcW w:w="993" w:type="dxa"/>
            <w:tcBorders>
              <w:top w:val="nil"/>
              <w:left w:val="single" w:color="auto" w:sz="4" w:space="0"/>
              <w:bottom w:val="single" w:color="auto" w:sz="4" w:space="0"/>
              <w:right w:val="single" w:color="auto" w:sz="4" w:space="0"/>
            </w:tcBorders>
            <w:vAlign w:val="center"/>
          </w:tcPr>
          <w:p w14:paraId="708C69AF">
            <w:pPr>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w:t>
            </w:r>
          </w:p>
        </w:tc>
        <w:tc>
          <w:tcPr>
            <w:tcW w:w="2727" w:type="dxa"/>
            <w:tcBorders>
              <w:top w:val="nil"/>
              <w:left w:val="nil"/>
              <w:bottom w:val="single" w:color="auto" w:sz="4" w:space="0"/>
              <w:right w:val="single" w:color="auto" w:sz="4" w:space="0"/>
            </w:tcBorders>
            <w:vAlign w:val="center"/>
          </w:tcPr>
          <w:p w14:paraId="708C69B0">
            <w:pPr>
              <w:rPr>
                <w:i/>
                <w:iCs/>
                <w:color w:val="000000" w:themeColor="text1"/>
                <w:sz w:val="26"/>
                <w:szCs w:val="26"/>
                <w14:textFill>
                  <w14:solidFill>
                    <w14:schemeClr w14:val="tx1"/>
                  </w14:solidFill>
                </w14:textFill>
              </w:rPr>
            </w:pPr>
          </w:p>
        </w:tc>
        <w:tc>
          <w:tcPr>
            <w:tcW w:w="1735" w:type="dxa"/>
            <w:tcBorders>
              <w:top w:val="nil"/>
              <w:left w:val="nil"/>
              <w:bottom w:val="single" w:color="auto" w:sz="4" w:space="0"/>
              <w:right w:val="single" w:color="auto" w:sz="4" w:space="0"/>
            </w:tcBorders>
            <w:vAlign w:val="center"/>
          </w:tcPr>
          <w:p w14:paraId="708C69B1">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w:t>
            </w:r>
          </w:p>
        </w:tc>
        <w:tc>
          <w:tcPr>
            <w:tcW w:w="1418" w:type="dxa"/>
            <w:tcBorders>
              <w:top w:val="nil"/>
              <w:left w:val="nil"/>
              <w:bottom w:val="single" w:color="auto" w:sz="4" w:space="0"/>
              <w:right w:val="single" w:color="auto" w:sz="4" w:space="0"/>
            </w:tcBorders>
            <w:vAlign w:val="center"/>
          </w:tcPr>
          <w:p w14:paraId="708C69B2">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w:t>
            </w:r>
          </w:p>
        </w:tc>
        <w:tc>
          <w:tcPr>
            <w:tcW w:w="1953" w:type="dxa"/>
            <w:tcBorders>
              <w:top w:val="nil"/>
              <w:left w:val="nil"/>
              <w:bottom w:val="single" w:color="auto" w:sz="4" w:space="0"/>
              <w:right w:val="single" w:color="auto" w:sz="4" w:space="0"/>
            </w:tcBorders>
            <w:vAlign w:val="center"/>
          </w:tcPr>
          <w:p w14:paraId="708C69B3">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w:t>
            </w:r>
          </w:p>
        </w:tc>
        <w:tc>
          <w:tcPr>
            <w:tcW w:w="1874" w:type="dxa"/>
            <w:tcBorders>
              <w:top w:val="nil"/>
              <w:left w:val="nil"/>
              <w:bottom w:val="single" w:color="auto" w:sz="4" w:space="0"/>
              <w:right w:val="single" w:color="auto" w:sz="4" w:space="0"/>
            </w:tcBorders>
            <w:vAlign w:val="center"/>
          </w:tcPr>
          <w:p w14:paraId="708C69B4">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w:t>
            </w:r>
          </w:p>
        </w:tc>
        <w:tc>
          <w:tcPr>
            <w:tcW w:w="1620" w:type="dxa"/>
            <w:tcBorders>
              <w:top w:val="nil"/>
              <w:left w:val="nil"/>
              <w:bottom w:val="single" w:color="auto" w:sz="4" w:space="0"/>
              <w:right w:val="single" w:color="auto" w:sz="4" w:space="0"/>
            </w:tcBorders>
            <w:vAlign w:val="center"/>
          </w:tcPr>
          <w:p w14:paraId="708C69B5">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w:t>
            </w:r>
          </w:p>
        </w:tc>
        <w:tc>
          <w:tcPr>
            <w:tcW w:w="2735" w:type="dxa"/>
            <w:tcBorders>
              <w:top w:val="nil"/>
              <w:left w:val="nil"/>
              <w:bottom w:val="single" w:color="auto" w:sz="4" w:space="0"/>
              <w:right w:val="single" w:color="auto" w:sz="4" w:space="0"/>
            </w:tcBorders>
            <w:vAlign w:val="center"/>
          </w:tcPr>
          <w:p w14:paraId="708C69B6">
            <w:pPr>
              <w:jc w:val="center"/>
              <w:rPr>
                <w:i/>
                <w:iCs/>
                <w:color w:val="000000" w:themeColor="text1"/>
                <w:sz w:val="26"/>
                <w:szCs w:val="26"/>
                <w14:textFill>
                  <w14:solidFill>
                    <w14:schemeClr w14:val="tx1"/>
                  </w14:solidFill>
                </w14:textFill>
              </w:rPr>
            </w:pPr>
          </w:p>
        </w:tc>
      </w:tr>
      <w:tr w14:paraId="708C69C0">
        <w:tblPrEx>
          <w:tblCellMar>
            <w:top w:w="0" w:type="dxa"/>
            <w:left w:w="108" w:type="dxa"/>
            <w:bottom w:w="0" w:type="dxa"/>
            <w:right w:w="108" w:type="dxa"/>
          </w:tblCellMar>
        </w:tblPrEx>
        <w:trPr>
          <w:trHeight w:val="630" w:hRule="atLeast"/>
        </w:trPr>
        <w:tc>
          <w:tcPr>
            <w:tcW w:w="993" w:type="dxa"/>
            <w:tcBorders>
              <w:top w:val="nil"/>
              <w:left w:val="single" w:color="auto" w:sz="4" w:space="0"/>
              <w:bottom w:val="single" w:color="auto" w:sz="4" w:space="0"/>
              <w:right w:val="single" w:color="auto" w:sz="4" w:space="0"/>
            </w:tcBorders>
            <w:vAlign w:val="center"/>
          </w:tcPr>
          <w:p w14:paraId="708C69B8">
            <w:pPr>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w:t>
            </w:r>
          </w:p>
        </w:tc>
        <w:tc>
          <w:tcPr>
            <w:tcW w:w="2727" w:type="dxa"/>
            <w:tcBorders>
              <w:top w:val="nil"/>
              <w:left w:val="nil"/>
              <w:bottom w:val="single" w:color="auto" w:sz="4" w:space="0"/>
              <w:right w:val="single" w:color="auto" w:sz="4" w:space="0"/>
            </w:tcBorders>
            <w:vAlign w:val="center"/>
          </w:tcPr>
          <w:p w14:paraId="708C69B9">
            <w:pPr>
              <w:rPr>
                <w:i/>
                <w:iCs/>
                <w:color w:val="000000" w:themeColor="text1"/>
                <w:sz w:val="26"/>
                <w:szCs w:val="26"/>
                <w14:textFill>
                  <w14:solidFill>
                    <w14:schemeClr w14:val="tx1"/>
                  </w14:solidFill>
                </w14:textFill>
              </w:rPr>
            </w:pPr>
          </w:p>
        </w:tc>
        <w:tc>
          <w:tcPr>
            <w:tcW w:w="1735" w:type="dxa"/>
            <w:tcBorders>
              <w:top w:val="nil"/>
              <w:left w:val="nil"/>
              <w:bottom w:val="single" w:color="auto" w:sz="4" w:space="0"/>
              <w:right w:val="single" w:color="auto" w:sz="4" w:space="0"/>
            </w:tcBorders>
            <w:vAlign w:val="center"/>
          </w:tcPr>
          <w:p w14:paraId="708C69BA">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w:t>
            </w:r>
          </w:p>
        </w:tc>
        <w:tc>
          <w:tcPr>
            <w:tcW w:w="1418" w:type="dxa"/>
            <w:tcBorders>
              <w:top w:val="nil"/>
              <w:left w:val="nil"/>
              <w:bottom w:val="single" w:color="auto" w:sz="4" w:space="0"/>
              <w:right w:val="single" w:color="auto" w:sz="4" w:space="0"/>
            </w:tcBorders>
            <w:vAlign w:val="center"/>
          </w:tcPr>
          <w:p w14:paraId="708C69BB">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w:t>
            </w:r>
          </w:p>
        </w:tc>
        <w:tc>
          <w:tcPr>
            <w:tcW w:w="1953" w:type="dxa"/>
            <w:tcBorders>
              <w:top w:val="nil"/>
              <w:left w:val="nil"/>
              <w:bottom w:val="single" w:color="auto" w:sz="4" w:space="0"/>
              <w:right w:val="single" w:color="auto" w:sz="4" w:space="0"/>
            </w:tcBorders>
            <w:vAlign w:val="center"/>
          </w:tcPr>
          <w:p w14:paraId="708C69BC">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w:t>
            </w:r>
          </w:p>
        </w:tc>
        <w:tc>
          <w:tcPr>
            <w:tcW w:w="1874" w:type="dxa"/>
            <w:tcBorders>
              <w:top w:val="nil"/>
              <w:left w:val="nil"/>
              <w:bottom w:val="single" w:color="auto" w:sz="4" w:space="0"/>
              <w:right w:val="single" w:color="auto" w:sz="4" w:space="0"/>
            </w:tcBorders>
            <w:vAlign w:val="center"/>
          </w:tcPr>
          <w:p w14:paraId="708C69BD">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w:t>
            </w:r>
          </w:p>
        </w:tc>
        <w:tc>
          <w:tcPr>
            <w:tcW w:w="1620" w:type="dxa"/>
            <w:tcBorders>
              <w:top w:val="nil"/>
              <w:left w:val="nil"/>
              <w:bottom w:val="single" w:color="auto" w:sz="4" w:space="0"/>
              <w:right w:val="single" w:color="auto" w:sz="4" w:space="0"/>
            </w:tcBorders>
            <w:vAlign w:val="center"/>
          </w:tcPr>
          <w:p w14:paraId="708C69BE">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w:t>
            </w:r>
          </w:p>
        </w:tc>
        <w:tc>
          <w:tcPr>
            <w:tcW w:w="2735" w:type="dxa"/>
            <w:tcBorders>
              <w:top w:val="nil"/>
              <w:left w:val="nil"/>
              <w:bottom w:val="single" w:color="auto" w:sz="4" w:space="0"/>
              <w:right w:val="single" w:color="auto" w:sz="4" w:space="0"/>
            </w:tcBorders>
            <w:vAlign w:val="center"/>
          </w:tcPr>
          <w:p w14:paraId="708C69BF">
            <w:pPr>
              <w:jc w:val="center"/>
              <w:rPr>
                <w:i/>
                <w:iCs/>
                <w:color w:val="000000" w:themeColor="text1"/>
                <w:sz w:val="26"/>
                <w:szCs w:val="26"/>
                <w14:textFill>
                  <w14:solidFill>
                    <w14:schemeClr w14:val="tx1"/>
                  </w14:solidFill>
                </w14:textFill>
              </w:rPr>
            </w:pPr>
          </w:p>
        </w:tc>
      </w:tr>
      <w:tr w14:paraId="708C69C9">
        <w:tblPrEx>
          <w:tblCellMar>
            <w:top w:w="0" w:type="dxa"/>
            <w:left w:w="108" w:type="dxa"/>
            <w:bottom w:w="0" w:type="dxa"/>
            <w:right w:w="108" w:type="dxa"/>
          </w:tblCellMar>
        </w:tblPrEx>
        <w:trPr>
          <w:trHeight w:val="315" w:hRule="atLeast"/>
        </w:trPr>
        <w:tc>
          <w:tcPr>
            <w:tcW w:w="993" w:type="dxa"/>
            <w:tcBorders>
              <w:top w:val="nil"/>
              <w:left w:val="single" w:color="auto" w:sz="4" w:space="0"/>
              <w:bottom w:val="single" w:color="auto" w:sz="4" w:space="0"/>
              <w:right w:val="single" w:color="auto" w:sz="4" w:space="0"/>
            </w:tcBorders>
            <w:vAlign w:val="center"/>
          </w:tcPr>
          <w:p w14:paraId="708C69C1">
            <w:pPr>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t>
            </w:r>
          </w:p>
        </w:tc>
        <w:tc>
          <w:tcPr>
            <w:tcW w:w="2727" w:type="dxa"/>
            <w:tcBorders>
              <w:top w:val="nil"/>
              <w:left w:val="nil"/>
              <w:bottom w:val="single" w:color="auto" w:sz="4" w:space="0"/>
              <w:right w:val="single" w:color="auto" w:sz="4" w:space="0"/>
            </w:tcBorders>
            <w:vAlign w:val="center"/>
          </w:tcPr>
          <w:p w14:paraId="708C69C2">
            <w:pPr>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 </w:t>
            </w:r>
          </w:p>
        </w:tc>
        <w:tc>
          <w:tcPr>
            <w:tcW w:w="1735" w:type="dxa"/>
            <w:tcBorders>
              <w:top w:val="nil"/>
              <w:left w:val="nil"/>
              <w:bottom w:val="single" w:color="auto" w:sz="4" w:space="0"/>
              <w:right w:val="single" w:color="auto" w:sz="4" w:space="0"/>
            </w:tcBorders>
            <w:vAlign w:val="center"/>
          </w:tcPr>
          <w:p w14:paraId="708C69C3">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w:t>
            </w:r>
          </w:p>
        </w:tc>
        <w:tc>
          <w:tcPr>
            <w:tcW w:w="1418" w:type="dxa"/>
            <w:tcBorders>
              <w:top w:val="nil"/>
              <w:left w:val="nil"/>
              <w:bottom w:val="single" w:color="auto" w:sz="4" w:space="0"/>
              <w:right w:val="single" w:color="auto" w:sz="4" w:space="0"/>
            </w:tcBorders>
            <w:vAlign w:val="center"/>
          </w:tcPr>
          <w:p w14:paraId="708C69C4">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w:t>
            </w:r>
          </w:p>
        </w:tc>
        <w:tc>
          <w:tcPr>
            <w:tcW w:w="1953" w:type="dxa"/>
            <w:tcBorders>
              <w:top w:val="nil"/>
              <w:left w:val="nil"/>
              <w:bottom w:val="single" w:color="auto" w:sz="4" w:space="0"/>
              <w:right w:val="single" w:color="auto" w:sz="4" w:space="0"/>
            </w:tcBorders>
            <w:vAlign w:val="center"/>
          </w:tcPr>
          <w:p w14:paraId="708C69C5">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w:t>
            </w:r>
          </w:p>
        </w:tc>
        <w:tc>
          <w:tcPr>
            <w:tcW w:w="1874" w:type="dxa"/>
            <w:tcBorders>
              <w:top w:val="nil"/>
              <w:left w:val="nil"/>
              <w:bottom w:val="single" w:color="auto" w:sz="4" w:space="0"/>
              <w:right w:val="single" w:color="auto" w:sz="4" w:space="0"/>
            </w:tcBorders>
            <w:vAlign w:val="center"/>
          </w:tcPr>
          <w:p w14:paraId="708C69C6">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w:t>
            </w:r>
          </w:p>
        </w:tc>
        <w:tc>
          <w:tcPr>
            <w:tcW w:w="1620" w:type="dxa"/>
            <w:tcBorders>
              <w:top w:val="nil"/>
              <w:left w:val="nil"/>
              <w:bottom w:val="single" w:color="auto" w:sz="4" w:space="0"/>
              <w:right w:val="single" w:color="auto" w:sz="4" w:space="0"/>
            </w:tcBorders>
            <w:vAlign w:val="center"/>
          </w:tcPr>
          <w:p w14:paraId="708C69C7">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w:t>
            </w:r>
          </w:p>
        </w:tc>
        <w:tc>
          <w:tcPr>
            <w:tcW w:w="2735" w:type="dxa"/>
            <w:tcBorders>
              <w:top w:val="nil"/>
              <w:left w:val="nil"/>
              <w:bottom w:val="single" w:color="auto" w:sz="4" w:space="0"/>
              <w:right w:val="single" w:color="auto" w:sz="4" w:space="0"/>
            </w:tcBorders>
            <w:vAlign w:val="center"/>
          </w:tcPr>
          <w:p w14:paraId="708C69C8">
            <w:pPr>
              <w:jc w:val="center"/>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 </w:t>
            </w:r>
          </w:p>
        </w:tc>
      </w:tr>
      <w:tr w14:paraId="708C69CD">
        <w:tblPrEx>
          <w:tblCellMar>
            <w:top w:w="0" w:type="dxa"/>
            <w:left w:w="108" w:type="dxa"/>
            <w:bottom w:w="0" w:type="dxa"/>
            <w:right w:w="108" w:type="dxa"/>
          </w:tblCellMar>
        </w:tblPrEx>
        <w:trPr>
          <w:trHeight w:val="750" w:hRule="atLeast"/>
        </w:trPr>
        <w:tc>
          <w:tcPr>
            <w:tcW w:w="12320" w:type="dxa"/>
            <w:gridSpan w:val="7"/>
            <w:tcBorders>
              <w:top w:val="single" w:color="auto" w:sz="4" w:space="0"/>
              <w:left w:val="single" w:color="auto" w:sz="4" w:space="0"/>
              <w:bottom w:val="single" w:color="auto" w:sz="4" w:space="0"/>
              <w:right w:val="single" w:color="auto" w:sz="4" w:space="0"/>
            </w:tcBorders>
            <w:vAlign w:val="center"/>
          </w:tcPr>
          <w:p w14:paraId="708C69CA">
            <w:pPr>
              <w:shd w:val="clear" w:color="auto" w:fill="FFFFFF"/>
              <w:suppressAutoHyphens/>
              <w:spacing w:before="60" w:after="60" w:line="240" w:lineRule="auto"/>
              <w:jc w:val="center"/>
              <w:rPr>
                <w:b/>
                <w:iCs/>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Total price for related services including </w:t>
            </w:r>
            <w:r>
              <w:rPr>
                <w:b/>
                <w:iCs/>
                <w:color w:val="000000" w:themeColor="text1"/>
                <w:sz w:val="26"/>
                <w:szCs w:val="26"/>
                <w14:textFill>
                  <w14:solidFill>
                    <w14:schemeClr w14:val="tx1"/>
                  </w14:solidFill>
                </w14:textFill>
              </w:rPr>
              <w:t>taxes, fees, duties (if any)</w:t>
            </w:r>
          </w:p>
          <w:p w14:paraId="708C69CB">
            <w:pPr>
              <w:jc w:val="center"/>
              <w:rPr>
                <w:b/>
                <w:bCs/>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(transferred to Letter of Bid)</w:t>
            </w:r>
          </w:p>
        </w:tc>
        <w:tc>
          <w:tcPr>
            <w:tcW w:w="2735" w:type="dxa"/>
            <w:tcBorders>
              <w:top w:val="nil"/>
              <w:left w:val="nil"/>
              <w:bottom w:val="single" w:color="auto" w:sz="4" w:space="0"/>
              <w:right w:val="single" w:color="auto" w:sz="4" w:space="0"/>
            </w:tcBorders>
            <w:vAlign w:val="center"/>
          </w:tcPr>
          <w:p w14:paraId="708C69CC">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(I)</w:t>
            </w:r>
          </w:p>
        </w:tc>
      </w:tr>
    </w:tbl>
    <w:p w14:paraId="708C69CE">
      <w:pPr>
        <w:pStyle w:val="15"/>
        <w:widowControl w:val="0"/>
        <w:shd w:val="clear" w:color="auto" w:fill="FFFFFF"/>
        <w:spacing w:before="120" w:line="264" w:lineRule="auto"/>
        <w:ind w:firstLine="567"/>
        <w:jc w:val="right"/>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Legal representative of the Bidder</w:t>
      </w:r>
    </w:p>
    <w:p w14:paraId="708C69CF">
      <w:pPr>
        <w:pStyle w:val="4"/>
        <w:widowControl w:val="0"/>
        <w:shd w:val="clear" w:color="auto" w:fill="FFFFFF"/>
        <w:spacing w:before="120" w:after="120" w:line="264" w:lineRule="auto"/>
        <w:ind w:firstLine="567"/>
        <w:jc w:val="right"/>
        <w:rPr>
          <w:rFonts w:ascii="Times New Roman" w:hAnsi="Times New Roman"/>
          <w:i/>
          <w:color w:val="000000" w:themeColor="text1"/>
          <w14:textFill>
            <w14:solidFill>
              <w14:schemeClr w14:val="tx1"/>
            </w14:solidFill>
          </w14:textFill>
        </w:rPr>
      </w:pPr>
      <w:r>
        <w:rPr>
          <w:rFonts w:ascii="Times New Roman" w:hAnsi="Times New Roman"/>
          <w:i/>
          <w:color w:val="000000" w:themeColor="text1"/>
          <w14:textFill>
            <w14:solidFill>
              <w14:schemeClr w14:val="tx1"/>
            </w14:solidFill>
          </w14:textFill>
        </w:rPr>
        <w:t>(Full name, position, signature and seal)</w:t>
      </w:r>
    </w:p>
    <w:p w14:paraId="708C69D0">
      <w:pPr>
        <w:pStyle w:val="347"/>
        <w:widowControl w:val="0"/>
        <w:shd w:val="clear" w:color="auto" w:fill="FFFFFF"/>
        <w:spacing w:after="120" w:line="264" w:lineRule="auto"/>
        <w:jc w:val="left"/>
        <w:outlineLvl w:val="2"/>
        <w:rPr>
          <w:b w:val="0"/>
          <w:bCs/>
          <w:color w:val="000000" w:themeColor="text1"/>
          <w:sz w:val="26"/>
          <w:szCs w:val="26"/>
          <w14:textFill>
            <w14:solidFill>
              <w14:schemeClr w14:val="tx1"/>
            </w14:solidFill>
          </w14:textFill>
        </w:rPr>
      </w:pPr>
      <w:r>
        <w:rPr>
          <w:b w:val="0"/>
          <w:bCs/>
          <w:color w:val="000000" w:themeColor="text1"/>
          <w:sz w:val="26"/>
          <w:szCs w:val="26"/>
          <w14:textFill>
            <w14:solidFill>
              <w14:schemeClr w14:val="tx1"/>
            </w14:solidFill>
          </w14:textFill>
        </w:rPr>
        <w:t>Note:</w:t>
      </w:r>
    </w:p>
    <w:p w14:paraId="708C69D1">
      <w:pPr>
        <w:pStyle w:val="347"/>
        <w:widowControl w:val="0"/>
        <w:numPr>
          <w:ilvl w:val="0"/>
          <w:numId w:val="58"/>
        </w:numPr>
        <w:shd w:val="clear" w:color="auto" w:fill="FFFFFF"/>
        <w:spacing w:after="120" w:line="264" w:lineRule="auto"/>
        <w:jc w:val="left"/>
        <w:outlineLvl w:val="2"/>
        <w:rPr>
          <w:b w:val="0"/>
          <w:bCs/>
          <w:color w:val="000000" w:themeColor="text1"/>
          <w:sz w:val="26"/>
          <w:szCs w:val="26"/>
          <w14:textFill>
            <w14:solidFill>
              <w14:schemeClr w14:val="tx1"/>
            </w14:solidFill>
          </w14:textFill>
        </w:rPr>
      </w:pPr>
      <w:r>
        <w:rPr>
          <w:b w:val="0"/>
          <w:bCs/>
          <w:color w:val="000000" w:themeColor="text1"/>
          <w:sz w:val="26"/>
          <w:szCs w:val="26"/>
          <w14:textFill>
            <w14:solidFill>
              <w14:schemeClr w14:val="tx1"/>
            </w14:solidFill>
          </w14:textFill>
        </w:rPr>
        <w:t>including all taxes, fees, charges</w:t>
      </w:r>
    </w:p>
    <w:p w14:paraId="708C69D2">
      <w:pPr>
        <w:pStyle w:val="347"/>
        <w:widowControl w:val="0"/>
        <w:shd w:val="clear" w:color="auto" w:fill="FFFFFF"/>
        <w:spacing w:after="120" w:line="264" w:lineRule="auto"/>
        <w:ind w:left="2907"/>
        <w:jc w:val="left"/>
        <w:outlineLvl w:val="2"/>
        <w:rPr>
          <w:b w:val="0"/>
          <w:bCs/>
          <w:color w:val="000000" w:themeColor="text1"/>
          <w:sz w:val="26"/>
          <w:szCs w:val="26"/>
          <w14:textFill>
            <w14:solidFill>
              <w14:schemeClr w14:val="tx1"/>
            </w14:solidFill>
          </w14:textFill>
        </w:rPr>
      </w:pPr>
    </w:p>
    <w:p w14:paraId="708C69D3">
      <w:pPr>
        <w:pStyle w:val="347"/>
        <w:widowControl w:val="0"/>
        <w:shd w:val="clear" w:color="auto" w:fill="FFFFFF"/>
        <w:spacing w:after="120" w:line="264" w:lineRule="auto"/>
        <w:jc w:val="left"/>
        <w:outlineLvl w:val="2"/>
        <w:rPr>
          <w:color w:val="000000" w:themeColor="text1"/>
          <w:sz w:val="26"/>
          <w:szCs w:val="26"/>
          <w14:textFill>
            <w14:solidFill>
              <w14:schemeClr w14:val="tx1"/>
            </w14:solidFill>
          </w14:textFill>
        </w:rPr>
      </w:pPr>
    </w:p>
    <w:p w14:paraId="708C69D4">
      <w:pPr>
        <w:pStyle w:val="347"/>
        <w:widowControl w:val="0"/>
        <w:shd w:val="clear" w:color="auto" w:fill="FFFFFF"/>
        <w:spacing w:after="120" w:line="264" w:lineRule="auto"/>
        <w:jc w:val="left"/>
        <w:outlineLvl w:val="2"/>
        <w:rPr>
          <w:color w:val="000000" w:themeColor="text1"/>
          <w:sz w:val="26"/>
          <w:szCs w:val="26"/>
          <w14:textFill>
            <w14:solidFill>
              <w14:schemeClr w14:val="tx1"/>
            </w14:solidFill>
          </w14:textFill>
        </w:rPr>
      </w:pPr>
    </w:p>
    <w:p w14:paraId="708C69D5">
      <w:pPr>
        <w:pStyle w:val="347"/>
        <w:widowControl w:val="0"/>
        <w:shd w:val="clear" w:color="auto" w:fill="FFFFFF"/>
        <w:spacing w:after="120" w:line="264" w:lineRule="auto"/>
        <w:jc w:val="left"/>
        <w:outlineLvl w:val="2"/>
        <w:rPr>
          <w:color w:val="000000" w:themeColor="text1"/>
          <w:sz w:val="26"/>
          <w:szCs w:val="26"/>
          <w14:textFill>
            <w14:solidFill>
              <w14:schemeClr w14:val="tx1"/>
            </w14:solidFill>
          </w14:textFill>
        </w:rPr>
      </w:pPr>
    </w:p>
    <w:p w14:paraId="708C69D6">
      <w:pPr>
        <w:rPr>
          <w:color w:val="000000" w:themeColor="text1"/>
          <w14:textFill>
            <w14:solidFill>
              <w14:schemeClr w14:val="tx1"/>
            </w14:solidFill>
          </w14:textFill>
        </w:rPr>
      </w:pPr>
    </w:p>
    <w:p w14:paraId="708C69D7">
      <w:pPr>
        <w:pStyle w:val="347"/>
        <w:widowControl w:val="0"/>
        <w:shd w:val="clear" w:color="auto" w:fill="FFFFFF"/>
        <w:spacing w:after="120" w:line="264" w:lineRule="auto"/>
        <w:ind w:firstLine="567"/>
        <w:jc w:val="right"/>
        <w:outlineLvl w:val="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Form 6</w:t>
      </w:r>
    </w:p>
    <w:p w14:paraId="708C69D8">
      <w:pPr>
        <w:pStyle w:val="243"/>
        <w:shd w:val="clear" w:color="auto" w:fill="FFFFFF"/>
        <w:spacing w:before="120" w:after="120" w:line="264" w:lineRule="auto"/>
        <w:ind w:firstLine="567"/>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DELIVERY SCHEDULE</w:t>
      </w:r>
    </w:p>
    <w:p w14:paraId="708C69D9">
      <w:pPr>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Bidder proposes a delivery schedule in accordance with the delivery schedule requirements specified in Section V – Scope of Supply</w:t>
      </w:r>
    </w:p>
    <w:tbl>
      <w:tblPr>
        <w:tblStyle w:val="12"/>
        <w:tblpPr w:leftFromText="180" w:rightFromText="180" w:vertAnchor="page" w:horzAnchor="margin" w:tblpY="3112"/>
        <w:tblW w:w="144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701"/>
        <w:gridCol w:w="1418"/>
        <w:gridCol w:w="1559"/>
        <w:gridCol w:w="1843"/>
        <w:gridCol w:w="7371"/>
      </w:tblGrid>
      <w:tr w14:paraId="708C6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562" w:type="dxa"/>
            <w:vAlign w:val="center"/>
          </w:tcPr>
          <w:p w14:paraId="708C69DA">
            <w:pPr>
              <w:jc w:val="center"/>
              <w:rPr>
                <w:rFonts w:eastAsia="Times New Roman"/>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No.</w:t>
            </w:r>
          </w:p>
        </w:tc>
        <w:tc>
          <w:tcPr>
            <w:tcW w:w="1701" w:type="dxa"/>
            <w:vAlign w:val="center"/>
          </w:tcPr>
          <w:p w14:paraId="708C69DB">
            <w:pPr>
              <w:jc w:val="center"/>
              <w:rPr>
                <w:rFonts w:eastAsia="Times New Roman"/>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List of Goods</w:t>
            </w:r>
          </w:p>
        </w:tc>
        <w:tc>
          <w:tcPr>
            <w:tcW w:w="1418" w:type="dxa"/>
            <w:vAlign w:val="center"/>
          </w:tcPr>
          <w:p w14:paraId="708C69DC">
            <w:pPr>
              <w:suppressAutoHyphens/>
              <w:jc w:val="center"/>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Unit</w:t>
            </w:r>
          </w:p>
        </w:tc>
        <w:tc>
          <w:tcPr>
            <w:tcW w:w="1559" w:type="dxa"/>
            <w:vAlign w:val="center"/>
          </w:tcPr>
          <w:p w14:paraId="708C69DD">
            <w:pPr>
              <w:suppressAutoHyphens/>
              <w:jc w:val="center"/>
              <w:rPr>
                <w:rFonts w:eastAsia="Times New Roman"/>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Qualities</w:t>
            </w:r>
          </w:p>
        </w:tc>
        <w:tc>
          <w:tcPr>
            <w:tcW w:w="1843" w:type="dxa"/>
            <w:vAlign w:val="center"/>
          </w:tcPr>
          <w:p w14:paraId="708C69DE">
            <w:pPr>
              <w:jc w:val="center"/>
              <w:rPr>
                <w:rFonts w:eastAsia="Times New Roman"/>
                <w:b/>
                <w:color w:val="000000" w:themeColor="text1"/>
                <w:sz w:val="24"/>
                <w:szCs w:val="24"/>
                <w14:textFill>
                  <w14:solidFill>
                    <w14:schemeClr w14:val="tx1"/>
                  </w14:solidFill>
                </w14:textFill>
              </w:rPr>
            </w:pPr>
            <w:r>
              <w:rPr>
                <w:rFonts w:eastAsia="Times New Roman"/>
                <w:b/>
                <w:color w:val="000000" w:themeColor="text1"/>
                <w:sz w:val="24"/>
                <w:szCs w:val="24"/>
                <w14:textFill>
                  <w14:solidFill>
                    <w14:schemeClr w14:val="tx1"/>
                  </w14:solidFill>
                </w14:textFill>
              </w:rPr>
              <w:t>Place</w:t>
            </w:r>
          </w:p>
        </w:tc>
        <w:tc>
          <w:tcPr>
            <w:tcW w:w="7371" w:type="dxa"/>
            <w:vAlign w:val="center"/>
          </w:tcPr>
          <w:p w14:paraId="708C69DF">
            <w:pPr>
              <w:jc w:val="center"/>
              <w:rPr>
                <w:rFonts w:eastAsia="Times New Roman"/>
                <w:b/>
                <w:bCs/>
                <w:color w:val="000000" w:themeColor="text1"/>
                <w:sz w:val="24"/>
                <w:szCs w:val="24"/>
                <w14:textFill>
                  <w14:solidFill>
                    <w14:schemeClr w14:val="tx1"/>
                  </w14:solidFill>
                </w14:textFill>
              </w:rPr>
            </w:pPr>
            <w:r>
              <w:rPr>
                <w:rFonts w:eastAsia="Times New Roman"/>
                <w:b/>
                <w:bCs/>
                <w:color w:val="000000" w:themeColor="text1"/>
                <w:sz w:val="24"/>
                <w:szCs w:val="24"/>
                <w14:textFill>
                  <w14:solidFill>
                    <w14:schemeClr w14:val="tx1"/>
                  </w14:solidFill>
                </w14:textFill>
              </w:rPr>
              <w:t>Delivery date proposed by the bidder</w:t>
            </w:r>
          </w:p>
          <w:p w14:paraId="708C69E0">
            <w:pPr>
              <w:jc w:val="center"/>
              <w:rPr>
                <w:rFonts w:eastAsia="Times New Roman"/>
                <w:bCs/>
                <w:i/>
                <w:color w:val="000000" w:themeColor="text1"/>
                <w:sz w:val="24"/>
                <w:szCs w:val="24"/>
                <w14:textFill>
                  <w14:solidFill>
                    <w14:schemeClr w14:val="tx1"/>
                  </w14:solidFill>
                </w14:textFill>
              </w:rPr>
            </w:pPr>
            <w:r>
              <w:rPr>
                <w:rFonts w:eastAsia="Times New Roman"/>
                <w:bCs/>
                <w:i/>
                <w:color w:val="000000" w:themeColor="text1"/>
                <w:sz w:val="24"/>
                <w:szCs w:val="24"/>
                <w14:textFill>
                  <w14:solidFill>
                    <w14:schemeClr w14:val="tx1"/>
                  </w14:solidFill>
                </w14:textFill>
              </w:rPr>
              <w:t>[insert number of days from the effective date of the contract]</w:t>
            </w:r>
          </w:p>
        </w:tc>
      </w:tr>
      <w:tr w14:paraId="708C6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trPr>
        <w:tc>
          <w:tcPr>
            <w:tcW w:w="562" w:type="dxa"/>
            <w:vAlign w:val="center"/>
          </w:tcPr>
          <w:p w14:paraId="708C69E2">
            <w:pPr>
              <w:jc w:val="center"/>
              <w:rPr>
                <w:rFonts w:eastAsia="Times New Roman"/>
                <w:color w:val="000000" w:themeColor="text1"/>
                <w:sz w:val="24"/>
                <w:szCs w:val="24"/>
                <w14:textFill>
                  <w14:solidFill>
                    <w14:schemeClr w14:val="tx1"/>
                  </w14:solidFill>
                </w14:textFill>
              </w:rPr>
            </w:pPr>
            <w:r>
              <w:rPr>
                <w:rFonts w:eastAsia="Times New Roman"/>
                <w:color w:val="000000" w:themeColor="text1"/>
                <w:sz w:val="24"/>
                <w:szCs w:val="24"/>
                <w14:textFill>
                  <w14:solidFill>
                    <w14:schemeClr w14:val="tx1"/>
                  </w14:solidFill>
                </w14:textFill>
              </w:rPr>
              <w:t>1</w:t>
            </w:r>
          </w:p>
        </w:tc>
        <w:tc>
          <w:tcPr>
            <w:tcW w:w="1701" w:type="dxa"/>
            <w:vAlign w:val="center"/>
          </w:tcPr>
          <w:p w14:paraId="708C69E3">
            <w:pPr>
              <w:rPr>
                <w:rFonts w:eastAsia="Times New Roman"/>
                <w:color w:val="000000" w:themeColor="text1"/>
                <w:sz w:val="24"/>
                <w:szCs w:val="24"/>
                <w14:textFill>
                  <w14:solidFill>
                    <w14:schemeClr w14:val="tx1"/>
                  </w14:solidFill>
                </w14:textFill>
              </w:rPr>
            </w:pPr>
          </w:p>
        </w:tc>
        <w:tc>
          <w:tcPr>
            <w:tcW w:w="1418" w:type="dxa"/>
            <w:vAlign w:val="center"/>
          </w:tcPr>
          <w:p w14:paraId="708C69E4">
            <w:pPr>
              <w:rPr>
                <w:rFonts w:eastAsia="Times New Roman"/>
                <w:color w:val="000000" w:themeColor="text1"/>
                <w:sz w:val="24"/>
                <w:szCs w:val="24"/>
                <w14:textFill>
                  <w14:solidFill>
                    <w14:schemeClr w14:val="tx1"/>
                  </w14:solidFill>
                </w14:textFill>
              </w:rPr>
            </w:pPr>
          </w:p>
        </w:tc>
        <w:tc>
          <w:tcPr>
            <w:tcW w:w="1559" w:type="dxa"/>
            <w:vAlign w:val="center"/>
          </w:tcPr>
          <w:p w14:paraId="708C69E5">
            <w:pPr>
              <w:rPr>
                <w:rFonts w:eastAsia="Times New Roman"/>
                <w:color w:val="000000" w:themeColor="text1"/>
                <w:sz w:val="24"/>
                <w:szCs w:val="24"/>
                <w14:textFill>
                  <w14:solidFill>
                    <w14:schemeClr w14:val="tx1"/>
                  </w14:solidFill>
                </w14:textFill>
              </w:rPr>
            </w:pPr>
          </w:p>
        </w:tc>
        <w:tc>
          <w:tcPr>
            <w:tcW w:w="1843" w:type="dxa"/>
            <w:vAlign w:val="center"/>
          </w:tcPr>
          <w:p w14:paraId="708C69E6">
            <w:pPr>
              <w:rPr>
                <w:rFonts w:eastAsia="Times New Roman"/>
                <w:color w:val="000000" w:themeColor="text1"/>
                <w:sz w:val="24"/>
                <w:szCs w:val="24"/>
                <w14:textFill>
                  <w14:solidFill>
                    <w14:schemeClr w14:val="tx1"/>
                  </w14:solidFill>
                </w14:textFill>
              </w:rPr>
            </w:pPr>
          </w:p>
        </w:tc>
        <w:tc>
          <w:tcPr>
            <w:tcW w:w="7371" w:type="dxa"/>
            <w:vAlign w:val="center"/>
          </w:tcPr>
          <w:p w14:paraId="708C69E7">
            <w:pPr>
              <w:rPr>
                <w:rFonts w:eastAsia="Times New Roman"/>
                <w:color w:val="000000" w:themeColor="text1"/>
                <w:sz w:val="24"/>
                <w:szCs w:val="24"/>
                <w14:textFill>
                  <w14:solidFill>
                    <w14:schemeClr w14:val="tx1"/>
                  </w14:solidFill>
                </w14:textFill>
              </w:rPr>
            </w:pPr>
          </w:p>
        </w:tc>
      </w:tr>
      <w:tr w14:paraId="708C6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trPr>
        <w:tc>
          <w:tcPr>
            <w:tcW w:w="562" w:type="dxa"/>
            <w:vAlign w:val="center"/>
          </w:tcPr>
          <w:p w14:paraId="708C69E9">
            <w:pPr>
              <w:jc w:val="center"/>
              <w:rPr>
                <w:rFonts w:eastAsia="Times New Roman"/>
                <w:color w:val="000000" w:themeColor="text1"/>
                <w:sz w:val="24"/>
                <w:szCs w:val="24"/>
                <w14:textFill>
                  <w14:solidFill>
                    <w14:schemeClr w14:val="tx1"/>
                  </w14:solidFill>
                </w14:textFill>
              </w:rPr>
            </w:pPr>
            <w:r>
              <w:rPr>
                <w:rFonts w:eastAsia="Times New Roman"/>
                <w:color w:val="000000" w:themeColor="text1"/>
                <w:sz w:val="24"/>
                <w:szCs w:val="24"/>
                <w14:textFill>
                  <w14:solidFill>
                    <w14:schemeClr w14:val="tx1"/>
                  </w14:solidFill>
                </w14:textFill>
              </w:rPr>
              <w:t>2</w:t>
            </w:r>
          </w:p>
        </w:tc>
        <w:tc>
          <w:tcPr>
            <w:tcW w:w="1701" w:type="dxa"/>
            <w:vAlign w:val="center"/>
          </w:tcPr>
          <w:p w14:paraId="708C69EA">
            <w:pPr>
              <w:rPr>
                <w:rFonts w:eastAsia="Times New Roman"/>
                <w:color w:val="000000" w:themeColor="text1"/>
                <w:sz w:val="24"/>
                <w:szCs w:val="24"/>
                <w14:textFill>
                  <w14:solidFill>
                    <w14:schemeClr w14:val="tx1"/>
                  </w14:solidFill>
                </w14:textFill>
              </w:rPr>
            </w:pPr>
          </w:p>
        </w:tc>
        <w:tc>
          <w:tcPr>
            <w:tcW w:w="1418" w:type="dxa"/>
            <w:vAlign w:val="center"/>
          </w:tcPr>
          <w:p w14:paraId="708C69EB">
            <w:pPr>
              <w:rPr>
                <w:rFonts w:eastAsia="Times New Roman"/>
                <w:color w:val="000000" w:themeColor="text1"/>
                <w:sz w:val="24"/>
                <w:szCs w:val="24"/>
                <w14:textFill>
                  <w14:solidFill>
                    <w14:schemeClr w14:val="tx1"/>
                  </w14:solidFill>
                </w14:textFill>
              </w:rPr>
            </w:pPr>
          </w:p>
        </w:tc>
        <w:tc>
          <w:tcPr>
            <w:tcW w:w="1559" w:type="dxa"/>
            <w:vAlign w:val="center"/>
          </w:tcPr>
          <w:p w14:paraId="708C69EC">
            <w:pPr>
              <w:rPr>
                <w:rFonts w:eastAsia="Times New Roman"/>
                <w:color w:val="000000" w:themeColor="text1"/>
                <w:sz w:val="24"/>
                <w:szCs w:val="24"/>
                <w14:textFill>
                  <w14:solidFill>
                    <w14:schemeClr w14:val="tx1"/>
                  </w14:solidFill>
                </w14:textFill>
              </w:rPr>
            </w:pPr>
          </w:p>
        </w:tc>
        <w:tc>
          <w:tcPr>
            <w:tcW w:w="1843" w:type="dxa"/>
            <w:vAlign w:val="center"/>
          </w:tcPr>
          <w:p w14:paraId="708C69ED">
            <w:pPr>
              <w:rPr>
                <w:rFonts w:eastAsia="Times New Roman"/>
                <w:color w:val="000000" w:themeColor="text1"/>
                <w:sz w:val="24"/>
                <w:szCs w:val="24"/>
                <w14:textFill>
                  <w14:solidFill>
                    <w14:schemeClr w14:val="tx1"/>
                  </w14:solidFill>
                </w14:textFill>
              </w:rPr>
            </w:pPr>
          </w:p>
        </w:tc>
        <w:tc>
          <w:tcPr>
            <w:tcW w:w="7371" w:type="dxa"/>
            <w:vAlign w:val="center"/>
          </w:tcPr>
          <w:p w14:paraId="708C69EE">
            <w:pPr>
              <w:rPr>
                <w:rFonts w:eastAsia="Times New Roman"/>
                <w:color w:val="000000" w:themeColor="text1"/>
                <w:sz w:val="24"/>
                <w:szCs w:val="24"/>
                <w14:textFill>
                  <w14:solidFill>
                    <w14:schemeClr w14:val="tx1"/>
                  </w14:solidFill>
                </w14:textFill>
              </w:rPr>
            </w:pPr>
          </w:p>
        </w:tc>
      </w:tr>
      <w:tr w14:paraId="708C6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trPr>
        <w:tc>
          <w:tcPr>
            <w:tcW w:w="562" w:type="dxa"/>
            <w:vAlign w:val="center"/>
          </w:tcPr>
          <w:p w14:paraId="708C69F0">
            <w:pPr>
              <w:jc w:val="center"/>
              <w:rPr>
                <w:rFonts w:eastAsia="Times New Roman"/>
                <w:color w:val="000000" w:themeColor="text1"/>
                <w:sz w:val="24"/>
                <w:szCs w:val="24"/>
                <w14:textFill>
                  <w14:solidFill>
                    <w14:schemeClr w14:val="tx1"/>
                  </w14:solidFill>
                </w14:textFill>
              </w:rPr>
            </w:pPr>
            <w:r>
              <w:rPr>
                <w:rFonts w:eastAsia="Times New Roman"/>
                <w:color w:val="000000" w:themeColor="text1"/>
                <w:sz w:val="24"/>
                <w:szCs w:val="24"/>
                <w14:textFill>
                  <w14:solidFill>
                    <w14:schemeClr w14:val="tx1"/>
                  </w14:solidFill>
                </w14:textFill>
              </w:rPr>
              <w:t>…</w:t>
            </w:r>
          </w:p>
        </w:tc>
        <w:tc>
          <w:tcPr>
            <w:tcW w:w="1701" w:type="dxa"/>
            <w:vAlign w:val="center"/>
          </w:tcPr>
          <w:p w14:paraId="708C69F1">
            <w:pPr>
              <w:rPr>
                <w:rFonts w:eastAsia="Times New Roman"/>
                <w:color w:val="000000" w:themeColor="text1"/>
                <w:sz w:val="24"/>
                <w:szCs w:val="24"/>
                <w14:textFill>
                  <w14:solidFill>
                    <w14:schemeClr w14:val="tx1"/>
                  </w14:solidFill>
                </w14:textFill>
              </w:rPr>
            </w:pPr>
          </w:p>
        </w:tc>
        <w:tc>
          <w:tcPr>
            <w:tcW w:w="1418" w:type="dxa"/>
            <w:vAlign w:val="center"/>
          </w:tcPr>
          <w:p w14:paraId="708C69F2">
            <w:pPr>
              <w:rPr>
                <w:rFonts w:eastAsia="Times New Roman"/>
                <w:color w:val="000000" w:themeColor="text1"/>
                <w:sz w:val="24"/>
                <w:szCs w:val="24"/>
                <w14:textFill>
                  <w14:solidFill>
                    <w14:schemeClr w14:val="tx1"/>
                  </w14:solidFill>
                </w14:textFill>
              </w:rPr>
            </w:pPr>
          </w:p>
        </w:tc>
        <w:tc>
          <w:tcPr>
            <w:tcW w:w="1559" w:type="dxa"/>
            <w:vAlign w:val="center"/>
          </w:tcPr>
          <w:p w14:paraId="708C69F3">
            <w:pPr>
              <w:rPr>
                <w:rFonts w:eastAsia="Times New Roman"/>
                <w:color w:val="000000" w:themeColor="text1"/>
                <w:sz w:val="24"/>
                <w:szCs w:val="24"/>
                <w14:textFill>
                  <w14:solidFill>
                    <w14:schemeClr w14:val="tx1"/>
                  </w14:solidFill>
                </w14:textFill>
              </w:rPr>
            </w:pPr>
          </w:p>
        </w:tc>
        <w:tc>
          <w:tcPr>
            <w:tcW w:w="1843" w:type="dxa"/>
            <w:vAlign w:val="center"/>
          </w:tcPr>
          <w:p w14:paraId="708C69F4">
            <w:pPr>
              <w:rPr>
                <w:rFonts w:eastAsia="Times New Roman"/>
                <w:color w:val="000000" w:themeColor="text1"/>
                <w:sz w:val="24"/>
                <w:szCs w:val="24"/>
                <w14:textFill>
                  <w14:solidFill>
                    <w14:schemeClr w14:val="tx1"/>
                  </w14:solidFill>
                </w14:textFill>
              </w:rPr>
            </w:pPr>
          </w:p>
        </w:tc>
        <w:tc>
          <w:tcPr>
            <w:tcW w:w="7371" w:type="dxa"/>
            <w:vAlign w:val="center"/>
          </w:tcPr>
          <w:p w14:paraId="708C69F5">
            <w:pPr>
              <w:rPr>
                <w:rFonts w:eastAsia="Times New Roman"/>
                <w:color w:val="000000" w:themeColor="text1"/>
                <w:sz w:val="24"/>
                <w:szCs w:val="24"/>
                <w14:textFill>
                  <w14:solidFill>
                    <w14:schemeClr w14:val="tx1"/>
                  </w14:solidFill>
                </w14:textFill>
              </w:rPr>
            </w:pPr>
          </w:p>
        </w:tc>
      </w:tr>
    </w:tbl>
    <w:p w14:paraId="708C69F7">
      <w:pPr>
        <w:rPr>
          <w:color w:val="000000" w:themeColor="text1"/>
          <w14:textFill>
            <w14:solidFill>
              <w14:schemeClr w14:val="tx1"/>
            </w14:solidFill>
          </w14:textFill>
        </w:rPr>
      </w:pPr>
    </w:p>
    <w:p w14:paraId="708C69F8">
      <w:pPr>
        <w:rPr>
          <w:color w:val="000000" w:themeColor="text1"/>
          <w14:textFill>
            <w14:solidFill>
              <w14:schemeClr w14:val="tx1"/>
            </w14:solidFill>
          </w14:textFill>
        </w:rPr>
      </w:pPr>
    </w:p>
    <w:p w14:paraId="708C69F9">
      <w:pPr>
        <w:rPr>
          <w:color w:val="000000" w:themeColor="text1"/>
          <w14:textFill>
            <w14:solidFill>
              <w14:schemeClr w14:val="tx1"/>
            </w14:solidFill>
          </w14:textFill>
        </w:rPr>
      </w:pPr>
    </w:p>
    <w:p w14:paraId="708C69FA">
      <w:pPr>
        <w:rPr>
          <w:color w:val="000000" w:themeColor="text1"/>
          <w14:textFill>
            <w14:solidFill>
              <w14:schemeClr w14:val="tx1"/>
            </w14:solidFill>
          </w14:textFill>
        </w:rPr>
      </w:pPr>
    </w:p>
    <w:p w14:paraId="708C69FB">
      <w:pPr>
        <w:rPr>
          <w:color w:val="000000" w:themeColor="text1"/>
          <w14:textFill>
            <w14:solidFill>
              <w14:schemeClr w14:val="tx1"/>
            </w14:solidFill>
          </w14:textFill>
        </w:rPr>
      </w:pPr>
    </w:p>
    <w:p w14:paraId="708C69FC">
      <w:pPr>
        <w:rPr>
          <w:color w:val="000000" w:themeColor="text1"/>
          <w14:textFill>
            <w14:solidFill>
              <w14:schemeClr w14:val="tx1"/>
            </w14:solidFill>
          </w14:textFill>
        </w:rPr>
      </w:pPr>
    </w:p>
    <w:p w14:paraId="708C69FD">
      <w:pPr>
        <w:rPr>
          <w:color w:val="000000" w:themeColor="text1"/>
          <w14:textFill>
            <w14:solidFill>
              <w14:schemeClr w14:val="tx1"/>
            </w14:solidFill>
          </w14:textFill>
        </w:rPr>
      </w:pPr>
    </w:p>
    <w:p w14:paraId="708C69FE">
      <w:pPr>
        <w:rPr>
          <w:color w:val="000000" w:themeColor="text1"/>
          <w14:textFill>
            <w14:solidFill>
              <w14:schemeClr w14:val="tx1"/>
            </w14:solidFill>
          </w14:textFill>
        </w:rPr>
      </w:pPr>
    </w:p>
    <w:p w14:paraId="708C69FF">
      <w:pPr>
        <w:pStyle w:val="347"/>
        <w:widowControl w:val="0"/>
        <w:shd w:val="clear" w:color="auto" w:fill="FFFFFF"/>
        <w:spacing w:after="120" w:line="264" w:lineRule="auto"/>
        <w:jc w:val="left"/>
        <w:outlineLvl w:val="2"/>
        <w:rPr>
          <w:color w:val="000000" w:themeColor="text1"/>
          <w:sz w:val="26"/>
          <w:szCs w:val="26"/>
          <w14:textFill>
            <w14:solidFill>
              <w14:schemeClr w14:val="tx1"/>
            </w14:solidFill>
          </w14:textFill>
        </w:rPr>
      </w:pPr>
    </w:p>
    <w:p w14:paraId="708C6A00">
      <w:pPr>
        <w:shd w:val="clear" w:color="auto" w:fill="FFFFFF"/>
        <w:jc w:val="right"/>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b/>
      </w:r>
    </w:p>
    <w:p w14:paraId="708C6A01">
      <w:pPr>
        <w:shd w:val="clear" w:color="auto" w:fill="FFFFFF"/>
        <w:jc w:val="right"/>
        <w:rPr>
          <w:b/>
          <w:color w:val="000000" w:themeColor="text1"/>
          <w:sz w:val="26"/>
          <w:szCs w:val="26"/>
          <w14:textFill>
            <w14:solidFill>
              <w14:schemeClr w14:val="tx1"/>
            </w14:solidFill>
          </w14:textFill>
        </w:rPr>
      </w:pPr>
    </w:p>
    <w:p w14:paraId="708C6A02">
      <w:pPr>
        <w:shd w:val="clear" w:color="auto" w:fill="FFFFFF"/>
        <w:jc w:val="right"/>
        <w:rPr>
          <w:b/>
          <w:color w:val="000000" w:themeColor="text1"/>
          <w:sz w:val="26"/>
          <w:szCs w:val="26"/>
          <w14:textFill>
            <w14:solidFill>
              <w14:schemeClr w14:val="tx1"/>
            </w14:solidFill>
          </w14:textFill>
        </w:rPr>
      </w:pPr>
    </w:p>
    <w:p w14:paraId="708C6A03">
      <w:pPr>
        <w:shd w:val="clear" w:color="auto" w:fill="FFFFFF"/>
        <w:jc w:val="right"/>
        <w:rPr>
          <w:b/>
          <w:color w:val="000000" w:themeColor="text1"/>
          <w:sz w:val="26"/>
          <w:szCs w:val="26"/>
          <w14:textFill>
            <w14:solidFill>
              <w14:schemeClr w14:val="tx1"/>
            </w14:solidFill>
          </w14:textFill>
        </w:rPr>
      </w:pPr>
    </w:p>
    <w:p w14:paraId="708C6A04">
      <w:pPr>
        <w:shd w:val="clear" w:color="auto" w:fill="FFFFFF"/>
        <w:jc w:val="right"/>
        <w:rPr>
          <w:b/>
          <w:color w:val="000000" w:themeColor="text1"/>
          <w:sz w:val="26"/>
          <w:szCs w:val="26"/>
          <w14:textFill>
            <w14:solidFill>
              <w14:schemeClr w14:val="tx1"/>
            </w14:solidFill>
          </w14:textFill>
        </w:rPr>
      </w:pPr>
    </w:p>
    <w:p w14:paraId="708C6A05">
      <w:pPr>
        <w:shd w:val="clear" w:color="auto" w:fill="FFFFFF"/>
        <w:jc w:val="right"/>
        <w:rPr>
          <w:b/>
          <w:color w:val="000000" w:themeColor="text1"/>
          <w:sz w:val="26"/>
          <w:szCs w:val="26"/>
          <w14:textFill>
            <w14:solidFill>
              <w14:schemeClr w14:val="tx1"/>
            </w14:solidFill>
          </w14:textFill>
        </w:rPr>
      </w:pPr>
    </w:p>
    <w:p w14:paraId="708C6A06">
      <w:pPr>
        <w:shd w:val="clear" w:color="auto" w:fill="FFFFFF"/>
        <w:jc w:val="right"/>
        <w:rPr>
          <w:b/>
          <w:color w:val="000000" w:themeColor="text1"/>
          <w:sz w:val="26"/>
          <w:szCs w:val="26"/>
          <w14:textFill>
            <w14:solidFill>
              <w14:schemeClr w14:val="tx1"/>
            </w14:solidFill>
          </w14:textFill>
        </w:rPr>
      </w:pPr>
    </w:p>
    <w:p w14:paraId="708C6A07">
      <w:pPr>
        <w:shd w:val="clear" w:color="auto" w:fill="FFFFFF"/>
        <w:jc w:val="right"/>
        <w:rPr>
          <w:b/>
          <w:color w:val="000000" w:themeColor="text1"/>
          <w:sz w:val="26"/>
          <w:szCs w:val="26"/>
          <w14:textFill>
            <w14:solidFill>
              <w14:schemeClr w14:val="tx1"/>
            </w14:solidFill>
          </w14:textFill>
        </w:rPr>
      </w:pPr>
    </w:p>
    <w:p w14:paraId="708C6A08">
      <w:pPr>
        <w:shd w:val="clear" w:color="auto" w:fill="FFFFFF"/>
        <w:jc w:val="right"/>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Form 7(a)</w:t>
      </w:r>
    </w:p>
    <w:p w14:paraId="708C6A09">
      <w:pPr>
        <w:jc w:val="center"/>
        <w:rPr>
          <w:b/>
          <w:bCs/>
          <w:color w:val="000000" w:themeColor="text1"/>
          <w:sz w:val="26"/>
          <w:szCs w:val="26"/>
          <w:lang w:val="nl-NL"/>
          <w14:textFill>
            <w14:solidFill>
              <w14:schemeClr w14:val="tx1"/>
            </w14:solidFill>
          </w14:textFill>
        </w:rPr>
      </w:pPr>
      <w:r>
        <w:rPr>
          <w:b/>
          <w:color w:val="000000" w:themeColor="text1"/>
          <w:sz w:val="26"/>
          <w:szCs w:val="26"/>
          <w14:textFill>
            <w14:solidFill>
              <w14:schemeClr w14:val="tx1"/>
            </w14:solidFill>
          </w14:textFill>
        </w:rPr>
        <w:t>DECLARATION FOR PREFERENTIAL GOODS</w:t>
      </w:r>
    </w:p>
    <w:tbl>
      <w:tblPr>
        <w:tblStyle w:val="12"/>
        <w:tblW w:w="14707" w:type="dxa"/>
        <w:tblInd w:w="421" w:type="dxa"/>
        <w:tblLayout w:type="autofit"/>
        <w:tblCellMar>
          <w:top w:w="0" w:type="dxa"/>
          <w:left w:w="108" w:type="dxa"/>
          <w:bottom w:w="0" w:type="dxa"/>
          <w:right w:w="108" w:type="dxa"/>
        </w:tblCellMar>
      </w:tblPr>
      <w:tblGrid>
        <w:gridCol w:w="747"/>
        <w:gridCol w:w="1805"/>
        <w:gridCol w:w="1500"/>
        <w:gridCol w:w="1331"/>
        <w:gridCol w:w="1559"/>
        <w:gridCol w:w="1988"/>
        <w:gridCol w:w="2126"/>
        <w:gridCol w:w="1666"/>
        <w:gridCol w:w="14"/>
        <w:gridCol w:w="1944"/>
        <w:gridCol w:w="27"/>
      </w:tblGrid>
      <w:tr w14:paraId="708C6A12">
        <w:tblPrEx>
          <w:tblCellMar>
            <w:top w:w="0" w:type="dxa"/>
            <w:left w:w="108" w:type="dxa"/>
            <w:bottom w:w="0" w:type="dxa"/>
            <w:right w:w="108" w:type="dxa"/>
          </w:tblCellMar>
        </w:tblPrEx>
        <w:trPr>
          <w:gridAfter w:val="1"/>
          <w:wAfter w:w="27" w:type="dxa"/>
          <w:trHeight w:val="1724" w:hRule="atLeast"/>
        </w:trPr>
        <w:tc>
          <w:tcPr>
            <w:tcW w:w="747" w:type="dxa"/>
            <w:vMerge w:val="restart"/>
            <w:tcBorders>
              <w:top w:val="single" w:color="auto" w:sz="4" w:space="0"/>
              <w:left w:val="single" w:color="auto" w:sz="4" w:space="0"/>
              <w:bottom w:val="single" w:color="000000" w:sz="4" w:space="0"/>
              <w:right w:val="single" w:color="auto" w:sz="4" w:space="0"/>
            </w:tcBorders>
            <w:shd w:val="clear" w:color="auto" w:fill="E2EFD9"/>
            <w:noWrap/>
            <w:vAlign w:val="center"/>
          </w:tcPr>
          <w:p w14:paraId="708C6A0A">
            <w:pPr>
              <w:jc w:val="center"/>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Nọ</w:t>
            </w:r>
          </w:p>
        </w:tc>
        <w:tc>
          <w:tcPr>
            <w:tcW w:w="1805" w:type="dxa"/>
            <w:vMerge w:val="restart"/>
            <w:tcBorders>
              <w:top w:val="single" w:color="auto" w:sz="4" w:space="0"/>
              <w:left w:val="single" w:color="auto" w:sz="4" w:space="0"/>
              <w:bottom w:val="single" w:color="000000" w:sz="4" w:space="0"/>
              <w:right w:val="single" w:color="auto" w:sz="4" w:space="0"/>
            </w:tcBorders>
            <w:shd w:val="clear" w:color="auto" w:fill="E2EFD9"/>
            <w:noWrap/>
            <w:vAlign w:val="center"/>
          </w:tcPr>
          <w:p w14:paraId="708C6A0B">
            <w:pPr>
              <w:jc w:val="center"/>
              <w:rPr>
                <w:b/>
                <w:bCs/>
                <w:color w:val="000000" w:themeColor="text1"/>
                <w:sz w:val="20"/>
                <w:szCs w:val="20"/>
                <w14:textFill>
                  <w14:solidFill>
                    <w14:schemeClr w14:val="tx1"/>
                  </w14:solidFill>
                </w14:textFill>
              </w:rPr>
            </w:pPr>
            <w:r>
              <w:rPr>
                <w:b/>
                <w:color w:val="000000" w:themeColor="text1"/>
                <w:sz w:val="20"/>
                <w:szCs w:val="20"/>
                <w14:textFill>
                  <w14:solidFill>
                    <w14:schemeClr w14:val="tx1"/>
                  </w14:solidFill>
                </w14:textFill>
              </w:rPr>
              <w:t>Description of Goods</w:t>
            </w:r>
          </w:p>
        </w:tc>
        <w:tc>
          <w:tcPr>
            <w:tcW w:w="1500" w:type="dxa"/>
            <w:vMerge w:val="restart"/>
            <w:tcBorders>
              <w:top w:val="single" w:color="auto" w:sz="4" w:space="0"/>
              <w:left w:val="nil"/>
              <w:right w:val="single" w:color="auto" w:sz="4" w:space="0"/>
            </w:tcBorders>
            <w:shd w:val="clear" w:color="auto" w:fill="E2EFD9"/>
          </w:tcPr>
          <w:p w14:paraId="708C6A0C">
            <w:pPr>
              <w:jc w:val="center"/>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Origin</w:t>
            </w:r>
          </w:p>
          <w:p w14:paraId="708C6A0D">
            <w:pPr>
              <w:jc w:val="center"/>
              <w:rPr>
                <w:bCs/>
                <w:color w:val="000000" w:themeColor="text1"/>
                <w:sz w:val="20"/>
                <w:szCs w:val="20"/>
                <w14:textFill>
                  <w14:solidFill>
                    <w14:schemeClr w14:val="tx1"/>
                  </w14:solidFill>
                </w14:textFill>
              </w:rPr>
            </w:pPr>
            <w:r>
              <w:rPr>
                <w:i/>
                <w:color w:val="000000" w:themeColor="text1"/>
                <w:sz w:val="20"/>
                <w:szCs w:val="20"/>
                <w14:textFill>
                  <w14:solidFill>
                    <w14:schemeClr w14:val="tx1"/>
                  </w14:solidFill>
                </w14:textFill>
              </w:rPr>
              <w:t xml:space="preserve">[insert name of country, territory, </w:t>
            </w:r>
            <w:r>
              <w:rPr>
                <w:bCs/>
                <w:i/>
                <w:iCs/>
                <w:color w:val="000000" w:themeColor="text1"/>
                <w:sz w:val="20"/>
                <w:szCs w:val="20"/>
                <w14:textFill>
                  <w14:solidFill>
                    <w14:schemeClr w14:val="tx1"/>
                  </w14:solidFill>
                </w14:textFill>
              </w:rPr>
              <w:t>Marks and Numbers,</w:t>
            </w:r>
            <w:r>
              <w:rPr>
                <w:i/>
                <w:color w:val="000000" w:themeColor="text1"/>
                <w:sz w:val="20"/>
                <w:szCs w:val="20"/>
                <w14:textFill>
                  <w14:solidFill>
                    <w14:schemeClr w14:val="tx1"/>
                  </w14:solidFill>
                </w14:textFill>
              </w:rPr>
              <w:t xml:space="preserve"> trademark, manufacturer]</w:t>
            </w:r>
          </w:p>
        </w:tc>
        <w:tc>
          <w:tcPr>
            <w:tcW w:w="2890" w:type="dxa"/>
            <w:gridSpan w:val="2"/>
            <w:tcBorders>
              <w:top w:val="single" w:color="auto" w:sz="4" w:space="0"/>
              <w:left w:val="single" w:color="auto" w:sz="4" w:space="0"/>
              <w:bottom w:val="single" w:color="auto" w:sz="4" w:space="0"/>
              <w:right w:val="single" w:color="auto" w:sz="4" w:space="0"/>
            </w:tcBorders>
            <w:shd w:val="clear" w:color="auto" w:fill="E2EFD9"/>
            <w:vAlign w:val="center"/>
          </w:tcPr>
          <w:p w14:paraId="708C6A0E">
            <w:pPr>
              <w:jc w:val="center"/>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Goods with a domestic production cost of 30% or more</w:t>
            </w:r>
          </w:p>
        </w:tc>
        <w:tc>
          <w:tcPr>
            <w:tcW w:w="1988" w:type="dxa"/>
            <w:vMerge w:val="restart"/>
            <w:tcBorders>
              <w:top w:val="single" w:color="auto" w:sz="4" w:space="0"/>
              <w:left w:val="nil"/>
              <w:right w:val="single" w:color="auto" w:sz="4" w:space="0"/>
            </w:tcBorders>
            <w:shd w:val="clear" w:color="auto" w:fill="E2EFD9"/>
          </w:tcPr>
          <w:p w14:paraId="708C6A0F">
            <w:pPr>
              <w:jc w:val="center"/>
              <w:rPr>
                <w:rStyle w:val="640"/>
                <w:b/>
                <w:bCs/>
                <w:color w:val="000000" w:themeColor="text1"/>
                <w:sz w:val="20"/>
                <w:szCs w:val="20"/>
                <w:lang w:eastAsia="vi-VN"/>
                <w14:textFill>
                  <w14:solidFill>
                    <w14:schemeClr w14:val="tx1"/>
                  </w14:solidFill>
                </w14:textFill>
              </w:rPr>
            </w:pPr>
            <w:r>
              <w:rPr>
                <w:rStyle w:val="640"/>
                <w:b/>
                <w:bCs/>
                <w:color w:val="000000" w:themeColor="text1"/>
                <w:sz w:val="20"/>
                <w:szCs w:val="20"/>
                <w:lang w:eastAsia="vi-VN"/>
                <w14:textFill>
                  <w14:solidFill>
                    <w14:schemeClr w14:val="tx1"/>
                  </w14:solidFill>
                </w14:textFill>
              </w:rPr>
              <w:t xml:space="preserve">Goods from manufacturing facilities </w:t>
            </w:r>
            <w:r>
              <w:rPr>
                <w:b/>
                <w:bCs/>
                <w:color w:val="000000" w:themeColor="text1"/>
                <w:sz w:val="20"/>
                <w:szCs w:val="20"/>
                <w14:textFill>
                  <w14:solidFill>
                    <w14:schemeClr w14:val="tx1"/>
                  </w14:solidFill>
                </w14:textFill>
              </w:rPr>
              <w:t>with at least 50% of employees being war invalids, people with disabilities, ethnic minorities with labor contract of 3 months or more and still valid until the deadline for submission of bids</w:t>
            </w:r>
            <w:r>
              <w:rPr>
                <w:color w:val="000000" w:themeColor="text1"/>
                <w:sz w:val="20"/>
                <w:szCs w:val="20"/>
                <w14:textFill>
                  <w14:solidFill>
                    <w14:schemeClr w14:val="tx1"/>
                  </w14:solidFill>
                </w14:textFill>
              </w:rPr>
              <w:t xml:space="preserve"> </w:t>
            </w:r>
          </w:p>
        </w:tc>
        <w:tc>
          <w:tcPr>
            <w:tcW w:w="2126" w:type="dxa"/>
            <w:tcBorders>
              <w:top w:val="single" w:color="auto" w:sz="4" w:space="0"/>
              <w:left w:val="single" w:color="auto" w:sz="4" w:space="0"/>
              <w:right w:val="single" w:color="auto" w:sz="4" w:space="0"/>
            </w:tcBorders>
            <w:shd w:val="clear" w:color="auto" w:fill="E2EFD9"/>
          </w:tcPr>
          <w:p w14:paraId="708C6A10">
            <w:pPr>
              <w:jc w:val="center"/>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Goods are innovative products specified in Clause 4, Article 5 of Decree No. 24/2024/ND-CP that are first produced and qualified to be marketed in the last 6 years.</w:t>
            </w:r>
          </w:p>
        </w:tc>
        <w:tc>
          <w:tcPr>
            <w:tcW w:w="3624" w:type="dxa"/>
            <w:gridSpan w:val="3"/>
            <w:tcBorders>
              <w:top w:val="single" w:color="auto" w:sz="4" w:space="0"/>
              <w:left w:val="single" w:color="auto" w:sz="4" w:space="0"/>
              <w:bottom w:val="single" w:color="auto" w:sz="4" w:space="0"/>
              <w:right w:val="single" w:color="auto" w:sz="4" w:space="0"/>
            </w:tcBorders>
            <w:shd w:val="clear" w:color="auto" w:fill="E2EFD9"/>
            <w:vAlign w:val="center"/>
          </w:tcPr>
          <w:p w14:paraId="708C6A11">
            <w:pPr>
              <w:jc w:val="center"/>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Declare domestic expenses</w:t>
            </w:r>
          </w:p>
        </w:tc>
      </w:tr>
      <w:tr w14:paraId="708C6A1C">
        <w:tblPrEx>
          <w:tblCellMar>
            <w:top w:w="0" w:type="dxa"/>
            <w:left w:w="108" w:type="dxa"/>
            <w:bottom w:w="0" w:type="dxa"/>
            <w:right w:w="108" w:type="dxa"/>
          </w:tblCellMar>
        </w:tblPrEx>
        <w:trPr>
          <w:gridAfter w:val="1"/>
          <w:wAfter w:w="27" w:type="dxa"/>
          <w:trHeight w:val="690" w:hRule="atLeast"/>
        </w:trPr>
        <w:tc>
          <w:tcPr>
            <w:tcW w:w="747" w:type="dxa"/>
            <w:vMerge w:val="continue"/>
            <w:tcBorders>
              <w:top w:val="single" w:color="auto" w:sz="4" w:space="0"/>
              <w:left w:val="single" w:color="auto" w:sz="4" w:space="0"/>
              <w:bottom w:val="single" w:color="000000" w:sz="4" w:space="0"/>
              <w:right w:val="single" w:color="auto" w:sz="4" w:space="0"/>
            </w:tcBorders>
            <w:shd w:val="clear" w:color="auto" w:fill="E2EFD9"/>
            <w:vAlign w:val="center"/>
          </w:tcPr>
          <w:p w14:paraId="708C6A13">
            <w:pPr>
              <w:rPr>
                <w:b/>
                <w:bCs/>
                <w:color w:val="000000" w:themeColor="text1"/>
                <w:sz w:val="20"/>
                <w:szCs w:val="20"/>
                <w14:textFill>
                  <w14:solidFill>
                    <w14:schemeClr w14:val="tx1"/>
                  </w14:solidFill>
                </w14:textFill>
              </w:rPr>
            </w:pPr>
          </w:p>
        </w:tc>
        <w:tc>
          <w:tcPr>
            <w:tcW w:w="1805" w:type="dxa"/>
            <w:vMerge w:val="continue"/>
            <w:tcBorders>
              <w:top w:val="single" w:color="auto" w:sz="4" w:space="0"/>
              <w:left w:val="single" w:color="auto" w:sz="4" w:space="0"/>
              <w:bottom w:val="single" w:color="000000" w:sz="4" w:space="0"/>
              <w:right w:val="single" w:color="auto" w:sz="4" w:space="0"/>
            </w:tcBorders>
            <w:shd w:val="clear" w:color="auto" w:fill="E2EFD9"/>
            <w:vAlign w:val="center"/>
          </w:tcPr>
          <w:p w14:paraId="708C6A14">
            <w:pPr>
              <w:rPr>
                <w:b/>
                <w:bCs/>
                <w:color w:val="000000" w:themeColor="text1"/>
                <w:sz w:val="20"/>
                <w:szCs w:val="20"/>
                <w14:textFill>
                  <w14:solidFill>
                    <w14:schemeClr w14:val="tx1"/>
                  </w14:solidFill>
                </w14:textFill>
              </w:rPr>
            </w:pPr>
          </w:p>
        </w:tc>
        <w:tc>
          <w:tcPr>
            <w:tcW w:w="1500" w:type="dxa"/>
            <w:vMerge w:val="continue"/>
            <w:tcBorders>
              <w:left w:val="nil"/>
              <w:bottom w:val="single" w:color="auto" w:sz="4" w:space="0"/>
              <w:right w:val="single" w:color="auto" w:sz="4" w:space="0"/>
            </w:tcBorders>
            <w:shd w:val="clear" w:color="auto" w:fill="E2EFD9"/>
          </w:tcPr>
          <w:p w14:paraId="708C6A15">
            <w:pPr>
              <w:jc w:val="center"/>
              <w:rPr>
                <w:b/>
                <w:bCs/>
                <w:color w:val="000000" w:themeColor="text1"/>
                <w:sz w:val="20"/>
                <w:szCs w:val="20"/>
                <w14:textFill>
                  <w14:solidFill>
                    <w14:schemeClr w14:val="tx1"/>
                  </w14:solidFill>
                </w14:textFill>
              </w:rPr>
            </w:pPr>
          </w:p>
        </w:tc>
        <w:tc>
          <w:tcPr>
            <w:tcW w:w="1331" w:type="dxa"/>
            <w:tcBorders>
              <w:top w:val="nil"/>
              <w:left w:val="single" w:color="auto" w:sz="4" w:space="0"/>
              <w:bottom w:val="single" w:color="auto" w:sz="4" w:space="0"/>
              <w:right w:val="single" w:color="auto" w:sz="4" w:space="0"/>
            </w:tcBorders>
            <w:shd w:val="clear" w:color="auto" w:fill="E2EFD9"/>
            <w:noWrap/>
            <w:vAlign w:val="center"/>
          </w:tcPr>
          <w:p w14:paraId="708C6A16">
            <w:pPr>
              <w:jc w:val="center"/>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The ratio of domestic production costs is less than 50%</w:t>
            </w:r>
          </w:p>
        </w:tc>
        <w:tc>
          <w:tcPr>
            <w:tcW w:w="1559" w:type="dxa"/>
            <w:tcBorders>
              <w:top w:val="nil"/>
              <w:left w:val="nil"/>
              <w:bottom w:val="single" w:color="auto" w:sz="4" w:space="0"/>
              <w:right w:val="single" w:color="auto" w:sz="4" w:space="0"/>
            </w:tcBorders>
            <w:shd w:val="clear" w:color="auto" w:fill="E2EFD9"/>
            <w:noWrap/>
            <w:vAlign w:val="center"/>
          </w:tcPr>
          <w:p w14:paraId="708C6A17">
            <w:pPr>
              <w:jc w:val="center"/>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 xml:space="preserve">The ratio of domestic production costs is 50% and more </w:t>
            </w:r>
          </w:p>
        </w:tc>
        <w:tc>
          <w:tcPr>
            <w:tcW w:w="1988" w:type="dxa"/>
            <w:vMerge w:val="continue"/>
            <w:tcBorders>
              <w:left w:val="nil"/>
              <w:bottom w:val="single" w:color="auto" w:sz="4" w:space="0"/>
              <w:right w:val="single" w:color="auto" w:sz="4" w:space="0"/>
            </w:tcBorders>
            <w:shd w:val="clear" w:color="auto" w:fill="E2EFD9"/>
          </w:tcPr>
          <w:p w14:paraId="708C6A18">
            <w:pPr>
              <w:jc w:val="center"/>
              <w:rPr>
                <w:b/>
                <w:bCs/>
                <w:color w:val="000000" w:themeColor="text1"/>
                <w:sz w:val="20"/>
                <w:szCs w:val="20"/>
                <w14:textFill>
                  <w14:solidFill>
                    <w14:schemeClr w14:val="tx1"/>
                  </w14:solidFill>
                </w14:textFill>
              </w:rPr>
            </w:pPr>
          </w:p>
        </w:tc>
        <w:tc>
          <w:tcPr>
            <w:tcW w:w="2126" w:type="dxa"/>
            <w:tcBorders>
              <w:left w:val="single" w:color="auto" w:sz="4" w:space="0"/>
              <w:bottom w:val="single" w:color="auto" w:sz="4" w:space="0"/>
              <w:right w:val="single" w:color="auto" w:sz="4" w:space="0"/>
            </w:tcBorders>
            <w:shd w:val="clear" w:color="auto" w:fill="E2EFD9"/>
          </w:tcPr>
          <w:p w14:paraId="708C6A19">
            <w:pPr>
              <w:jc w:val="center"/>
              <w:rPr>
                <w:b/>
                <w:bCs/>
                <w:color w:val="000000" w:themeColor="text1"/>
                <w:sz w:val="20"/>
                <w:szCs w:val="20"/>
                <w14:textFill>
                  <w14:solidFill>
                    <w14:schemeClr w14:val="tx1"/>
                  </w14:solidFill>
                </w14:textFill>
              </w:rPr>
            </w:pPr>
          </w:p>
        </w:tc>
        <w:tc>
          <w:tcPr>
            <w:tcW w:w="1680" w:type="dxa"/>
            <w:gridSpan w:val="2"/>
            <w:tcBorders>
              <w:top w:val="nil"/>
              <w:left w:val="single" w:color="auto" w:sz="4" w:space="0"/>
              <w:bottom w:val="single" w:color="auto" w:sz="4" w:space="0"/>
              <w:right w:val="single" w:color="auto" w:sz="4" w:space="0"/>
            </w:tcBorders>
            <w:shd w:val="clear" w:color="auto" w:fill="E2EFD9"/>
            <w:noWrap/>
            <w:vAlign w:val="center"/>
          </w:tcPr>
          <w:p w14:paraId="708C6A1A">
            <w:pPr>
              <w:jc w:val="center"/>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According to Form 7(a1)</w:t>
            </w:r>
          </w:p>
        </w:tc>
        <w:tc>
          <w:tcPr>
            <w:tcW w:w="1944" w:type="dxa"/>
            <w:tcBorders>
              <w:top w:val="nil"/>
              <w:left w:val="nil"/>
              <w:bottom w:val="single" w:color="auto" w:sz="4" w:space="0"/>
              <w:right w:val="single" w:color="auto" w:sz="4" w:space="0"/>
            </w:tcBorders>
            <w:shd w:val="clear" w:color="auto" w:fill="E2EFD9"/>
            <w:vAlign w:val="center"/>
          </w:tcPr>
          <w:p w14:paraId="708C6A1B">
            <w:pPr>
              <w:jc w:val="center"/>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According to Form 7(a2)</w:t>
            </w:r>
          </w:p>
        </w:tc>
      </w:tr>
      <w:tr w14:paraId="708C6A26">
        <w:tblPrEx>
          <w:tblCellMar>
            <w:top w:w="0" w:type="dxa"/>
            <w:left w:w="108" w:type="dxa"/>
            <w:bottom w:w="0" w:type="dxa"/>
            <w:right w:w="108" w:type="dxa"/>
          </w:tblCellMar>
        </w:tblPrEx>
        <w:trPr>
          <w:trHeight w:val="315" w:hRule="atLeast"/>
        </w:trPr>
        <w:tc>
          <w:tcPr>
            <w:tcW w:w="747" w:type="dxa"/>
            <w:tcBorders>
              <w:top w:val="nil"/>
              <w:left w:val="single" w:color="auto" w:sz="4" w:space="0"/>
              <w:bottom w:val="single" w:color="auto" w:sz="4" w:space="0"/>
              <w:right w:val="single" w:color="auto" w:sz="4" w:space="0"/>
            </w:tcBorders>
            <w:noWrap/>
            <w:vAlign w:val="center"/>
          </w:tcPr>
          <w:p w14:paraId="708C6A1D">
            <w:pPr>
              <w:jc w:val="center"/>
              <w:rPr>
                <w:i/>
                <w:iCs/>
                <w:color w:val="000000" w:themeColor="text1"/>
                <w:sz w:val="20"/>
                <w:szCs w:val="20"/>
                <w14:textFill>
                  <w14:solidFill>
                    <w14:schemeClr w14:val="tx1"/>
                  </w14:solidFill>
                </w14:textFill>
              </w:rPr>
            </w:pPr>
          </w:p>
        </w:tc>
        <w:tc>
          <w:tcPr>
            <w:tcW w:w="1805" w:type="dxa"/>
            <w:tcBorders>
              <w:top w:val="nil"/>
              <w:left w:val="nil"/>
              <w:bottom w:val="single" w:color="auto" w:sz="4" w:space="0"/>
              <w:right w:val="single" w:color="auto" w:sz="4" w:space="0"/>
            </w:tcBorders>
            <w:vAlign w:val="center"/>
          </w:tcPr>
          <w:p w14:paraId="708C6A1E">
            <w:pPr>
              <w:jc w:val="center"/>
              <w:rPr>
                <w:iCs/>
                <w:color w:val="000000" w:themeColor="text1"/>
                <w:sz w:val="20"/>
                <w:szCs w:val="20"/>
                <w14:textFill>
                  <w14:solidFill>
                    <w14:schemeClr w14:val="tx1"/>
                  </w14:solidFill>
                </w14:textFill>
              </w:rPr>
            </w:pPr>
            <w:r>
              <w:rPr>
                <w:iCs/>
                <w:color w:val="000000" w:themeColor="text1"/>
                <w:sz w:val="20"/>
                <w:szCs w:val="20"/>
                <w14:textFill>
                  <w14:solidFill>
                    <w14:schemeClr w14:val="tx1"/>
                  </w14:solidFill>
                </w14:textFill>
              </w:rPr>
              <w:t>(1)</w:t>
            </w:r>
          </w:p>
        </w:tc>
        <w:tc>
          <w:tcPr>
            <w:tcW w:w="1500" w:type="dxa"/>
            <w:tcBorders>
              <w:top w:val="single" w:color="auto" w:sz="4" w:space="0"/>
              <w:left w:val="nil"/>
              <w:bottom w:val="single" w:color="auto" w:sz="4" w:space="0"/>
              <w:right w:val="single" w:color="auto" w:sz="4" w:space="0"/>
            </w:tcBorders>
          </w:tcPr>
          <w:p w14:paraId="708C6A1F">
            <w:pPr>
              <w:jc w:val="center"/>
              <w:rPr>
                <w:bCs/>
                <w:color w:val="000000" w:themeColor="text1"/>
                <w:sz w:val="20"/>
                <w:szCs w:val="20"/>
                <w14:textFill>
                  <w14:solidFill>
                    <w14:schemeClr w14:val="tx1"/>
                  </w14:solidFill>
                </w14:textFill>
              </w:rPr>
            </w:pPr>
            <w:r>
              <w:rPr>
                <w:bCs/>
                <w:color w:val="000000" w:themeColor="text1"/>
                <w:sz w:val="20"/>
                <w:szCs w:val="20"/>
                <w14:textFill>
                  <w14:solidFill>
                    <w14:schemeClr w14:val="tx1"/>
                  </w14:solidFill>
                </w14:textFill>
              </w:rPr>
              <w:t>(2)</w:t>
            </w:r>
          </w:p>
        </w:tc>
        <w:tc>
          <w:tcPr>
            <w:tcW w:w="1331" w:type="dxa"/>
            <w:tcBorders>
              <w:top w:val="nil"/>
              <w:left w:val="single" w:color="auto" w:sz="4" w:space="0"/>
              <w:bottom w:val="single" w:color="auto" w:sz="4" w:space="0"/>
              <w:right w:val="single" w:color="auto" w:sz="4" w:space="0"/>
            </w:tcBorders>
            <w:noWrap/>
            <w:vAlign w:val="center"/>
          </w:tcPr>
          <w:p w14:paraId="708C6A20">
            <w:pPr>
              <w:jc w:val="center"/>
              <w:rPr>
                <w:bCs/>
                <w:color w:val="000000" w:themeColor="text1"/>
                <w:sz w:val="20"/>
                <w:szCs w:val="20"/>
                <w14:textFill>
                  <w14:solidFill>
                    <w14:schemeClr w14:val="tx1"/>
                  </w14:solidFill>
                </w14:textFill>
              </w:rPr>
            </w:pPr>
            <w:r>
              <w:rPr>
                <w:bCs/>
                <w:color w:val="000000" w:themeColor="text1"/>
                <w:sz w:val="20"/>
                <w:szCs w:val="20"/>
                <w14:textFill>
                  <w14:solidFill>
                    <w14:schemeClr w14:val="tx1"/>
                  </w14:solidFill>
                </w14:textFill>
              </w:rPr>
              <w:t>(3)</w:t>
            </w:r>
          </w:p>
        </w:tc>
        <w:tc>
          <w:tcPr>
            <w:tcW w:w="1559" w:type="dxa"/>
            <w:tcBorders>
              <w:top w:val="nil"/>
              <w:left w:val="nil"/>
              <w:bottom w:val="single" w:color="auto" w:sz="4" w:space="0"/>
              <w:right w:val="single" w:color="auto" w:sz="4" w:space="0"/>
            </w:tcBorders>
            <w:noWrap/>
            <w:vAlign w:val="center"/>
          </w:tcPr>
          <w:p w14:paraId="708C6A21">
            <w:pPr>
              <w:jc w:val="center"/>
              <w:rPr>
                <w:bCs/>
                <w:color w:val="000000" w:themeColor="text1"/>
                <w:sz w:val="20"/>
                <w:szCs w:val="20"/>
                <w14:textFill>
                  <w14:solidFill>
                    <w14:schemeClr w14:val="tx1"/>
                  </w14:solidFill>
                </w14:textFill>
              </w:rPr>
            </w:pPr>
            <w:r>
              <w:rPr>
                <w:bCs/>
                <w:color w:val="000000" w:themeColor="text1"/>
                <w:sz w:val="20"/>
                <w:szCs w:val="20"/>
                <w14:textFill>
                  <w14:solidFill>
                    <w14:schemeClr w14:val="tx1"/>
                  </w14:solidFill>
                </w14:textFill>
              </w:rPr>
              <w:t>(4)</w:t>
            </w:r>
          </w:p>
        </w:tc>
        <w:tc>
          <w:tcPr>
            <w:tcW w:w="1988" w:type="dxa"/>
            <w:tcBorders>
              <w:top w:val="single" w:color="auto" w:sz="4" w:space="0"/>
              <w:left w:val="nil"/>
              <w:bottom w:val="single" w:color="auto" w:sz="4" w:space="0"/>
              <w:right w:val="single" w:color="auto" w:sz="4" w:space="0"/>
            </w:tcBorders>
          </w:tcPr>
          <w:p w14:paraId="708C6A22">
            <w:pPr>
              <w:jc w:val="center"/>
              <w:rPr>
                <w:bCs/>
                <w:color w:val="000000" w:themeColor="text1"/>
                <w:sz w:val="20"/>
                <w:szCs w:val="20"/>
                <w14:textFill>
                  <w14:solidFill>
                    <w14:schemeClr w14:val="tx1"/>
                  </w14:solidFill>
                </w14:textFill>
              </w:rPr>
            </w:pPr>
            <w:r>
              <w:rPr>
                <w:bCs/>
                <w:color w:val="000000" w:themeColor="text1"/>
                <w:sz w:val="20"/>
                <w:szCs w:val="20"/>
                <w14:textFill>
                  <w14:solidFill>
                    <w14:schemeClr w14:val="tx1"/>
                  </w14:solidFill>
                </w14:textFill>
              </w:rPr>
              <w:t>(5)</w:t>
            </w:r>
          </w:p>
        </w:tc>
        <w:tc>
          <w:tcPr>
            <w:tcW w:w="2126" w:type="dxa"/>
            <w:tcBorders>
              <w:top w:val="nil"/>
              <w:left w:val="single" w:color="auto" w:sz="4" w:space="0"/>
              <w:bottom w:val="single" w:color="auto" w:sz="4" w:space="0"/>
              <w:right w:val="single" w:color="auto" w:sz="4" w:space="0"/>
            </w:tcBorders>
          </w:tcPr>
          <w:p w14:paraId="708C6A23">
            <w:pPr>
              <w:jc w:val="center"/>
              <w:rPr>
                <w:bCs/>
                <w:color w:val="000000" w:themeColor="text1"/>
                <w:sz w:val="20"/>
                <w:szCs w:val="20"/>
                <w14:textFill>
                  <w14:solidFill>
                    <w14:schemeClr w14:val="tx1"/>
                  </w14:solidFill>
                </w14:textFill>
              </w:rPr>
            </w:pPr>
            <w:r>
              <w:rPr>
                <w:bCs/>
                <w:color w:val="000000" w:themeColor="text1"/>
                <w:sz w:val="20"/>
                <w:szCs w:val="20"/>
                <w14:textFill>
                  <w14:solidFill>
                    <w14:schemeClr w14:val="tx1"/>
                  </w14:solidFill>
                </w14:textFill>
              </w:rPr>
              <w:t>(6)</w:t>
            </w:r>
          </w:p>
        </w:tc>
        <w:tc>
          <w:tcPr>
            <w:tcW w:w="1666" w:type="dxa"/>
            <w:tcBorders>
              <w:top w:val="nil"/>
              <w:left w:val="single" w:color="auto" w:sz="4" w:space="0"/>
              <w:bottom w:val="single" w:color="auto" w:sz="4" w:space="0"/>
              <w:right w:val="single" w:color="auto" w:sz="4" w:space="0"/>
            </w:tcBorders>
            <w:noWrap/>
            <w:vAlign w:val="center"/>
          </w:tcPr>
          <w:p w14:paraId="708C6A24">
            <w:pPr>
              <w:jc w:val="center"/>
              <w:rPr>
                <w:bCs/>
                <w:color w:val="000000" w:themeColor="text1"/>
                <w:sz w:val="20"/>
                <w:szCs w:val="20"/>
                <w14:textFill>
                  <w14:solidFill>
                    <w14:schemeClr w14:val="tx1"/>
                  </w14:solidFill>
                </w14:textFill>
              </w:rPr>
            </w:pPr>
            <w:r>
              <w:rPr>
                <w:bCs/>
                <w:color w:val="000000" w:themeColor="text1"/>
                <w:sz w:val="20"/>
                <w:szCs w:val="20"/>
                <w14:textFill>
                  <w14:solidFill>
                    <w14:schemeClr w14:val="tx1"/>
                  </w14:solidFill>
                </w14:textFill>
              </w:rPr>
              <w:t>(7)</w:t>
            </w:r>
          </w:p>
        </w:tc>
        <w:tc>
          <w:tcPr>
            <w:tcW w:w="1985" w:type="dxa"/>
            <w:gridSpan w:val="3"/>
            <w:tcBorders>
              <w:top w:val="nil"/>
              <w:left w:val="nil"/>
              <w:bottom w:val="single" w:color="auto" w:sz="4" w:space="0"/>
              <w:right w:val="single" w:color="auto" w:sz="4" w:space="0"/>
            </w:tcBorders>
            <w:noWrap/>
            <w:vAlign w:val="center"/>
          </w:tcPr>
          <w:p w14:paraId="708C6A25">
            <w:pPr>
              <w:jc w:val="center"/>
              <w:rPr>
                <w:bCs/>
                <w:color w:val="000000" w:themeColor="text1"/>
                <w:sz w:val="20"/>
                <w:szCs w:val="20"/>
                <w14:textFill>
                  <w14:solidFill>
                    <w14:schemeClr w14:val="tx1"/>
                  </w14:solidFill>
                </w14:textFill>
              </w:rPr>
            </w:pPr>
            <w:r>
              <w:rPr>
                <w:bCs/>
                <w:color w:val="000000" w:themeColor="text1"/>
                <w:sz w:val="20"/>
                <w:szCs w:val="20"/>
                <w14:textFill>
                  <w14:solidFill>
                    <w14:schemeClr w14:val="tx1"/>
                  </w14:solidFill>
                </w14:textFill>
              </w:rPr>
              <w:t>(8)</w:t>
            </w:r>
          </w:p>
        </w:tc>
      </w:tr>
      <w:tr w14:paraId="708C6A30">
        <w:tblPrEx>
          <w:tblCellMar>
            <w:top w:w="0" w:type="dxa"/>
            <w:left w:w="108" w:type="dxa"/>
            <w:bottom w:w="0" w:type="dxa"/>
            <w:right w:w="108" w:type="dxa"/>
          </w:tblCellMar>
        </w:tblPrEx>
        <w:trPr>
          <w:trHeight w:val="315" w:hRule="atLeast"/>
        </w:trPr>
        <w:tc>
          <w:tcPr>
            <w:tcW w:w="747" w:type="dxa"/>
            <w:tcBorders>
              <w:top w:val="nil"/>
              <w:left w:val="single" w:color="auto" w:sz="4" w:space="0"/>
              <w:bottom w:val="single" w:color="auto" w:sz="4" w:space="0"/>
              <w:right w:val="single" w:color="auto" w:sz="4" w:space="0"/>
            </w:tcBorders>
            <w:noWrap/>
            <w:vAlign w:val="center"/>
          </w:tcPr>
          <w:p w14:paraId="708C6A27">
            <w:pPr>
              <w:jc w:val="center"/>
              <w:rPr>
                <w:i/>
                <w:iCs/>
                <w:color w:val="000000" w:themeColor="text1"/>
                <w:sz w:val="20"/>
                <w:szCs w:val="20"/>
                <w14:textFill>
                  <w14:solidFill>
                    <w14:schemeClr w14:val="tx1"/>
                  </w14:solidFill>
                </w14:textFill>
              </w:rPr>
            </w:pPr>
            <w:r>
              <w:rPr>
                <w:i/>
                <w:iCs/>
                <w:color w:val="000000" w:themeColor="text1"/>
                <w:sz w:val="20"/>
                <w:szCs w:val="20"/>
                <w14:textFill>
                  <w14:solidFill>
                    <w14:schemeClr w14:val="tx1"/>
                  </w14:solidFill>
                </w14:textFill>
              </w:rPr>
              <w:t>1</w:t>
            </w:r>
          </w:p>
        </w:tc>
        <w:tc>
          <w:tcPr>
            <w:tcW w:w="1805" w:type="dxa"/>
            <w:tcBorders>
              <w:top w:val="nil"/>
              <w:left w:val="nil"/>
              <w:bottom w:val="single" w:color="auto" w:sz="4" w:space="0"/>
              <w:right w:val="single" w:color="auto" w:sz="4" w:space="0"/>
            </w:tcBorders>
            <w:vAlign w:val="center"/>
          </w:tcPr>
          <w:p w14:paraId="708C6A28">
            <w:pPr>
              <w:rPr>
                <w:i/>
                <w:iCs/>
                <w:color w:val="000000" w:themeColor="text1"/>
                <w:sz w:val="20"/>
                <w:szCs w:val="20"/>
                <w14:textFill>
                  <w14:solidFill>
                    <w14:schemeClr w14:val="tx1"/>
                  </w14:solidFill>
                </w14:textFill>
              </w:rPr>
            </w:pPr>
          </w:p>
        </w:tc>
        <w:tc>
          <w:tcPr>
            <w:tcW w:w="1500" w:type="dxa"/>
            <w:tcBorders>
              <w:top w:val="single" w:color="auto" w:sz="4" w:space="0"/>
              <w:left w:val="nil"/>
              <w:bottom w:val="single" w:color="auto" w:sz="4" w:space="0"/>
              <w:right w:val="single" w:color="auto" w:sz="4" w:space="0"/>
            </w:tcBorders>
          </w:tcPr>
          <w:p w14:paraId="708C6A29">
            <w:pPr>
              <w:jc w:val="center"/>
              <w:rPr>
                <w:b/>
                <w:bCs/>
                <w:color w:val="000000" w:themeColor="text1"/>
                <w:sz w:val="20"/>
                <w:szCs w:val="20"/>
                <w14:textFill>
                  <w14:solidFill>
                    <w14:schemeClr w14:val="tx1"/>
                  </w14:solidFill>
                </w14:textFill>
              </w:rPr>
            </w:pPr>
          </w:p>
        </w:tc>
        <w:tc>
          <w:tcPr>
            <w:tcW w:w="1331" w:type="dxa"/>
            <w:tcBorders>
              <w:top w:val="nil"/>
              <w:left w:val="single" w:color="auto" w:sz="4" w:space="0"/>
              <w:bottom w:val="single" w:color="auto" w:sz="4" w:space="0"/>
              <w:right w:val="single" w:color="auto" w:sz="4" w:space="0"/>
            </w:tcBorders>
            <w:noWrap/>
            <w:vAlign w:val="center"/>
          </w:tcPr>
          <w:p w14:paraId="708C6A2A">
            <w:pPr>
              <w:jc w:val="center"/>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w:t>
            </w:r>
          </w:p>
        </w:tc>
        <w:tc>
          <w:tcPr>
            <w:tcW w:w="1559" w:type="dxa"/>
            <w:tcBorders>
              <w:top w:val="nil"/>
              <w:left w:val="nil"/>
              <w:bottom w:val="single" w:color="auto" w:sz="4" w:space="0"/>
              <w:right w:val="single" w:color="auto" w:sz="4" w:space="0"/>
            </w:tcBorders>
            <w:noWrap/>
            <w:vAlign w:val="center"/>
          </w:tcPr>
          <w:p w14:paraId="708C6A2B">
            <w:pPr>
              <w:jc w:val="center"/>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w:t>
            </w:r>
          </w:p>
        </w:tc>
        <w:tc>
          <w:tcPr>
            <w:tcW w:w="1988" w:type="dxa"/>
            <w:tcBorders>
              <w:top w:val="single" w:color="auto" w:sz="4" w:space="0"/>
              <w:left w:val="nil"/>
              <w:bottom w:val="single" w:color="auto" w:sz="4" w:space="0"/>
              <w:right w:val="single" w:color="auto" w:sz="4" w:space="0"/>
            </w:tcBorders>
          </w:tcPr>
          <w:p w14:paraId="708C6A2C">
            <w:pPr>
              <w:jc w:val="center"/>
              <w:rPr>
                <w:b/>
                <w:bCs/>
                <w:color w:val="000000" w:themeColor="text1"/>
                <w:sz w:val="20"/>
                <w:szCs w:val="20"/>
                <w14:textFill>
                  <w14:solidFill>
                    <w14:schemeClr w14:val="tx1"/>
                  </w14:solidFill>
                </w14:textFill>
              </w:rPr>
            </w:pPr>
          </w:p>
        </w:tc>
        <w:tc>
          <w:tcPr>
            <w:tcW w:w="2126" w:type="dxa"/>
            <w:tcBorders>
              <w:top w:val="nil"/>
              <w:left w:val="single" w:color="auto" w:sz="4" w:space="0"/>
              <w:bottom w:val="single" w:color="auto" w:sz="4" w:space="0"/>
              <w:right w:val="single" w:color="auto" w:sz="4" w:space="0"/>
            </w:tcBorders>
          </w:tcPr>
          <w:p w14:paraId="708C6A2D">
            <w:pPr>
              <w:jc w:val="center"/>
              <w:rPr>
                <w:b/>
                <w:bCs/>
                <w:color w:val="000000" w:themeColor="text1"/>
                <w:sz w:val="20"/>
                <w:szCs w:val="20"/>
                <w14:textFill>
                  <w14:solidFill>
                    <w14:schemeClr w14:val="tx1"/>
                  </w14:solidFill>
                </w14:textFill>
              </w:rPr>
            </w:pPr>
          </w:p>
        </w:tc>
        <w:tc>
          <w:tcPr>
            <w:tcW w:w="1666" w:type="dxa"/>
            <w:tcBorders>
              <w:top w:val="nil"/>
              <w:left w:val="single" w:color="auto" w:sz="4" w:space="0"/>
              <w:bottom w:val="single" w:color="auto" w:sz="4" w:space="0"/>
              <w:right w:val="single" w:color="auto" w:sz="4" w:space="0"/>
            </w:tcBorders>
            <w:noWrap/>
            <w:vAlign w:val="center"/>
          </w:tcPr>
          <w:p w14:paraId="708C6A2E">
            <w:pPr>
              <w:jc w:val="center"/>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w:t>
            </w:r>
          </w:p>
        </w:tc>
        <w:tc>
          <w:tcPr>
            <w:tcW w:w="1985" w:type="dxa"/>
            <w:gridSpan w:val="3"/>
            <w:tcBorders>
              <w:top w:val="nil"/>
              <w:left w:val="nil"/>
              <w:bottom w:val="single" w:color="auto" w:sz="4" w:space="0"/>
              <w:right w:val="single" w:color="auto" w:sz="4" w:space="0"/>
            </w:tcBorders>
            <w:noWrap/>
            <w:vAlign w:val="center"/>
          </w:tcPr>
          <w:p w14:paraId="708C6A2F">
            <w:pPr>
              <w:jc w:val="center"/>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w:t>
            </w:r>
          </w:p>
        </w:tc>
      </w:tr>
      <w:tr w14:paraId="708C6A3A">
        <w:tblPrEx>
          <w:tblCellMar>
            <w:top w:w="0" w:type="dxa"/>
            <w:left w:w="108" w:type="dxa"/>
            <w:bottom w:w="0" w:type="dxa"/>
            <w:right w:w="108" w:type="dxa"/>
          </w:tblCellMar>
        </w:tblPrEx>
        <w:trPr>
          <w:trHeight w:val="315" w:hRule="atLeast"/>
        </w:trPr>
        <w:tc>
          <w:tcPr>
            <w:tcW w:w="747" w:type="dxa"/>
            <w:tcBorders>
              <w:top w:val="nil"/>
              <w:left w:val="single" w:color="auto" w:sz="4" w:space="0"/>
              <w:bottom w:val="single" w:color="auto" w:sz="4" w:space="0"/>
              <w:right w:val="single" w:color="auto" w:sz="4" w:space="0"/>
            </w:tcBorders>
            <w:noWrap/>
            <w:vAlign w:val="center"/>
          </w:tcPr>
          <w:p w14:paraId="708C6A31">
            <w:pPr>
              <w:jc w:val="center"/>
              <w:rPr>
                <w:i/>
                <w:iCs/>
                <w:color w:val="000000" w:themeColor="text1"/>
                <w:sz w:val="20"/>
                <w:szCs w:val="20"/>
                <w14:textFill>
                  <w14:solidFill>
                    <w14:schemeClr w14:val="tx1"/>
                  </w14:solidFill>
                </w14:textFill>
              </w:rPr>
            </w:pPr>
            <w:r>
              <w:rPr>
                <w:i/>
                <w:iCs/>
                <w:color w:val="000000" w:themeColor="text1"/>
                <w:sz w:val="20"/>
                <w:szCs w:val="20"/>
                <w14:textFill>
                  <w14:solidFill>
                    <w14:schemeClr w14:val="tx1"/>
                  </w14:solidFill>
                </w14:textFill>
              </w:rPr>
              <w:t>2</w:t>
            </w:r>
          </w:p>
        </w:tc>
        <w:tc>
          <w:tcPr>
            <w:tcW w:w="1805" w:type="dxa"/>
            <w:tcBorders>
              <w:top w:val="nil"/>
              <w:left w:val="nil"/>
              <w:bottom w:val="single" w:color="auto" w:sz="4" w:space="0"/>
              <w:right w:val="single" w:color="auto" w:sz="4" w:space="0"/>
            </w:tcBorders>
            <w:vAlign w:val="center"/>
          </w:tcPr>
          <w:p w14:paraId="708C6A32">
            <w:pPr>
              <w:rPr>
                <w:i/>
                <w:iCs/>
                <w:color w:val="000000" w:themeColor="text1"/>
                <w:sz w:val="20"/>
                <w:szCs w:val="20"/>
                <w14:textFill>
                  <w14:solidFill>
                    <w14:schemeClr w14:val="tx1"/>
                  </w14:solidFill>
                </w14:textFill>
              </w:rPr>
            </w:pPr>
          </w:p>
        </w:tc>
        <w:tc>
          <w:tcPr>
            <w:tcW w:w="1500" w:type="dxa"/>
            <w:tcBorders>
              <w:top w:val="single" w:color="auto" w:sz="4" w:space="0"/>
              <w:left w:val="nil"/>
              <w:bottom w:val="single" w:color="auto" w:sz="4" w:space="0"/>
              <w:right w:val="single" w:color="auto" w:sz="4" w:space="0"/>
            </w:tcBorders>
          </w:tcPr>
          <w:p w14:paraId="708C6A33">
            <w:pPr>
              <w:jc w:val="center"/>
              <w:rPr>
                <w:b/>
                <w:bCs/>
                <w:color w:val="000000" w:themeColor="text1"/>
                <w:sz w:val="20"/>
                <w:szCs w:val="20"/>
                <w14:textFill>
                  <w14:solidFill>
                    <w14:schemeClr w14:val="tx1"/>
                  </w14:solidFill>
                </w14:textFill>
              </w:rPr>
            </w:pPr>
          </w:p>
        </w:tc>
        <w:tc>
          <w:tcPr>
            <w:tcW w:w="1331" w:type="dxa"/>
            <w:tcBorders>
              <w:top w:val="nil"/>
              <w:left w:val="single" w:color="auto" w:sz="4" w:space="0"/>
              <w:bottom w:val="single" w:color="auto" w:sz="4" w:space="0"/>
              <w:right w:val="single" w:color="auto" w:sz="4" w:space="0"/>
            </w:tcBorders>
            <w:noWrap/>
            <w:vAlign w:val="center"/>
          </w:tcPr>
          <w:p w14:paraId="708C6A34">
            <w:pPr>
              <w:jc w:val="center"/>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w:t>
            </w:r>
          </w:p>
        </w:tc>
        <w:tc>
          <w:tcPr>
            <w:tcW w:w="1559" w:type="dxa"/>
            <w:tcBorders>
              <w:top w:val="nil"/>
              <w:left w:val="nil"/>
              <w:bottom w:val="single" w:color="auto" w:sz="4" w:space="0"/>
              <w:right w:val="single" w:color="auto" w:sz="4" w:space="0"/>
            </w:tcBorders>
            <w:noWrap/>
            <w:vAlign w:val="center"/>
          </w:tcPr>
          <w:p w14:paraId="708C6A35">
            <w:pPr>
              <w:jc w:val="center"/>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w:t>
            </w:r>
          </w:p>
        </w:tc>
        <w:tc>
          <w:tcPr>
            <w:tcW w:w="1988" w:type="dxa"/>
            <w:tcBorders>
              <w:top w:val="single" w:color="auto" w:sz="4" w:space="0"/>
              <w:left w:val="nil"/>
              <w:bottom w:val="single" w:color="auto" w:sz="4" w:space="0"/>
              <w:right w:val="single" w:color="auto" w:sz="4" w:space="0"/>
            </w:tcBorders>
          </w:tcPr>
          <w:p w14:paraId="708C6A36">
            <w:pPr>
              <w:jc w:val="center"/>
              <w:rPr>
                <w:b/>
                <w:bCs/>
                <w:color w:val="000000" w:themeColor="text1"/>
                <w:sz w:val="20"/>
                <w:szCs w:val="20"/>
                <w14:textFill>
                  <w14:solidFill>
                    <w14:schemeClr w14:val="tx1"/>
                  </w14:solidFill>
                </w14:textFill>
              </w:rPr>
            </w:pPr>
          </w:p>
        </w:tc>
        <w:tc>
          <w:tcPr>
            <w:tcW w:w="2126" w:type="dxa"/>
            <w:tcBorders>
              <w:top w:val="nil"/>
              <w:left w:val="single" w:color="auto" w:sz="4" w:space="0"/>
              <w:bottom w:val="single" w:color="auto" w:sz="4" w:space="0"/>
              <w:right w:val="single" w:color="auto" w:sz="4" w:space="0"/>
            </w:tcBorders>
          </w:tcPr>
          <w:p w14:paraId="708C6A37">
            <w:pPr>
              <w:jc w:val="center"/>
              <w:rPr>
                <w:b/>
                <w:bCs/>
                <w:color w:val="000000" w:themeColor="text1"/>
                <w:sz w:val="20"/>
                <w:szCs w:val="20"/>
                <w14:textFill>
                  <w14:solidFill>
                    <w14:schemeClr w14:val="tx1"/>
                  </w14:solidFill>
                </w14:textFill>
              </w:rPr>
            </w:pPr>
          </w:p>
        </w:tc>
        <w:tc>
          <w:tcPr>
            <w:tcW w:w="1666" w:type="dxa"/>
            <w:tcBorders>
              <w:top w:val="nil"/>
              <w:left w:val="single" w:color="auto" w:sz="4" w:space="0"/>
              <w:bottom w:val="single" w:color="auto" w:sz="4" w:space="0"/>
              <w:right w:val="single" w:color="auto" w:sz="4" w:space="0"/>
            </w:tcBorders>
            <w:noWrap/>
            <w:vAlign w:val="center"/>
          </w:tcPr>
          <w:p w14:paraId="708C6A38">
            <w:pPr>
              <w:jc w:val="center"/>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w:t>
            </w:r>
          </w:p>
        </w:tc>
        <w:tc>
          <w:tcPr>
            <w:tcW w:w="1985" w:type="dxa"/>
            <w:gridSpan w:val="3"/>
            <w:tcBorders>
              <w:top w:val="nil"/>
              <w:left w:val="nil"/>
              <w:bottom w:val="single" w:color="auto" w:sz="4" w:space="0"/>
              <w:right w:val="single" w:color="auto" w:sz="4" w:space="0"/>
            </w:tcBorders>
            <w:noWrap/>
            <w:vAlign w:val="center"/>
          </w:tcPr>
          <w:p w14:paraId="708C6A39">
            <w:pPr>
              <w:jc w:val="center"/>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w:t>
            </w:r>
          </w:p>
        </w:tc>
      </w:tr>
      <w:tr w14:paraId="708C6A44">
        <w:tblPrEx>
          <w:tblCellMar>
            <w:top w:w="0" w:type="dxa"/>
            <w:left w:w="108" w:type="dxa"/>
            <w:bottom w:w="0" w:type="dxa"/>
            <w:right w:w="108" w:type="dxa"/>
          </w:tblCellMar>
        </w:tblPrEx>
        <w:trPr>
          <w:trHeight w:val="315" w:hRule="atLeast"/>
        </w:trPr>
        <w:tc>
          <w:tcPr>
            <w:tcW w:w="747" w:type="dxa"/>
            <w:tcBorders>
              <w:top w:val="nil"/>
              <w:left w:val="single" w:color="auto" w:sz="4" w:space="0"/>
              <w:bottom w:val="single" w:color="auto" w:sz="4" w:space="0"/>
              <w:right w:val="single" w:color="auto" w:sz="4" w:space="0"/>
            </w:tcBorders>
            <w:noWrap/>
            <w:vAlign w:val="center"/>
          </w:tcPr>
          <w:p w14:paraId="708C6A3B">
            <w:pPr>
              <w:jc w:val="center"/>
              <w:rPr>
                <w:i/>
                <w:iCs/>
                <w:color w:val="000000" w:themeColor="text1"/>
                <w:sz w:val="20"/>
                <w:szCs w:val="20"/>
                <w14:textFill>
                  <w14:solidFill>
                    <w14:schemeClr w14:val="tx1"/>
                  </w14:solidFill>
                </w14:textFill>
              </w:rPr>
            </w:pPr>
            <w:r>
              <w:rPr>
                <w:i/>
                <w:iCs/>
                <w:color w:val="000000" w:themeColor="text1"/>
                <w:sz w:val="20"/>
                <w:szCs w:val="20"/>
                <w14:textFill>
                  <w14:solidFill>
                    <w14:schemeClr w14:val="tx1"/>
                  </w14:solidFill>
                </w14:textFill>
              </w:rPr>
              <w:t>…</w:t>
            </w:r>
          </w:p>
        </w:tc>
        <w:tc>
          <w:tcPr>
            <w:tcW w:w="1805" w:type="dxa"/>
            <w:tcBorders>
              <w:top w:val="nil"/>
              <w:left w:val="nil"/>
              <w:bottom w:val="single" w:color="auto" w:sz="4" w:space="0"/>
              <w:right w:val="single" w:color="auto" w:sz="4" w:space="0"/>
            </w:tcBorders>
            <w:vAlign w:val="center"/>
          </w:tcPr>
          <w:p w14:paraId="708C6A3C">
            <w:pPr>
              <w:rPr>
                <w:i/>
                <w:iCs/>
                <w:color w:val="000000" w:themeColor="text1"/>
                <w:sz w:val="20"/>
                <w:szCs w:val="20"/>
                <w14:textFill>
                  <w14:solidFill>
                    <w14:schemeClr w14:val="tx1"/>
                  </w14:solidFill>
                </w14:textFill>
              </w:rPr>
            </w:pPr>
          </w:p>
        </w:tc>
        <w:tc>
          <w:tcPr>
            <w:tcW w:w="1500" w:type="dxa"/>
            <w:tcBorders>
              <w:top w:val="single" w:color="auto" w:sz="4" w:space="0"/>
              <w:left w:val="nil"/>
              <w:bottom w:val="single" w:color="auto" w:sz="4" w:space="0"/>
              <w:right w:val="single" w:color="auto" w:sz="4" w:space="0"/>
            </w:tcBorders>
          </w:tcPr>
          <w:p w14:paraId="708C6A3D">
            <w:pPr>
              <w:jc w:val="center"/>
              <w:rPr>
                <w:b/>
                <w:bCs/>
                <w:color w:val="000000" w:themeColor="text1"/>
                <w:sz w:val="20"/>
                <w:szCs w:val="20"/>
                <w14:textFill>
                  <w14:solidFill>
                    <w14:schemeClr w14:val="tx1"/>
                  </w14:solidFill>
                </w14:textFill>
              </w:rPr>
            </w:pPr>
          </w:p>
        </w:tc>
        <w:tc>
          <w:tcPr>
            <w:tcW w:w="1331" w:type="dxa"/>
            <w:tcBorders>
              <w:top w:val="nil"/>
              <w:left w:val="single" w:color="auto" w:sz="4" w:space="0"/>
              <w:bottom w:val="single" w:color="auto" w:sz="4" w:space="0"/>
              <w:right w:val="single" w:color="auto" w:sz="4" w:space="0"/>
            </w:tcBorders>
            <w:noWrap/>
            <w:vAlign w:val="center"/>
          </w:tcPr>
          <w:p w14:paraId="708C6A3E">
            <w:pPr>
              <w:jc w:val="center"/>
              <w:rPr>
                <w:b/>
                <w:bCs/>
                <w:color w:val="000000" w:themeColor="text1"/>
                <w:sz w:val="20"/>
                <w:szCs w:val="20"/>
                <w14:textFill>
                  <w14:solidFill>
                    <w14:schemeClr w14:val="tx1"/>
                  </w14:solidFill>
                </w14:textFill>
              </w:rPr>
            </w:pPr>
          </w:p>
        </w:tc>
        <w:tc>
          <w:tcPr>
            <w:tcW w:w="1559" w:type="dxa"/>
            <w:tcBorders>
              <w:top w:val="nil"/>
              <w:left w:val="nil"/>
              <w:bottom w:val="single" w:color="auto" w:sz="4" w:space="0"/>
              <w:right w:val="single" w:color="auto" w:sz="4" w:space="0"/>
            </w:tcBorders>
            <w:noWrap/>
            <w:vAlign w:val="center"/>
          </w:tcPr>
          <w:p w14:paraId="708C6A3F">
            <w:pPr>
              <w:jc w:val="center"/>
              <w:rPr>
                <w:b/>
                <w:bCs/>
                <w:color w:val="000000" w:themeColor="text1"/>
                <w:sz w:val="20"/>
                <w:szCs w:val="20"/>
                <w14:textFill>
                  <w14:solidFill>
                    <w14:schemeClr w14:val="tx1"/>
                  </w14:solidFill>
                </w14:textFill>
              </w:rPr>
            </w:pPr>
          </w:p>
        </w:tc>
        <w:tc>
          <w:tcPr>
            <w:tcW w:w="1988" w:type="dxa"/>
            <w:tcBorders>
              <w:top w:val="single" w:color="auto" w:sz="4" w:space="0"/>
              <w:left w:val="nil"/>
              <w:bottom w:val="single" w:color="auto" w:sz="4" w:space="0"/>
              <w:right w:val="single" w:color="auto" w:sz="4" w:space="0"/>
            </w:tcBorders>
          </w:tcPr>
          <w:p w14:paraId="708C6A40">
            <w:pPr>
              <w:jc w:val="center"/>
              <w:rPr>
                <w:b/>
                <w:bCs/>
                <w:color w:val="000000" w:themeColor="text1"/>
                <w:sz w:val="20"/>
                <w:szCs w:val="20"/>
                <w14:textFill>
                  <w14:solidFill>
                    <w14:schemeClr w14:val="tx1"/>
                  </w14:solidFill>
                </w14:textFill>
              </w:rPr>
            </w:pPr>
          </w:p>
        </w:tc>
        <w:tc>
          <w:tcPr>
            <w:tcW w:w="2126" w:type="dxa"/>
            <w:tcBorders>
              <w:top w:val="nil"/>
              <w:left w:val="single" w:color="auto" w:sz="4" w:space="0"/>
              <w:bottom w:val="single" w:color="auto" w:sz="4" w:space="0"/>
              <w:right w:val="single" w:color="auto" w:sz="4" w:space="0"/>
            </w:tcBorders>
          </w:tcPr>
          <w:p w14:paraId="708C6A41">
            <w:pPr>
              <w:jc w:val="center"/>
              <w:rPr>
                <w:b/>
                <w:bCs/>
                <w:color w:val="000000" w:themeColor="text1"/>
                <w:sz w:val="20"/>
                <w:szCs w:val="20"/>
                <w14:textFill>
                  <w14:solidFill>
                    <w14:schemeClr w14:val="tx1"/>
                  </w14:solidFill>
                </w14:textFill>
              </w:rPr>
            </w:pPr>
          </w:p>
        </w:tc>
        <w:tc>
          <w:tcPr>
            <w:tcW w:w="1666" w:type="dxa"/>
            <w:tcBorders>
              <w:top w:val="nil"/>
              <w:left w:val="single" w:color="auto" w:sz="4" w:space="0"/>
              <w:bottom w:val="single" w:color="auto" w:sz="4" w:space="0"/>
              <w:right w:val="single" w:color="auto" w:sz="4" w:space="0"/>
            </w:tcBorders>
            <w:noWrap/>
            <w:vAlign w:val="center"/>
          </w:tcPr>
          <w:p w14:paraId="708C6A42">
            <w:pPr>
              <w:jc w:val="center"/>
              <w:rPr>
                <w:b/>
                <w:bCs/>
                <w:color w:val="000000" w:themeColor="text1"/>
                <w:sz w:val="20"/>
                <w:szCs w:val="20"/>
                <w14:textFill>
                  <w14:solidFill>
                    <w14:schemeClr w14:val="tx1"/>
                  </w14:solidFill>
                </w14:textFill>
              </w:rPr>
            </w:pPr>
          </w:p>
        </w:tc>
        <w:tc>
          <w:tcPr>
            <w:tcW w:w="1985" w:type="dxa"/>
            <w:gridSpan w:val="3"/>
            <w:tcBorders>
              <w:top w:val="nil"/>
              <w:left w:val="nil"/>
              <w:bottom w:val="single" w:color="auto" w:sz="4" w:space="0"/>
              <w:right w:val="single" w:color="auto" w:sz="4" w:space="0"/>
            </w:tcBorders>
            <w:noWrap/>
            <w:vAlign w:val="center"/>
          </w:tcPr>
          <w:p w14:paraId="708C6A43">
            <w:pPr>
              <w:jc w:val="center"/>
              <w:rPr>
                <w:b/>
                <w:bCs/>
                <w:color w:val="000000" w:themeColor="text1"/>
                <w:sz w:val="20"/>
                <w:szCs w:val="20"/>
                <w14:textFill>
                  <w14:solidFill>
                    <w14:schemeClr w14:val="tx1"/>
                  </w14:solidFill>
                </w14:textFill>
              </w:rPr>
            </w:pPr>
          </w:p>
        </w:tc>
      </w:tr>
      <w:tr w14:paraId="708C6A4E">
        <w:tblPrEx>
          <w:tblCellMar>
            <w:top w:w="0" w:type="dxa"/>
            <w:left w:w="108" w:type="dxa"/>
            <w:bottom w:w="0" w:type="dxa"/>
            <w:right w:w="108" w:type="dxa"/>
          </w:tblCellMar>
        </w:tblPrEx>
        <w:trPr>
          <w:trHeight w:val="315" w:hRule="atLeast"/>
        </w:trPr>
        <w:tc>
          <w:tcPr>
            <w:tcW w:w="747" w:type="dxa"/>
            <w:tcBorders>
              <w:top w:val="nil"/>
              <w:left w:val="single" w:color="auto" w:sz="4" w:space="0"/>
              <w:bottom w:val="single" w:color="auto" w:sz="4" w:space="0"/>
              <w:right w:val="single" w:color="auto" w:sz="4" w:space="0"/>
            </w:tcBorders>
            <w:noWrap/>
            <w:vAlign w:val="center"/>
          </w:tcPr>
          <w:p w14:paraId="708C6A45">
            <w:pPr>
              <w:jc w:val="center"/>
              <w:rPr>
                <w:i/>
                <w:iCs/>
                <w:color w:val="000000" w:themeColor="text1"/>
                <w:sz w:val="20"/>
                <w:szCs w:val="20"/>
                <w14:textFill>
                  <w14:solidFill>
                    <w14:schemeClr w14:val="tx1"/>
                  </w14:solidFill>
                </w14:textFill>
              </w:rPr>
            </w:pPr>
            <w:r>
              <w:rPr>
                <w:i/>
                <w:iCs/>
                <w:color w:val="000000" w:themeColor="text1"/>
                <w:sz w:val="20"/>
                <w:szCs w:val="20"/>
                <w14:textFill>
                  <w14:solidFill>
                    <w14:schemeClr w14:val="tx1"/>
                  </w14:solidFill>
                </w14:textFill>
              </w:rPr>
              <w:t>n</w:t>
            </w:r>
          </w:p>
        </w:tc>
        <w:tc>
          <w:tcPr>
            <w:tcW w:w="1805" w:type="dxa"/>
            <w:tcBorders>
              <w:top w:val="nil"/>
              <w:left w:val="nil"/>
              <w:bottom w:val="single" w:color="auto" w:sz="4" w:space="0"/>
              <w:right w:val="single" w:color="auto" w:sz="4" w:space="0"/>
            </w:tcBorders>
            <w:vAlign w:val="center"/>
          </w:tcPr>
          <w:p w14:paraId="708C6A46">
            <w:pPr>
              <w:rPr>
                <w:i/>
                <w:iCs/>
                <w:color w:val="000000" w:themeColor="text1"/>
                <w:sz w:val="20"/>
                <w:szCs w:val="20"/>
                <w14:textFill>
                  <w14:solidFill>
                    <w14:schemeClr w14:val="tx1"/>
                  </w14:solidFill>
                </w14:textFill>
              </w:rPr>
            </w:pPr>
          </w:p>
        </w:tc>
        <w:tc>
          <w:tcPr>
            <w:tcW w:w="1500" w:type="dxa"/>
            <w:tcBorders>
              <w:top w:val="single" w:color="auto" w:sz="4" w:space="0"/>
              <w:left w:val="nil"/>
              <w:bottom w:val="single" w:color="auto" w:sz="4" w:space="0"/>
              <w:right w:val="single" w:color="auto" w:sz="4" w:space="0"/>
            </w:tcBorders>
          </w:tcPr>
          <w:p w14:paraId="708C6A47">
            <w:pPr>
              <w:jc w:val="center"/>
              <w:rPr>
                <w:b/>
                <w:bCs/>
                <w:color w:val="000000" w:themeColor="text1"/>
                <w:sz w:val="20"/>
                <w:szCs w:val="20"/>
                <w14:textFill>
                  <w14:solidFill>
                    <w14:schemeClr w14:val="tx1"/>
                  </w14:solidFill>
                </w14:textFill>
              </w:rPr>
            </w:pPr>
          </w:p>
        </w:tc>
        <w:tc>
          <w:tcPr>
            <w:tcW w:w="1331" w:type="dxa"/>
            <w:tcBorders>
              <w:top w:val="nil"/>
              <w:left w:val="single" w:color="auto" w:sz="4" w:space="0"/>
              <w:bottom w:val="single" w:color="auto" w:sz="4" w:space="0"/>
              <w:right w:val="single" w:color="auto" w:sz="4" w:space="0"/>
            </w:tcBorders>
            <w:noWrap/>
            <w:vAlign w:val="center"/>
          </w:tcPr>
          <w:p w14:paraId="708C6A48">
            <w:pPr>
              <w:jc w:val="center"/>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w:t>
            </w:r>
          </w:p>
        </w:tc>
        <w:tc>
          <w:tcPr>
            <w:tcW w:w="1559" w:type="dxa"/>
            <w:tcBorders>
              <w:top w:val="nil"/>
              <w:left w:val="nil"/>
              <w:bottom w:val="single" w:color="auto" w:sz="4" w:space="0"/>
              <w:right w:val="single" w:color="auto" w:sz="4" w:space="0"/>
            </w:tcBorders>
            <w:noWrap/>
            <w:vAlign w:val="center"/>
          </w:tcPr>
          <w:p w14:paraId="708C6A49">
            <w:pPr>
              <w:jc w:val="center"/>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w:t>
            </w:r>
          </w:p>
        </w:tc>
        <w:tc>
          <w:tcPr>
            <w:tcW w:w="1988" w:type="dxa"/>
            <w:tcBorders>
              <w:top w:val="single" w:color="auto" w:sz="4" w:space="0"/>
              <w:left w:val="nil"/>
              <w:bottom w:val="single" w:color="auto" w:sz="4" w:space="0"/>
              <w:right w:val="single" w:color="auto" w:sz="4" w:space="0"/>
            </w:tcBorders>
          </w:tcPr>
          <w:p w14:paraId="708C6A4A">
            <w:pPr>
              <w:jc w:val="center"/>
              <w:rPr>
                <w:b/>
                <w:bCs/>
                <w:color w:val="000000" w:themeColor="text1"/>
                <w:sz w:val="20"/>
                <w:szCs w:val="20"/>
                <w14:textFill>
                  <w14:solidFill>
                    <w14:schemeClr w14:val="tx1"/>
                  </w14:solidFill>
                </w14:textFill>
              </w:rPr>
            </w:pPr>
          </w:p>
        </w:tc>
        <w:tc>
          <w:tcPr>
            <w:tcW w:w="2126" w:type="dxa"/>
            <w:tcBorders>
              <w:top w:val="nil"/>
              <w:left w:val="single" w:color="auto" w:sz="4" w:space="0"/>
              <w:bottom w:val="single" w:color="auto" w:sz="4" w:space="0"/>
              <w:right w:val="single" w:color="auto" w:sz="4" w:space="0"/>
            </w:tcBorders>
          </w:tcPr>
          <w:p w14:paraId="708C6A4B">
            <w:pPr>
              <w:jc w:val="center"/>
              <w:rPr>
                <w:b/>
                <w:bCs/>
                <w:color w:val="000000" w:themeColor="text1"/>
                <w:sz w:val="20"/>
                <w:szCs w:val="20"/>
                <w14:textFill>
                  <w14:solidFill>
                    <w14:schemeClr w14:val="tx1"/>
                  </w14:solidFill>
                </w14:textFill>
              </w:rPr>
            </w:pPr>
          </w:p>
        </w:tc>
        <w:tc>
          <w:tcPr>
            <w:tcW w:w="1666" w:type="dxa"/>
            <w:tcBorders>
              <w:top w:val="nil"/>
              <w:left w:val="single" w:color="auto" w:sz="4" w:space="0"/>
              <w:bottom w:val="single" w:color="auto" w:sz="4" w:space="0"/>
              <w:right w:val="single" w:color="auto" w:sz="4" w:space="0"/>
            </w:tcBorders>
            <w:noWrap/>
            <w:vAlign w:val="center"/>
          </w:tcPr>
          <w:p w14:paraId="708C6A4C">
            <w:pPr>
              <w:jc w:val="center"/>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w:t>
            </w:r>
          </w:p>
        </w:tc>
        <w:tc>
          <w:tcPr>
            <w:tcW w:w="1985" w:type="dxa"/>
            <w:gridSpan w:val="3"/>
            <w:tcBorders>
              <w:top w:val="nil"/>
              <w:left w:val="nil"/>
              <w:bottom w:val="single" w:color="auto" w:sz="4" w:space="0"/>
              <w:right w:val="single" w:color="auto" w:sz="4" w:space="0"/>
            </w:tcBorders>
            <w:noWrap/>
            <w:vAlign w:val="center"/>
          </w:tcPr>
          <w:p w14:paraId="708C6A4D">
            <w:pPr>
              <w:jc w:val="center"/>
              <w:rPr>
                <w:b/>
                <w:bCs/>
                <w:color w:val="000000" w:themeColor="text1"/>
                <w:sz w:val="20"/>
                <w:szCs w:val="20"/>
                <w14:textFill>
                  <w14:solidFill>
                    <w14:schemeClr w14:val="tx1"/>
                  </w14:solidFill>
                </w14:textFill>
              </w:rPr>
            </w:pPr>
            <w:r>
              <w:rPr>
                <w:b/>
                <w:bCs/>
                <w:color w:val="000000" w:themeColor="text1"/>
                <w:sz w:val="20"/>
                <w:szCs w:val="20"/>
                <w14:textFill>
                  <w14:solidFill>
                    <w14:schemeClr w14:val="tx1"/>
                  </w14:solidFill>
                </w14:textFill>
              </w:rPr>
              <w:t>□</w:t>
            </w:r>
          </w:p>
        </w:tc>
      </w:tr>
    </w:tbl>
    <w:p w14:paraId="708C6A4F">
      <w:pPr>
        <w:pStyle w:val="15"/>
        <w:widowControl w:val="0"/>
        <w:shd w:val="clear" w:color="auto" w:fill="FFFFFF"/>
        <w:spacing w:before="120" w:line="264" w:lineRule="auto"/>
        <w:ind w:firstLine="567"/>
        <w:jc w:val="right"/>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Legal representative of the Bidder</w:t>
      </w:r>
    </w:p>
    <w:p w14:paraId="708C6A50">
      <w:pPr>
        <w:pStyle w:val="15"/>
        <w:widowControl w:val="0"/>
        <w:shd w:val="clear" w:color="auto" w:fill="FFFFFF"/>
        <w:spacing w:before="120" w:line="264" w:lineRule="auto"/>
        <w:ind w:firstLine="567"/>
        <w:jc w:val="right"/>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(Full name, position, signature and seal)</w:t>
      </w:r>
    </w:p>
    <w:p w14:paraId="708C6A51">
      <w:pP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Note:</w:t>
      </w:r>
    </w:p>
    <w:p w14:paraId="708C6A52">
      <w:pPr>
        <w:shd w:val="clear" w:color="auto" w:fill="FFFFFF"/>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 xml:space="preserve">(7), (8): For goods with a domestic production cost of 30% or more, the Bidder chooses to declare the cost of domestic production according to Form 7(a1) (in case of </w:t>
      </w:r>
      <w:r>
        <w:rPr>
          <w:bCs/>
          <w:iCs/>
          <w:color w:val="000000" w:themeColor="text1"/>
          <w:sz w:val="26"/>
          <w:szCs w:val="26"/>
          <w14:textFill>
            <w14:solidFill>
              <w14:schemeClr w14:val="tx1"/>
            </w14:solidFill>
          </w14:textFill>
        </w:rPr>
        <w:t>declaration of</w:t>
      </w:r>
      <w:r>
        <w:rPr>
          <w:bCs/>
          <w:i/>
          <w:color w:val="000000" w:themeColor="text1"/>
          <w:sz w:val="26"/>
          <w:szCs w:val="26"/>
          <w14:textFill>
            <w14:solidFill>
              <w14:schemeClr w14:val="tx1"/>
            </w14:solidFill>
          </w14:textFill>
        </w:rPr>
        <w:t xml:space="preserve"> </w:t>
      </w:r>
      <w:r>
        <w:rPr>
          <w:color w:val="000000" w:themeColor="text1"/>
          <w:sz w:val="26"/>
          <w:szCs w:val="26"/>
          <w14:textFill>
            <w14:solidFill>
              <w14:schemeClr w14:val="tx1"/>
            </w14:solidFill>
          </w14:textFill>
        </w:rPr>
        <w:t>imported costs) or Form 7(a2) (in case of declaration of production costs in Vietnam).</w:t>
      </w:r>
    </w:p>
    <w:p w14:paraId="708C6A53">
      <w:pPr>
        <w:shd w:val="clear" w:color="auto" w:fill="FFFFFF"/>
        <w:jc w:val="right"/>
        <w:rPr>
          <w:b/>
          <w:color w:val="000000" w:themeColor="text1"/>
          <w:sz w:val="26"/>
          <w:szCs w:val="26"/>
          <w14:textFill>
            <w14:solidFill>
              <w14:schemeClr w14:val="tx1"/>
            </w14:solidFill>
          </w14:textFill>
        </w:rPr>
      </w:pPr>
    </w:p>
    <w:p w14:paraId="708C6A54">
      <w:pPr>
        <w:shd w:val="clear" w:color="auto" w:fill="FFFFFF"/>
        <w:jc w:val="right"/>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Form 7(a1)</w:t>
      </w:r>
    </w:p>
    <w:p w14:paraId="708C6A55">
      <w:pPr>
        <w:ind w:firstLine="567"/>
        <w:jc w:val="center"/>
        <w:rPr>
          <w:bCs/>
          <w:i/>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xml:space="preserve">LIST OF DECLARATION OF DOMESTIC PRODUCTION COSTS FOR </w:t>
      </w:r>
      <w:r>
        <w:rPr>
          <w:b/>
          <w:color w:val="000000" w:themeColor="text1"/>
          <w:sz w:val="26"/>
          <w:szCs w:val="26"/>
          <w14:textFill>
            <w14:solidFill>
              <w14:schemeClr w14:val="tx1"/>
            </w14:solidFill>
          </w14:textFill>
        </w:rPr>
        <w:t>PREFERENTIAL</w:t>
      </w:r>
      <w:r>
        <w:rPr>
          <w:b/>
          <w:bCs/>
          <w:color w:val="000000" w:themeColor="text1"/>
          <w:sz w:val="26"/>
          <w:szCs w:val="26"/>
          <w14:textFill>
            <w14:solidFill>
              <w14:schemeClr w14:val="tx1"/>
            </w14:solidFill>
          </w14:textFill>
        </w:rPr>
        <w:t xml:space="preserve"> GOODS</w:t>
      </w:r>
      <w:r>
        <w:rPr>
          <w:bCs/>
          <w:i/>
          <w:color w:val="000000" w:themeColor="text1"/>
          <w:sz w:val="26"/>
          <w:szCs w:val="26"/>
          <w14:textFill>
            <w14:solidFill>
              <w14:schemeClr w14:val="tx1"/>
            </w14:solidFill>
          </w14:textFill>
        </w:rPr>
        <w:t xml:space="preserve"> </w:t>
      </w:r>
    </w:p>
    <w:p w14:paraId="708C6A56">
      <w:pPr>
        <w:ind w:firstLine="567"/>
        <w:jc w:val="center"/>
        <w:rPr>
          <w:color w:val="000000" w:themeColor="text1"/>
          <w:sz w:val="26"/>
          <w:szCs w:val="26"/>
          <w14:textFill>
            <w14:solidFill>
              <w14:schemeClr w14:val="tx1"/>
            </w14:solidFill>
          </w14:textFill>
        </w:rPr>
      </w:pPr>
      <w:r>
        <w:rPr>
          <w:bCs/>
          <w:i/>
          <w:color w:val="000000" w:themeColor="text1"/>
          <w:sz w:val="26"/>
          <w:szCs w:val="26"/>
          <w14:textFill>
            <w14:solidFill>
              <w14:schemeClr w14:val="tx1"/>
            </w14:solidFill>
          </w14:textFill>
        </w:rPr>
        <w:t>(in case of declaration of import costs)</w:t>
      </w:r>
    </w:p>
    <w:tbl>
      <w:tblPr>
        <w:tblStyle w:val="12"/>
        <w:tblW w:w="14738" w:type="dxa"/>
        <w:tblInd w:w="108" w:type="dxa"/>
        <w:tblLayout w:type="autofit"/>
        <w:tblCellMar>
          <w:top w:w="0" w:type="dxa"/>
          <w:left w:w="108" w:type="dxa"/>
          <w:bottom w:w="0" w:type="dxa"/>
          <w:right w:w="108" w:type="dxa"/>
        </w:tblCellMar>
      </w:tblPr>
      <w:tblGrid>
        <w:gridCol w:w="746"/>
        <w:gridCol w:w="2231"/>
        <w:gridCol w:w="2268"/>
        <w:gridCol w:w="1811"/>
        <w:gridCol w:w="2601"/>
        <w:gridCol w:w="2077"/>
        <w:gridCol w:w="3004"/>
      </w:tblGrid>
      <w:tr w14:paraId="708C6A58">
        <w:tblPrEx>
          <w:tblCellMar>
            <w:top w:w="0" w:type="dxa"/>
            <w:left w:w="108" w:type="dxa"/>
            <w:bottom w:w="0" w:type="dxa"/>
            <w:right w:w="108" w:type="dxa"/>
          </w:tblCellMar>
        </w:tblPrEx>
        <w:trPr>
          <w:trHeight w:val="375" w:hRule="atLeast"/>
        </w:trPr>
        <w:tc>
          <w:tcPr>
            <w:tcW w:w="14738" w:type="dxa"/>
            <w:gridSpan w:val="7"/>
            <w:tcBorders>
              <w:top w:val="nil"/>
              <w:left w:val="nil"/>
              <w:bottom w:val="nil"/>
              <w:right w:val="nil"/>
            </w:tcBorders>
            <w:noWrap/>
            <w:vAlign w:val="center"/>
          </w:tcPr>
          <w:p w14:paraId="708C6A57">
            <w:pPr>
              <w:jc w:val="center"/>
              <w:rPr>
                <w:b/>
                <w:bCs/>
                <w:color w:val="000000" w:themeColor="text1"/>
                <w:sz w:val="26"/>
                <w:szCs w:val="26"/>
                <w14:textFill>
                  <w14:solidFill>
                    <w14:schemeClr w14:val="tx1"/>
                  </w14:solidFill>
                </w14:textFill>
              </w:rPr>
            </w:pPr>
          </w:p>
        </w:tc>
      </w:tr>
      <w:tr w14:paraId="708C6A60">
        <w:tblPrEx>
          <w:tblCellMar>
            <w:top w:w="0" w:type="dxa"/>
            <w:left w:w="108" w:type="dxa"/>
            <w:bottom w:w="0" w:type="dxa"/>
            <w:right w:w="108" w:type="dxa"/>
          </w:tblCellMar>
        </w:tblPrEx>
        <w:trPr>
          <w:trHeight w:val="870" w:hRule="atLeast"/>
        </w:trPr>
        <w:tc>
          <w:tcPr>
            <w:tcW w:w="746" w:type="dxa"/>
            <w:vMerge w:val="restart"/>
            <w:tcBorders>
              <w:top w:val="single" w:color="auto" w:sz="4" w:space="0"/>
              <w:left w:val="single" w:color="auto" w:sz="4" w:space="0"/>
              <w:bottom w:val="single" w:color="000000" w:sz="4" w:space="0"/>
              <w:right w:val="single" w:color="auto" w:sz="4" w:space="0"/>
            </w:tcBorders>
            <w:shd w:val="clear" w:color="auto" w:fill="E2EFD9"/>
            <w:noWrap/>
            <w:vAlign w:val="center"/>
          </w:tcPr>
          <w:p w14:paraId="708C6A59">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No</w:t>
            </w:r>
          </w:p>
        </w:tc>
        <w:tc>
          <w:tcPr>
            <w:tcW w:w="2231" w:type="dxa"/>
            <w:vMerge w:val="restart"/>
            <w:tcBorders>
              <w:top w:val="single" w:color="auto" w:sz="4" w:space="0"/>
              <w:left w:val="single" w:color="auto" w:sz="4" w:space="0"/>
              <w:bottom w:val="single" w:color="000000" w:sz="4" w:space="0"/>
              <w:right w:val="single" w:color="auto" w:sz="4" w:space="0"/>
            </w:tcBorders>
            <w:shd w:val="clear" w:color="auto" w:fill="E2EFD9"/>
            <w:noWrap/>
            <w:vAlign w:val="center"/>
          </w:tcPr>
          <w:p w14:paraId="708C6A5A">
            <w:pPr>
              <w:jc w:val="center"/>
              <w:rPr>
                <w:b/>
                <w:bCs/>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Description of Goods</w:t>
            </w:r>
          </w:p>
        </w:tc>
        <w:tc>
          <w:tcPr>
            <w:tcW w:w="2268" w:type="dxa"/>
            <w:tcBorders>
              <w:top w:val="single" w:color="auto" w:sz="4" w:space="0"/>
              <w:left w:val="nil"/>
              <w:bottom w:val="single" w:color="auto" w:sz="4" w:space="0"/>
              <w:right w:val="single" w:color="auto" w:sz="4" w:space="0"/>
            </w:tcBorders>
            <w:shd w:val="clear" w:color="auto" w:fill="E2EFD9"/>
            <w:vAlign w:val="center"/>
          </w:tcPr>
          <w:p w14:paraId="708C6A5B">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Offered Price in the Bid</w:t>
            </w:r>
          </w:p>
        </w:tc>
        <w:tc>
          <w:tcPr>
            <w:tcW w:w="1811" w:type="dxa"/>
            <w:tcBorders>
              <w:top w:val="single" w:color="auto" w:sz="4" w:space="0"/>
              <w:left w:val="nil"/>
              <w:bottom w:val="single" w:color="auto" w:sz="4" w:space="0"/>
              <w:right w:val="single" w:color="auto" w:sz="4" w:space="0"/>
            </w:tcBorders>
            <w:shd w:val="clear" w:color="auto" w:fill="E2EFD9"/>
            <w:vAlign w:val="center"/>
          </w:tcPr>
          <w:p w14:paraId="708C6A5C">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xml:space="preserve">Taxes value </w:t>
            </w:r>
          </w:p>
        </w:tc>
        <w:tc>
          <w:tcPr>
            <w:tcW w:w="2601" w:type="dxa"/>
            <w:tcBorders>
              <w:top w:val="single" w:color="auto" w:sz="4" w:space="0"/>
              <w:left w:val="nil"/>
              <w:bottom w:val="single" w:color="auto" w:sz="4" w:space="0"/>
              <w:right w:val="single" w:color="auto" w:sz="4" w:space="0"/>
            </w:tcBorders>
            <w:shd w:val="clear" w:color="auto" w:fill="E2EFD9"/>
            <w:vAlign w:val="center"/>
          </w:tcPr>
          <w:p w14:paraId="708C6A5D">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Declare import costs</w:t>
            </w:r>
          </w:p>
        </w:tc>
        <w:tc>
          <w:tcPr>
            <w:tcW w:w="2077" w:type="dxa"/>
            <w:tcBorders>
              <w:top w:val="single" w:color="auto" w:sz="4" w:space="0"/>
              <w:left w:val="nil"/>
              <w:bottom w:val="single" w:color="auto" w:sz="4" w:space="0"/>
              <w:right w:val="single" w:color="auto" w:sz="4" w:space="0"/>
            </w:tcBorders>
            <w:shd w:val="clear" w:color="auto" w:fill="E2EFD9"/>
            <w:vAlign w:val="center"/>
          </w:tcPr>
          <w:p w14:paraId="708C6A5E">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Domestic production cost</w:t>
            </w:r>
          </w:p>
        </w:tc>
        <w:tc>
          <w:tcPr>
            <w:tcW w:w="3004" w:type="dxa"/>
            <w:tcBorders>
              <w:top w:val="single" w:color="auto" w:sz="4" w:space="0"/>
              <w:left w:val="nil"/>
              <w:bottom w:val="single" w:color="auto" w:sz="4" w:space="0"/>
              <w:right w:val="single" w:color="auto" w:sz="4" w:space="0"/>
            </w:tcBorders>
            <w:shd w:val="clear" w:color="auto" w:fill="E2EFD9"/>
            <w:vAlign w:val="center"/>
          </w:tcPr>
          <w:p w14:paraId="708C6A5F">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Percentage of domestic production costs</w:t>
            </w:r>
          </w:p>
        </w:tc>
      </w:tr>
      <w:tr w14:paraId="708C6A68">
        <w:tblPrEx>
          <w:tblCellMar>
            <w:top w:w="0" w:type="dxa"/>
            <w:left w:w="108" w:type="dxa"/>
            <w:bottom w:w="0" w:type="dxa"/>
            <w:right w:w="108" w:type="dxa"/>
          </w:tblCellMar>
        </w:tblPrEx>
        <w:trPr>
          <w:trHeight w:val="690" w:hRule="atLeast"/>
        </w:trPr>
        <w:tc>
          <w:tcPr>
            <w:tcW w:w="746" w:type="dxa"/>
            <w:vMerge w:val="continue"/>
            <w:tcBorders>
              <w:top w:val="single" w:color="auto" w:sz="4" w:space="0"/>
              <w:left w:val="single" w:color="auto" w:sz="4" w:space="0"/>
              <w:bottom w:val="single" w:color="000000" w:sz="4" w:space="0"/>
              <w:right w:val="single" w:color="auto" w:sz="4" w:space="0"/>
            </w:tcBorders>
            <w:shd w:val="clear" w:color="auto" w:fill="E2EFD9"/>
            <w:vAlign w:val="center"/>
          </w:tcPr>
          <w:p w14:paraId="708C6A61">
            <w:pPr>
              <w:rPr>
                <w:b/>
                <w:bCs/>
                <w:color w:val="000000" w:themeColor="text1"/>
                <w:sz w:val="26"/>
                <w:szCs w:val="26"/>
                <w14:textFill>
                  <w14:solidFill>
                    <w14:schemeClr w14:val="tx1"/>
                  </w14:solidFill>
                </w14:textFill>
              </w:rPr>
            </w:pPr>
          </w:p>
        </w:tc>
        <w:tc>
          <w:tcPr>
            <w:tcW w:w="2231" w:type="dxa"/>
            <w:vMerge w:val="continue"/>
            <w:tcBorders>
              <w:top w:val="single" w:color="auto" w:sz="4" w:space="0"/>
              <w:left w:val="single" w:color="auto" w:sz="4" w:space="0"/>
              <w:bottom w:val="single" w:color="000000" w:sz="4" w:space="0"/>
              <w:right w:val="single" w:color="auto" w:sz="4" w:space="0"/>
            </w:tcBorders>
            <w:shd w:val="clear" w:color="auto" w:fill="E2EFD9"/>
            <w:vAlign w:val="center"/>
          </w:tcPr>
          <w:p w14:paraId="708C6A62">
            <w:pPr>
              <w:rPr>
                <w:b/>
                <w:bCs/>
                <w:color w:val="000000" w:themeColor="text1"/>
                <w:sz w:val="26"/>
                <w:szCs w:val="26"/>
                <w14:textFill>
                  <w14:solidFill>
                    <w14:schemeClr w14:val="tx1"/>
                  </w14:solidFill>
                </w14:textFill>
              </w:rPr>
            </w:pPr>
          </w:p>
        </w:tc>
        <w:tc>
          <w:tcPr>
            <w:tcW w:w="2268" w:type="dxa"/>
            <w:tcBorders>
              <w:top w:val="nil"/>
              <w:left w:val="nil"/>
              <w:bottom w:val="single" w:color="auto" w:sz="4" w:space="0"/>
              <w:right w:val="single" w:color="auto" w:sz="4" w:space="0"/>
            </w:tcBorders>
            <w:shd w:val="clear" w:color="auto" w:fill="E2EFD9"/>
            <w:noWrap/>
            <w:vAlign w:val="center"/>
          </w:tcPr>
          <w:p w14:paraId="708C6A63">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(I)</w:t>
            </w:r>
          </w:p>
        </w:tc>
        <w:tc>
          <w:tcPr>
            <w:tcW w:w="1811" w:type="dxa"/>
            <w:tcBorders>
              <w:top w:val="nil"/>
              <w:left w:val="nil"/>
              <w:bottom w:val="single" w:color="auto" w:sz="4" w:space="0"/>
              <w:right w:val="single" w:color="auto" w:sz="4" w:space="0"/>
            </w:tcBorders>
            <w:shd w:val="clear" w:color="auto" w:fill="E2EFD9"/>
            <w:noWrap/>
            <w:vAlign w:val="center"/>
          </w:tcPr>
          <w:p w14:paraId="708C6A64">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(II)</w:t>
            </w:r>
          </w:p>
        </w:tc>
        <w:tc>
          <w:tcPr>
            <w:tcW w:w="2601" w:type="dxa"/>
            <w:tcBorders>
              <w:top w:val="nil"/>
              <w:left w:val="nil"/>
              <w:bottom w:val="single" w:color="auto" w:sz="4" w:space="0"/>
              <w:right w:val="single" w:color="auto" w:sz="4" w:space="0"/>
            </w:tcBorders>
            <w:shd w:val="clear" w:color="auto" w:fill="E2EFD9"/>
            <w:noWrap/>
            <w:vAlign w:val="center"/>
          </w:tcPr>
          <w:p w14:paraId="708C6A65">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(III)</w:t>
            </w:r>
          </w:p>
        </w:tc>
        <w:tc>
          <w:tcPr>
            <w:tcW w:w="2077" w:type="dxa"/>
            <w:tcBorders>
              <w:top w:val="nil"/>
              <w:left w:val="nil"/>
              <w:bottom w:val="single" w:color="auto" w:sz="4" w:space="0"/>
              <w:right w:val="single" w:color="auto" w:sz="4" w:space="0"/>
            </w:tcBorders>
            <w:shd w:val="clear" w:color="auto" w:fill="E2EFD9"/>
            <w:vAlign w:val="center"/>
          </w:tcPr>
          <w:p w14:paraId="708C6A66">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G* = (I) – (II) – (III)</w:t>
            </w:r>
          </w:p>
        </w:tc>
        <w:tc>
          <w:tcPr>
            <w:tcW w:w="3004" w:type="dxa"/>
            <w:tcBorders>
              <w:top w:val="nil"/>
              <w:left w:val="nil"/>
              <w:bottom w:val="single" w:color="auto" w:sz="4" w:space="0"/>
              <w:right w:val="single" w:color="auto" w:sz="4" w:space="0"/>
            </w:tcBorders>
            <w:shd w:val="clear" w:color="auto" w:fill="E2EFD9"/>
            <w:vAlign w:val="center"/>
          </w:tcPr>
          <w:p w14:paraId="708C6A67">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D(%)=G*/G</w:t>
            </w:r>
            <w:r>
              <w:rPr>
                <w:b/>
                <w:bCs/>
                <w:color w:val="000000" w:themeColor="text1"/>
                <w:sz w:val="26"/>
                <w:szCs w:val="26"/>
                <w14:textFill>
                  <w14:solidFill>
                    <w14:schemeClr w14:val="tx1"/>
                  </w14:solidFill>
                </w14:textFill>
              </w:rPr>
              <w:br w:type="textWrapping"/>
            </w:r>
            <w:r>
              <w:rPr>
                <w:b/>
                <w:bCs/>
                <w:color w:val="000000" w:themeColor="text1"/>
                <w:sz w:val="26"/>
                <w:szCs w:val="26"/>
                <w14:textFill>
                  <w14:solidFill>
                    <w14:schemeClr w14:val="tx1"/>
                  </w14:solidFill>
                </w14:textFill>
              </w:rPr>
              <w:t>In which G = (I) – (II)</w:t>
            </w:r>
          </w:p>
        </w:tc>
      </w:tr>
      <w:tr w14:paraId="708C6A70">
        <w:tblPrEx>
          <w:tblCellMar>
            <w:top w:w="0" w:type="dxa"/>
            <w:left w:w="108" w:type="dxa"/>
            <w:bottom w:w="0" w:type="dxa"/>
            <w:right w:w="108" w:type="dxa"/>
          </w:tblCellMar>
        </w:tblPrEx>
        <w:trPr>
          <w:trHeight w:val="315" w:hRule="atLeast"/>
        </w:trPr>
        <w:tc>
          <w:tcPr>
            <w:tcW w:w="746" w:type="dxa"/>
            <w:tcBorders>
              <w:top w:val="nil"/>
              <w:left w:val="single" w:color="auto" w:sz="4" w:space="0"/>
              <w:bottom w:val="single" w:color="auto" w:sz="4" w:space="0"/>
              <w:right w:val="single" w:color="auto" w:sz="4" w:space="0"/>
            </w:tcBorders>
            <w:noWrap/>
            <w:vAlign w:val="center"/>
          </w:tcPr>
          <w:p w14:paraId="708C6A69">
            <w:pPr>
              <w:jc w:val="center"/>
              <w:rPr>
                <w:i/>
                <w:iCs/>
                <w:color w:val="000000" w:themeColor="text1"/>
                <w:sz w:val="26"/>
                <w:szCs w:val="26"/>
                <w14:textFill>
                  <w14:solidFill>
                    <w14:schemeClr w14:val="tx1"/>
                  </w14:solidFill>
                </w14:textFill>
              </w:rPr>
            </w:pPr>
          </w:p>
        </w:tc>
        <w:tc>
          <w:tcPr>
            <w:tcW w:w="2231" w:type="dxa"/>
            <w:tcBorders>
              <w:top w:val="nil"/>
              <w:left w:val="nil"/>
              <w:bottom w:val="single" w:color="auto" w:sz="4" w:space="0"/>
              <w:right w:val="single" w:color="auto" w:sz="4" w:space="0"/>
            </w:tcBorders>
            <w:vAlign w:val="center"/>
          </w:tcPr>
          <w:p w14:paraId="708C6A6A">
            <w:pPr>
              <w:jc w:val="center"/>
              <w:rPr>
                <w:iCs/>
                <w:color w:val="000000" w:themeColor="text1"/>
                <w:sz w:val="26"/>
                <w:szCs w:val="26"/>
                <w14:textFill>
                  <w14:solidFill>
                    <w14:schemeClr w14:val="tx1"/>
                  </w14:solidFill>
                </w14:textFill>
              </w:rPr>
            </w:pPr>
            <w:r>
              <w:rPr>
                <w:iCs/>
                <w:color w:val="000000" w:themeColor="text1"/>
                <w:sz w:val="26"/>
                <w:szCs w:val="26"/>
                <w14:textFill>
                  <w14:solidFill>
                    <w14:schemeClr w14:val="tx1"/>
                  </w14:solidFill>
                </w14:textFill>
              </w:rPr>
              <w:t>(1)</w:t>
            </w:r>
          </w:p>
        </w:tc>
        <w:tc>
          <w:tcPr>
            <w:tcW w:w="2268" w:type="dxa"/>
            <w:tcBorders>
              <w:top w:val="nil"/>
              <w:left w:val="nil"/>
              <w:bottom w:val="single" w:color="auto" w:sz="4" w:space="0"/>
              <w:right w:val="single" w:color="auto" w:sz="4" w:space="0"/>
            </w:tcBorders>
            <w:noWrap/>
            <w:vAlign w:val="center"/>
          </w:tcPr>
          <w:p w14:paraId="708C6A6B">
            <w:pPr>
              <w:jc w:val="center"/>
              <w:rPr>
                <w:bCs/>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(2)</w:t>
            </w:r>
          </w:p>
        </w:tc>
        <w:tc>
          <w:tcPr>
            <w:tcW w:w="1811" w:type="dxa"/>
            <w:tcBorders>
              <w:top w:val="nil"/>
              <w:left w:val="nil"/>
              <w:bottom w:val="single" w:color="auto" w:sz="4" w:space="0"/>
              <w:right w:val="single" w:color="auto" w:sz="4" w:space="0"/>
            </w:tcBorders>
            <w:noWrap/>
            <w:vAlign w:val="center"/>
          </w:tcPr>
          <w:p w14:paraId="708C6A6C">
            <w:pPr>
              <w:jc w:val="center"/>
              <w:rPr>
                <w:bCs/>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(3)</w:t>
            </w:r>
          </w:p>
        </w:tc>
        <w:tc>
          <w:tcPr>
            <w:tcW w:w="2601" w:type="dxa"/>
            <w:tcBorders>
              <w:top w:val="nil"/>
              <w:left w:val="nil"/>
              <w:bottom w:val="single" w:color="auto" w:sz="4" w:space="0"/>
              <w:right w:val="single" w:color="auto" w:sz="4" w:space="0"/>
            </w:tcBorders>
            <w:noWrap/>
            <w:vAlign w:val="center"/>
          </w:tcPr>
          <w:p w14:paraId="708C6A6D">
            <w:pPr>
              <w:jc w:val="center"/>
              <w:rPr>
                <w:bCs/>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(4)</w:t>
            </w:r>
          </w:p>
        </w:tc>
        <w:tc>
          <w:tcPr>
            <w:tcW w:w="2077" w:type="dxa"/>
            <w:tcBorders>
              <w:top w:val="nil"/>
              <w:left w:val="nil"/>
              <w:bottom w:val="single" w:color="auto" w:sz="4" w:space="0"/>
              <w:right w:val="single" w:color="auto" w:sz="4" w:space="0"/>
            </w:tcBorders>
            <w:noWrap/>
            <w:vAlign w:val="center"/>
          </w:tcPr>
          <w:p w14:paraId="708C6A6E">
            <w:pPr>
              <w:jc w:val="center"/>
              <w:rPr>
                <w:bCs/>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(5)</w:t>
            </w:r>
          </w:p>
        </w:tc>
        <w:tc>
          <w:tcPr>
            <w:tcW w:w="3004" w:type="dxa"/>
            <w:tcBorders>
              <w:top w:val="nil"/>
              <w:left w:val="nil"/>
              <w:bottom w:val="single" w:color="auto" w:sz="4" w:space="0"/>
              <w:right w:val="single" w:color="auto" w:sz="4" w:space="0"/>
            </w:tcBorders>
            <w:noWrap/>
            <w:vAlign w:val="center"/>
          </w:tcPr>
          <w:p w14:paraId="708C6A6F">
            <w:pPr>
              <w:jc w:val="center"/>
              <w:rPr>
                <w:bCs/>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(6)</w:t>
            </w:r>
          </w:p>
        </w:tc>
      </w:tr>
      <w:tr w14:paraId="708C6A78">
        <w:tblPrEx>
          <w:tblCellMar>
            <w:top w:w="0" w:type="dxa"/>
            <w:left w:w="108" w:type="dxa"/>
            <w:bottom w:w="0" w:type="dxa"/>
            <w:right w:w="108" w:type="dxa"/>
          </w:tblCellMar>
        </w:tblPrEx>
        <w:trPr>
          <w:trHeight w:val="315" w:hRule="atLeast"/>
        </w:trPr>
        <w:tc>
          <w:tcPr>
            <w:tcW w:w="746" w:type="dxa"/>
            <w:tcBorders>
              <w:top w:val="nil"/>
              <w:left w:val="single" w:color="auto" w:sz="4" w:space="0"/>
              <w:bottom w:val="single" w:color="auto" w:sz="4" w:space="0"/>
              <w:right w:val="single" w:color="auto" w:sz="4" w:space="0"/>
            </w:tcBorders>
            <w:noWrap/>
            <w:vAlign w:val="center"/>
          </w:tcPr>
          <w:p w14:paraId="708C6A71">
            <w:pPr>
              <w:jc w:val="center"/>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1</w:t>
            </w:r>
          </w:p>
        </w:tc>
        <w:tc>
          <w:tcPr>
            <w:tcW w:w="2231" w:type="dxa"/>
            <w:tcBorders>
              <w:top w:val="nil"/>
              <w:left w:val="nil"/>
              <w:bottom w:val="single" w:color="auto" w:sz="4" w:space="0"/>
              <w:right w:val="single" w:color="auto" w:sz="4" w:space="0"/>
            </w:tcBorders>
            <w:vAlign w:val="center"/>
          </w:tcPr>
          <w:p w14:paraId="708C6A72">
            <w:pPr>
              <w:rPr>
                <w:i/>
                <w:iCs/>
                <w:color w:val="000000" w:themeColor="text1"/>
                <w:sz w:val="26"/>
                <w:szCs w:val="26"/>
                <w14:textFill>
                  <w14:solidFill>
                    <w14:schemeClr w14:val="tx1"/>
                  </w14:solidFill>
                </w14:textFill>
              </w:rPr>
            </w:pPr>
          </w:p>
        </w:tc>
        <w:tc>
          <w:tcPr>
            <w:tcW w:w="2268" w:type="dxa"/>
            <w:tcBorders>
              <w:top w:val="nil"/>
              <w:left w:val="nil"/>
              <w:bottom w:val="single" w:color="auto" w:sz="4" w:space="0"/>
              <w:right w:val="single" w:color="auto" w:sz="4" w:space="0"/>
            </w:tcBorders>
            <w:noWrap/>
            <w:vAlign w:val="center"/>
          </w:tcPr>
          <w:p w14:paraId="708C6A73">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1811" w:type="dxa"/>
            <w:tcBorders>
              <w:top w:val="nil"/>
              <w:left w:val="nil"/>
              <w:bottom w:val="single" w:color="auto" w:sz="4" w:space="0"/>
              <w:right w:val="single" w:color="auto" w:sz="4" w:space="0"/>
            </w:tcBorders>
            <w:noWrap/>
            <w:vAlign w:val="center"/>
          </w:tcPr>
          <w:p w14:paraId="708C6A74">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2601" w:type="dxa"/>
            <w:tcBorders>
              <w:top w:val="nil"/>
              <w:left w:val="nil"/>
              <w:bottom w:val="single" w:color="auto" w:sz="4" w:space="0"/>
              <w:right w:val="single" w:color="auto" w:sz="4" w:space="0"/>
            </w:tcBorders>
            <w:noWrap/>
            <w:vAlign w:val="center"/>
          </w:tcPr>
          <w:p w14:paraId="708C6A75">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2077" w:type="dxa"/>
            <w:tcBorders>
              <w:top w:val="nil"/>
              <w:left w:val="nil"/>
              <w:bottom w:val="single" w:color="auto" w:sz="4" w:space="0"/>
              <w:right w:val="single" w:color="auto" w:sz="4" w:space="0"/>
            </w:tcBorders>
            <w:noWrap/>
            <w:vAlign w:val="center"/>
          </w:tcPr>
          <w:p w14:paraId="708C6A76">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3004" w:type="dxa"/>
            <w:tcBorders>
              <w:top w:val="nil"/>
              <w:left w:val="nil"/>
              <w:bottom w:val="single" w:color="auto" w:sz="4" w:space="0"/>
              <w:right w:val="single" w:color="auto" w:sz="4" w:space="0"/>
            </w:tcBorders>
            <w:noWrap/>
            <w:vAlign w:val="center"/>
          </w:tcPr>
          <w:p w14:paraId="708C6A77">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r>
      <w:tr w14:paraId="708C6A80">
        <w:tblPrEx>
          <w:tblCellMar>
            <w:top w:w="0" w:type="dxa"/>
            <w:left w:w="108" w:type="dxa"/>
            <w:bottom w:w="0" w:type="dxa"/>
            <w:right w:w="108" w:type="dxa"/>
          </w:tblCellMar>
        </w:tblPrEx>
        <w:trPr>
          <w:trHeight w:val="315" w:hRule="atLeast"/>
        </w:trPr>
        <w:tc>
          <w:tcPr>
            <w:tcW w:w="746" w:type="dxa"/>
            <w:tcBorders>
              <w:top w:val="nil"/>
              <w:left w:val="single" w:color="auto" w:sz="4" w:space="0"/>
              <w:bottom w:val="single" w:color="auto" w:sz="4" w:space="0"/>
              <w:right w:val="single" w:color="auto" w:sz="4" w:space="0"/>
            </w:tcBorders>
            <w:noWrap/>
            <w:vAlign w:val="center"/>
          </w:tcPr>
          <w:p w14:paraId="708C6A79">
            <w:pPr>
              <w:jc w:val="center"/>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2</w:t>
            </w:r>
          </w:p>
        </w:tc>
        <w:tc>
          <w:tcPr>
            <w:tcW w:w="2231" w:type="dxa"/>
            <w:tcBorders>
              <w:top w:val="nil"/>
              <w:left w:val="nil"/>
              <w:bottom w:val="single" w:color="auto" w:sz="4" w:space="0"/>
              <w:right w:val="single" w:color="auto" w:sz="4" w:space="0"/>
            </w:tcBorders>
            <w:vAlign w:val="center"/>
          </w:tcPr>
          <w:p w14:paraId="708C6A7A">
            <w:pPr>
              <w:rPr>
                <w:i/>
                <w:iCs/>
                <w:color w:val="000000" w:themeColor="text1"/>
                <w:sz w:val="26"/>
                <w:szCs w:val="26"/>
                <w14:textFill>
                  <w14:solidFill>
                    <w14:schemeClr w14:val="tx1"/>
                  </w14:solidFill>
                </w14:textFill>
              </w:rPr>
            </w:pPr>
          </w:p>
        </w:tc>
        <w:tc>
          <w:tcPr>
            <w:tcW w:w="2268" w:type="dxa"/>
            <w:tcBorders>
              <w:top w:val="nil"/>
              <w:left w:val="nil"/>
              <w:bottom w:val="single" w:color="auto" w:sz="4" w:space="0"/>
              <w:right w:val="single" w:color="auto" w:sz="4" w:space="0"/>
            </w:tcBorders>
            <w:noWrap/>
            <w:vAlign w:val="center"/>
          </w:tcPr>
          <w:p w14:paraId="708C6A7B">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1811" w:type="dxa"/>
            <w:tcBorders>
              <w:top w:val="nil"/>
              <w:left w:val="nil"/>
              <w:bottom w:val="single" w:color="auto" w:sz="4" w:space="0"/>
              <w:right w:val="single" w:color="auto" w:sz="4" w:space="0"/>
            </w:tcBorders>
            <w:noWrap/>
            <w:vAlign w:val="center"/>
          </w:tcPr>
          <w:p w14:paraId="708C6A7C">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2601" w:type="dxa"/>
            <w:tcBorders>
              <w:top w:val="nil"/>
              <w:left w:val="nil"/>
              <w:bottom w:val="single" w:color="auto" w:sz="4" w:space="0"/>
              <w:right w:val="single" w:color="auto" w:sz="4" w:space="0"/>
            </w:tcBorders>
            <w:noWrap/>
            <w:vAlign w:val="center"/>
          </w:tcPr>
          <w:p w14:paraId="708C6A7D">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2077" w:type="dxa"/>
            <w:tcBorders>
              <w:top w:val="nil"/>
              <w:left w:val="nil"/>
              <w:bottom w:val="single" w:color="auto" w:sz="4" w:space="0"/>
              <w:right w:val="single" w:color="auto" w:sz="4" w:space="0"/>
            </w:tcBorders>
            <w:noWrap/>
            <w:vAlign w:val="center"/>
          </w:tcPr>
          <w:p w14:paraId="708C6A7E">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3004" w:type="dxa"/>
            <w:tcBorders>
              <w:top w:val="nil"/>
              <w:left w:val="nil"/>
              <w:bottom w:val="single" w:color="auto" w:sz="4" w:space="0"/>
              <w:right w:val="single" w:color="auto" w:sz="4" w:space="0"/>
            </w:tcBorders>
            <w:noWrap/>
            <w:vAlign w:val="center"/>
          </w:tcPr>
          <w:p w14:paraId="708C6A7F">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r>
      <w:tr w14:paraId="708C6A88">
        <w:tblPrEx>
          <w:tblCellMar>
            <w:top w:w="0" w:type="dxa"/>
            <w:left w:w="108" w:type="dxa"/>
            <w:bottom w:w="0" w:type="dxa"/>
            <w:right w:w="108" w:type="dxa"/>
          </w:tblCellMar>
        </w:tblPrEx>
        <w:trPr>
          <w:trHeight w:val="315" w:hRule="atLeast"/>
        </w:trPr>
        <w:tc>
          <w:tcPr>
            <w:tcW w:w="746" w:type="dxa"/>
            <w:tcBorders>
              <w:top w:val="nil"/>
              <w:left w:val="single" w:color="auto" w:sz="4" w:space="0"/>
              <w:bottom w:val="single" w:color="auto" w:sz="4" w:space="0"/>
              <w:right w:val="single" w:color="auto" w:sz="4" w:space="0"/>
            </w:tcBorders>
            <w:noWrap/>
            <w:vAlign w:val="center"/>
          </w:tcPr>
          <w:p w14:paraId="708C6A81">
            <w:pPr>
              <w:jc w:val="center"/>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w:t>
            </w:r>
          </w:p>
        </w:tc>
        <w:tc>
          <w:tcPr>
            <w:tcW w:w="2231" w:type="dxa"/>
            <w:tcBorders>
              <w:top w:val="nil"/>
              <w:left w:val="nil"/>
              <w:bottom w:val="single" w:color="auto" w:sz="4" w:space="0"/>
              <w:right w:val="single" w:color="auto" w:sz="4" w:space="0"/>
            </w:tcBorders>
            <w:vAlign w:val="center"/>
          </w:tcPr>
          <w:p w14:paraId="708C6A82">
            <w:pPr>
              <w:rPr>
                <w:i/>
                <w:iCs/>
                <w:color w:val="000000" w:themeColor="text1"/>
                <w:sz w:val="26"/>
                <w:szCs w:val="26"/>
                <w14:textFill>
                  <w14:solidFill>
                    <w14:schemeClr w14:val="tx1"/>
                  </w14:solidFill>
                </w14:textFill>
              </w:rPr>
            </w:pPr>
          </w:p>
        </w:tc>
        <w:tc>
          <w:tcPr>
            <w:tcW w:w="2268" w:type="dxa"/>
            <w:tcBorders>
              <w:top w:val="nil"/>
              <w:left w:val="nil"/>
              <w:bottom w:val="single" w:color="auto" w:sz="4" w:space="0"/>
              <w:right w:val="single" w:color="auto" w:sz="4" w:space="0"/>
            </w:tcBorders>
            <w:noWrap/>
            <w:vAlign w:val="center"/>
          </w:tcPr>
          <w:p w14:paraId="708C6A83">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1811" w:type="dxa"/>
            <w:tcBorders>
              <w:top w:val="nil"/>
              <w:left w:val="nil"/>
              <w:bottom w:val="single" w:color="auto" w:sz="4" w:space="0"/>
              <w:right w:val="single" w:color="auto" w:sz="4" w:space="0"/>
            </w:tcBorders>
            <w:noWrap/>
            <w:vAlign w:val="center"/>
          </w:tcPr>
          <w:p w14:paraId="708C6A84">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2601" w:type="dxa"/>
            <w:tcBorders>
              <w:top w:val="nil"/>
              <w:left w:val="nil"/>
              <w:bottom w:val="single" w:color="auto" w:sz="4" w:space="0"/>
              <w:right w:val="single" w:color="auto" w:sz="4" w:space="0"/>
            </w:tcBorders>
            <w:noWrap/>
            <w:vAlign w:val="center"/>
          </w:tcPr>
          <w:p w14:paraId="708C6A85">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2077" w:type="dxa"/>
            <w:tcBorders>
              <w:top w:val="nil"/>
              <w:left w:val="nil"/>
              <w:bottom w:val="single" w:color="auto" w:sz="4" w:space="0"/>
              <w:right w:val="single" w:color="auto" w:sz="4" w:space="0"/>
            </w:tcBorders>
            <w:noWrap/>
            <w:vAlign w:val="center"/>
          </w:tcPr>
          <w:p w14:paraId="708C6A86">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3004" w:type="dxa"/>
            <w:tcBorders>
              <w:top w:val="nil"/>
              <w:left w:val="nil"/>
              <w:bottom w:val="single" w:color="auto" w:sz="4" w:space="0"/>
              <w:right w:val="single" w:color="auto" w:sz="4" w:space="0"/>
            </w:tcBorders>
            <w:noWrap/>
            <w:vAlign w:val="center"/>
          </w:tcPr>
          <w:p w14:paraId="708C6A87">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r>
      <w:tr w14:paraId="708C6A90">
        <w:tblPrEx>
          <w:tblCellMar>
            <w:top w:w="0" w:type="dxa"/>
            <w:left w:w="108" w:type="dxa"/>
            <w:bottom w:w="0" w:type="dxa"/>
            <w:right w:w="108" w:type="dxa"/>
          </w:tblCellMar>
        </w:tblPrEx>
        <w:trPr>
          <w:trHeight w:val="315" w:hRule="atLeast"/>
        </w:trPr>
        <w:tc>
          <w:tcPr>
            <w:tcW w:w="746" w:type="dxa"/>
            <w:tcBorders>
              <w:top w:val="nil"/>
              <w:left w:val="single" w:color="auto" w:sz="4" w:space="0"/>
              <w:bottom w:val="single" w:color="auto" w:sz="4" w:space="0"/>
              <w:right w:val="single" w:color="auto" w:sz="4" w:space="0"/>
            </w:tcBorders>
            <w:noWrap/>
            <w:vAlign w:val="center"/>
          </w:tcPr>
          <w:p w14:paraId="708C6A89">
            <w:pPr>
              <w:jc w:val="center"/>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n</w:t>
            </w:r>
          </w:p>
        </w:tc>
        <w:tc>
          <w:tcPr>
            <w:tcW w:w="2231" w:type="dxa"/>
            <w:tcBorders>
              <w:top w:val="nil"/>
              <w:left w:val="nil"/>
              <w:bottom w:val="single" w:color="auto" w:sz="4" w:space="0"/>
              <w:right w:val="single" w:color="auto" w:sz="4" w:space="0"/>
            </w:tcBorders>
            <w:vAlign w:val="center"/>
          </w:tcPr>
          <w:p w14:paraId="708C6A8A">
            <w:pPr>
              <w:rPr>
                <w:i/>
                <w:iCs/>
                <w:color w:val="000000" w:themeColor="text1"/>
                <w:sz w:val="26"/>
                <w:szCs w:val="26"/>
                <w14:textFill>
                  <w14:solidFill>
                    <w14:schemeClr w14:val="tx1"/>
                  </w14:solidFill>
                </w14:textFill>
              </w:rPr>
            </w:pPr>
          </w:p>
        </w:tc>
        <w:tc>
          <w:tcPr>
            <w:tcW w:w="2268" w:type="dxa"/>
            <w:tcBorders>
              <w:top w:val="nil"/>
              <w:left w:val="nil"/>
              <w:bottom w:val="single" w:color="auto" w:sz="4" w:space="0"/>
              <w:right w:val="single" w:color="auto" w:sz="4" w:space="0"/>
            </w:tcBorders>
            <w:noWrap/>
            <w:vAlign w:val="center"/>
          </w:tcPr>
          <w:p w14:paraId="708C6A8B">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1811" w:type="dxa"/>
            <w:tcBorders>
              <w:top w:val="nil"/>
              <w:left w:val="nil"/>
              <w:bottom w:val="single" w:color="auto" w:sz="4" w:space="0"/>
              <w:right w:val="single" w:color="auto" w:sz="4" w:space="0"/>
            </w:tcBorders>
            <w:noWrap/>
            <w:vAlign w:val="center"/>
          </w:tcPr>
          <w:p w14:paraId="708C6A8C">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2601" w:type="dxa"/>
            <w:tcBorders>
              <w:top w:val="nil"/>
              <w:left w:val="nil"/>
              <w:bottom w:val="single" w:color="auto" w:sz="4" w:space="0"/>
              <w:right w:val="single" w:color="auto" w:sz="4" w:space="0"/>
            </w:tcBorders>
            <w:noWrap/>
            <w:vAlign w:val="center"/>
          </w:tcPr>
          <w:p w14:paraId="708C6A8D">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2077" w:type="dxa"/>
            <w:tcBorders>
              <w:top w:val="nil"/>
              <w:left w:val="nil"/>
              <w:bottom w:val="single" w:color="auto" w:sz="4" w:space="0"/>
              <w:right w:val="single" w:color="auto" w:sz="4" w:space="0"/>
            </w:tcBorders>
            <w:noWrap/>
            <w:vAlign w:val="center"/>
          </w:tcPr>
          <w:p w14:paraId="708C6A8E">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3004" w:type="dxa"/>
            <w:tcBorders>
              <w:top w:val="nil"/>
              <w:left w:val="nil"/>
              <w:bottom w:val="single" w:color="auto" w:sz="4" w:space="0"/>
              <w:right w:val="single" w:color="auto" w:sz="4" w:space="0"/>
            </w:tcBorders>
            <w:noWrap/>
            <w:vAlign w:val="center"/>
          </w:tcPr>
          <w:p w14:paraId="708C6A8F">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r>
      <w:tr w14:paraId="708C6A98">
        <w:tblPrEx>
          <w:tblCellMar>
            <w:top w:w="0" w:type="dxa"/>
            <w:left w:w="108" w:type="dxa"/>
            <w:bottom w:w="0" w:type="dxa"/>
            <w:right w:w="108" w:type="dxa"/>
          </w:tblCellMar>
        </w:tblPrEx>
        <w:trPr>
          <w:trHeight w:val="315" w:hRule="atLeast"/>
        </w:trPr>
        <w:tc>
          <w:tcPr>
            <w:tcW w:w="746" w:type="dxa"/>
            <w:tcBorders>
              <w:top w:val="nil"/>
              <w:left w:val="nil"/>
              <w:bottom w:val="nil"/>
              <w:right w:val="nil"/>
            </w:tcBorders>
            <w:noWrap/>
            <w:vAlign w:val="center"/>
          </w:tcPr>
          <w:p w14:paraId="708C6A91">
            <w:pPr>
              <w:jc w:val="center"/>
              <w:rPr>
                <w:b/>
                <w:bCs/>
                <w:color w:val="000000" w:themeColor="text1"/>
                <w:sz w:val="26"/>
                <w:szCs w:val="26"/>
                <w14:textFill>
                  <w14:solidFill>
                    <w14:schemeClr w14:val="tx1"/>
                  </w14:solidFill>
                </w14:textFill>
              </w:rPr>
            </w:pPr>
          </w:p>
        </w:tc>
        <w:tc>
          <w:tcPr>
            <w:tcW w:w="2231" w:type="dxa"/>
            <w:tcBorders>
              <w:top w:val="nil"/>
              <w:left w:val="nil"/>
              <w:bottom w:val="nil"/>
              <w:right w:val="nil"/>
            </w:tcBorders>
            <w:vAlign w:val="center"/>
          </w:tcPr>
          <w:p w14:paraId="708C6A92">
            <w:pPr>
              <w:jc w:val="center"/>
              <w:rPr>
                <w:color w:val="000000" w:themeColor="text1"/>
                <w:sz w:val="26"/>
                <w:szCs w:val="26"/>
                <w14:textFill>
                  <w14:solidFill>
                    <w14:schemeClr w14:val="tx1"/>
                  </w14:solidFill>
                </w14:textFill>
              </w:rPr>
            </w:pPr>
          </w:p>
        </w:tc>
        <w:tc>
          <w:tcPr>
            <w:tcW w:w="2268" w:type="dxa"/>
            <w:tcBorders>
              <w:top w:val="nil"/>
              <w:left w:val="nil"/>
              <w:bottom w:val="nil"/>
              <w:right w:val="nil"/>
            </w:tcBorders>
            <w:noWrap/>
            <w:vAlign w:val="center"/>
          </w:tcPr>
          <w:p w14:paraId="708C6A93">
            <w:pPr>
              <w:jc w:val="center"/>
              <w:rPr>
                <w:b/>
                <w:bCs/>
                <w:color w:val="000000" w:themeColor="text1"/>
                <w:sz w:val="26"/>
                <w:szCs w:val="26"/>
                <w14:textFill>
                  <w14:solidFill>
                    <w14:schemeClr w14:val="tx1"/>
                  </w14:solidFill>
                </w14:textFill>
              </w:rPr>
            </w:pPr>
          </w:p>
        </w:tc>
        <w:tc>
          <w:tcPr>
            <w:tcW w:w="1811" w:type="dxa"/>
            <w:tcBorders>
              <w:top w:val="nil"/>
              <w:left w:val="nil"/>
              <w:bottom w:val="nil"/>
              <w:right w:val="nil"/>
            </w:tcBorders>
            <w:noWrap/>
            <w:vAlign w:val="center"/>
          </w:tcPr>
          <w:p w14:paraId="708C6A94">
            <w:pPr>
              <w:jc w:val="center"/>
              <w:rPr>
                <w:b/>
                <w:bCs/>
                <w:color w:val="000000" w:themeColor="text1"/>
                <w:sz w:val="26"/>
                <w:szCs w:val="26"/>
                <w14:textFill>
                  <w14:solidFill>
                    <w14:schemeClr w14:val="tx1"/>
                  </w14:solidFill>
                </w14:textFill>
              </w:rPr>
            </w:pPr>
          </w:p>
        </w:tc>
        <w:tc>
          <w:tcPr>
            <w:tcW w:w="2601" w:type="dxa"/>
            <w:tcBorders>
              <w:top w:val="nil"/>
              <w:left w:val="nil"/>
              <w:bottom w:val="nil"/>
              <w:right w:val="nil"/>
            </w:tcBorders>
            <w:noWrap/>
            <w:vAlign w:val="center"/>
          </w:tcPr>
          <w:p w14:paraId="708C6A95">
            <w:pPr>
              <w:jc w:val="center"/>
              <w:rPr>
                <w:b/>
                <w:bCs/>
                <w:color w:val="000000" w:themeColor="text1"/>
                <w:sz w:val="26"/>
                <w:szCs w:val="26"/>
                <w14:textFill>
                  <w14:solidFill>
                    <w14:schemeClr w14:val="tx1"/>
                  </w14:solidFill>
                </w14:textFill>
              </w:rPr>
            </w:pPr>
          </w:p>
        </w:tc>
        <w:tc>
          <w:tcPr>
            <w:tcW w:w="2077" w:type="dxa"/>
            <w:tcBorders>
              <w:top w:val="nil"/>
              <w:left w:val="nil"/>
              <w:bottom w:val="nil"/>
              <w:right w:val="nil"/>
            </w:tcBorders>
            <w:noWrap/>
            <w:vAlign w:val="center"/>
          </w:tcPr>
          <w:p w14:paraId="708C6A96">
            <w:pPr>
              <w:jc w:val="center"/>
              <w:rPr>
                <w:b/>
                <w:bCs/>
                <w:color w:val="000000" w:themeColor="text1"/>
                <w:sz w:val="26"/>
                <w:szCs w:val="26"/>
                <w14:textFill>
                  <w14:solidFill>
                    <w14:schemeClr w14:val="tx1"/>
                  </w14:solidFill>
                </w14:textFill>
              </w:rPr>
            </w:pPr>
          </w:p>
        </w:tc>
        <w:tc>
          <w:tcPr>
            <w:tcW w:w="3004" w:type="dxa"/>
            <w:tcBorders>
              <w:top w:val="nil"/>
              <w:left w:val="nil"/>
              <w:bottom w:val="nil"/>
              <w:right w:val="nil"/>
            </w:tcBorders>
            <w:noWrap/>
            <w:vAlign w:val="center"/>
          </w:tcPr>
          <w:p w14:paraId="708C6A97">
            <w:pPr>
              <w:jc w:val="center"/>
              <w:rPr>
                <w:b/>
                <w:bCs/>
                <w:color w:val="000000" w:themeColor="text1"/>
                <w:sz w:val="26"/>
                <w:szCs w:val="26"/>
                <w14:textFill>
                  <w14:solidFill>
                    <w14:schemeClr w14:val="tx1"/>
                  </w14:solidFill>
                </w14:textFill>
              </w:rPr>
            </w:pPr>
          </w:p>
        </w:tc>
      </w:tr>
      <w:tr w14:paraId="708C6A9C">
        <w:tblPrEx>
          <w:tblCellMar>
            <w:top w:w="0" w:type="dxa"/>
            <w:left w:w="108" w:type="dxa"/>
            <w:bottom w:w="0" w:type="dxa"/>
            <w:right w:w="108" w:type="dxa"/>
          </w:tblCellMar>
        </w:tblPrEx>
        <w:trPr>
          <w:trHeight w:val="959" w:hRule="atLeast"/>
        </w:trPr>
        <w:tc>
          <w:tcPr>
            <w:tcW w:w="14738" w:type="dxa"/>
            <w:gridSpan w:val="7"/>
            <w:tcBorders>
              <w:top w:val="nil"/>
              <w:left w:val="nil"/>
              <w:bottom w:val="nil"/>
              <w:right w:val="nil"/>
            </w:tcBorders>
            <w:vAlign w:val="center"/>
          </w:tcPr>
          <w:p w14:paraId="708C6A99">
            <w:pPr>
              <w:pStyle w:val="15"/>
              <w:widowControl w:val="0"/>
              <w:shd w:val="clear" w:color="auto" w:fill="FFFFFF"/>
              <w:spacing w:before="120" w:line="264" w:lineRule="auto"/>
              <w:ind w:firstLine="567"/>
              <w:jc w:val="right"/>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Legal representative of the Bidder</w:t>
            </w:r>
          </w:p>
          <w:p w14:paraId="708C6A9A">
            <w:pPr>
              <w:pStyle w:val="15"/>
              <w:widowControl w:val="0"/>
              <w:shd w:val="clear" w:color="auto" w:fill="FFFFFF"/>
              <w:spacing w:before="120" w:line="264" w:lineRule="auto"/>
              <w:ind w:firstLine="567"/>
              <w:jc w:val="right"/>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(Full name, position, signature and seal)</w:t>
            </w:r>
          </w:p>
          <w:p w14:paraId="708C6A9B">
            <w:pPr>
              <w:spacing w:before="120" w:after="120" w:line="264" w:lineRule="auto"/>
              <w:ind w:firstLine="709"/>
              <w:rPr>
                <w:strike/>
                <w:color w:val="000000" w:themeColor="text1"/>
                <w:sz w:val="26"/>
                <w:szCs w:val="26"/>
                <w14:textFill>
                  <w14:solidFill>
                    <w14:schemeClr w14:val="tx1"/>
                  </w14:solidFill>
                </w14:textFill>
              </w:rPr>
            </w:pPr>
            <w:r>
              <w:rPr>
                <w:strike/>
                <w:color w:val="000000" w:themeColor="text1"/>
                <w:sz w:val="26"/>
                <w:szCs w:val="26"/>
                <w14:textFill>
                  <w14:solidFill>
                    <w14:schemeClr w14:val="tx1"/>
                  </w14:solidFill>
                </w14:textFill>
              </w:rPr>
              <w:t xml:space="preserve"> </w:t>
            </w:r>
          </w:p>
        </w:tc>
      </w:tr>
    </w:tbl>
    <w:p w14:paraId="708C6A9D">
      <w:pPr>
        <w:shd w:val="clear" w:color="auto" w:fill="FFFFFF"/>
        <w:jc w:val="both"/>
        <w:rPr>
          <w:color w:val="000000" w:themeColor="text1"/>
          <w:sz w:val="26"/>
          <w:szCs w:val="26"/>
          <w14:textFill>
            <w14:solidFill>
              <w14:schemeClr w14:val="tx1"/>
            </w14:solidFill>
          </w14:textFill>
        </w:rPr>
      </w:pPr>
    </w:p>
    <w:p w14:paraId="708C6A9E">
      <w:pPr>
        <w:shd w:val="clear" w:color="auto" w:fill="FFFFFF"/>
        <w:jc w:val="both"/>
        <w:rPr>
          <w:color w:val="000000" w:themeColor="text1"/>
          <w:sz w:val="26"/>
          <w:szCs w:val="26"/>
          <w14:textFill>
            <w14:solidFill>
              <w14:schemeClr w14:val="tx1"/>
            </w14:solidFill>
          </w14:textFill>
        </w:rPr>
      </w:pPr>
    </w:p>
    <w:p w14:paraId="708C6A9F">
      <w:pPr>
        <w:shd w:val="clear" w:color="auto" w:fill="FFFFFF"/>
        <w:jc w:val="both"/>
        <w:rPr>
          <w:color w:val="000000" w:themeColor="text1"/>
          <w:sz w:val="26"/>
          <w:szCs w:val="26"/>
          <w14:textFill>
            <w14:solidFill>
              <w14:schemeClr w14:val="tx1"/>
            </w14:solidFill>
          </w14:textFill>
        </w:rPr>
      </w:pPr>
    </w:p>
    <w:p w14:paraId="708C6AA0">
      <w:pPr>
        <w:shd w:val="clear" w:color="auto" w:fill="FFFFFF"/>
        <w:jc w:val="both"/>
        <w:rPr>
          <w:color w:val="000000" w:themeColor="text1"/>
          <w:sz w:val="26"/>
          <w:szCs w:val="26"/>
          <w14:textFill>
            <w14:solidFill>
              <w14:schemeClr w14:val="tx1"/>
            </w14:solidFill>
          </w14:textFill>
        </w:rPr>
      </w:pPr>
    </w:p>
    <w:p w14:paraId="708C6AA1">
      <w:pPr>
        <w:shd w:val="clear" w:color="auto" w:fill="FFFFFF"/>
        <w:jc w:val="right"/>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Form 07(a2)</w:t>
      </w:r>
    </w:p>
    <w:p w14:paraId="708C6AA2">
      <w:pPr>
        <w:ind w:firstLine="567"/>
        <w:jc w:val="center"/>
        <w:rPr>
          <w:bCs/>
          <w:i/>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xml:space="preserve">LIST OF DECLARATION OF DOMESTIC PRODUCTION COSTS FOR </w:t>
      </w:r>
      <w:r>
        <w:rPr>
          <w:b/>
          <w:color w:val="000000" w:themeColor="text1"/>
          <w:sz w:val="26"/>
          <w:szCs w:val="26"/>
          <w14:textFill>
            <w14:solidFill>
              <w14:schemeClr w14:val="tx1"/>
            </w14:solidFill>
          </w14:textFill>
        </w:rPr>
        <w:t>PREFERENTIAL</w:t>
      </w:r>
      <w:r>
        <w:rPr>
          <w:b/>
          <w:bCs/>
          <w:color w:val="000000" w:themeColor="text1"/>
          <w:sz w:val="26"/>
          <w:szCs w:val="26"/>
          <w14:textFill>
            <w14:solidFill>
              <w14:schemeClr w14:val="tx1"/>
            </w14:solidFill>
          </w14:textFill>
        </w:rPr>
        <w:t xml:space="preserve"> GOODS</w:t>
      </w:r>
      <w:r>
        <w:rPr>
          <w:bCs/>
          <w:i/>
          <w:color w:val="000000" w:themeColor="text1"/>
          <w:sz w:val="26"/>
          <w:szCs w:val="26"/>
          <w14:textFill>
            <w14:solidFill>
              <w14:schemeClr w14:val="tx1"/>
            </w14:solidFill>
          </w14:textFill>
        </w:rPr>
        <w:t xml:space="preserve"> </w:t>
      </w:r>
    </w:p>
    <w:p w14:paraId="708C6AA3">
      <w:pPr>
        <w:ind w:firstLine="567"/>
        <w:jc w:val="center"/>
        <w:rPr>
          <w:color w:val="000000" w:themeColor="text1"/>
          <w:sz w:val="26"/>
          <w:szCs w:val="26"/>
          <w14:textFill>
            <w14:solidFill>
              <w14:schemeClr w14:val="tx1"/>
            </w14:solidFill>
          </w14:textFill>
        </w:rPr>
      </w:pPr>
      <w:r>
        <w:rPr>
          <w:bCs/>
          <w:i/>
          <w:color w:val="000000" w:themeColor="text1"/>
          <w:sz w:val="26"/>
          <w:szCs w:val="26"/>
          <w14:textFill>
            <w14:solidFill>
              <w14:schemeClr w14:val="tx1"/>
            </w14:solidFill>
          </w14:textFill>
        </w:rPr>
        <w:t>(in case of declaration of production costs in Vietnam)</w:t>
      </w:r>
    </w:p>
    <w:tbl>
      <w:tblPr>
        <w:tblStyle w:val="12"/>
        <w:tblW w:w="15585" w:type="dxa"/>
        <w:tblInd w:w="108" w:type="dxa"/>
        <w:tblLayout w:type="autofit"/>
        <w:tblCellMar>
          <w:top w:w="0" w:type="dxa"/>
          <w:left w:w="108" w:type="dxa"/>
          <w:bottom w:w="0" w:type="dxa"/>
          <w:right w:w="108" w:type="dxa"/>
        </w:tblCellMar>
      </w:tblPr>
      <w:tblGrid>
        <w:gridCol w:w="746"/>
        <w:gridCol w:w="2231"/>
        <w:gridCol w:w="1327"/>
        <w:gridCol w:w="1400"/>
        <w:gridCol w:w="1762"/>
        <w:gridCol w:w="2234"/>
        <w:gridCol w:w="2666"/>
        <w:gridCol w:w="2579"/>
        <w:gridCol w:w="640"/>
      </w:tblGrid>
      <w:tr w14:paraId="708C6AA5">
        <w:tblPrEx>
          <w:tblCellMar>
            <w:top w:w="0" w:type="dxa"/>
            <w:left w:w="108" w:type="dxa"/>
            <w:bottom w:w="0" w:type="dxa"/>
            <w:right w:w="108" w:type="dxa"/>
          </w:tblCellMar>
        </w:tblPrEx>
        <w:trPr>
          <w:trHeight w:val="375" w:hRule="atLeast"/>
        </w:trPr>
        <w:tc>
          <w:tcPr>
            <w:tcW w:w="15585" w:type="dxa"/>
            <w:gridSpan w:val="9"/>
            <w:tcBorders>
              <w:top w:val="nil"/>
              <w:left w:val="nil"/>
              <w:bottom w:val="nil"/>
              <w:right w:val="nil"/>
            </w:tcBorders>
            <w:noWrap/>
            <w:vAlign w:val="center"/>
          </w:tcPr>
          <w:p w14:paraId="708C6AA4">
            <w:pPr>
              <w:jc w:val="center"/>
              <w:rPr>
                <w:b/>
                <w:bCs/>
                <w:color w:val="000000" w:themeColor="text1"/>
                <w:sz w:val="26"/>
                <w:szCs w:val="26"/>
                <w14:textFill>
                  <w14:solidFill>
                    <w14:schemeClr w14:val="tx1"/>
                  </w14:solidFill>
                </w14:textFill>
              </w:rPr>
            </w:pPr>
          </w:p>
        </w:tc>
      </w:tr>
      <w:tr w14:paraId="708C6AAC">
        <w:tblPrEx>
          <w:tblCellMar>
            <w:top w:w="0" w:type="dxa"/>
            <w:left w:w="108" w:type="dxa"/>
            <w:bottom w:w="0" w:type="dxa"/>
            <w:right w:w="108" w:type="dxa"/>
          </w:tblCellMar>
        </w:tblPrEx>
        <w:trPr>
          <w:gridAfter w:val="1"/>
          <w:wAfter w:w="640" w:type="dxa"/>
          <w:trHeight w:val="179" w:hRule="atLeast"/>
        </w:trPr>
        <w:tc>
          <w:tcPr>
            <w:tcW w:w="746" w:type="dxa"/>
            <w:vMerge w:val="restart"/>
            <w:tcBorders>
              <w:top w:val="single" w:color="auto" w:sz="4" w:space="0"/>
              <w:left w:val="single" w:color="auto" w:sz="4" w:space="0"/>
              <w:right w:val="single" w:color="auto" w:sz="4" w:space="0"/>
            </w:tcBorders>
            <w:shd w:val="clear" w:color="auto" w:fill="E2EFD9"/>
            <w:noWrap/>
            <w:vAlign w:val="center"/>
          </w:tcPr>
          <w:p w14:paraId="708C6AA6">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No.</w:t>
            </w:r>
          </w:p>
        </w:tc>
        <w:tc>
          <w:tcPr>
            <w:tcW w:w="2231" w:type="dxa"/>
            <w:vMerge w:val="restart"/>
            <w:tcBorders>
              <w:top w:val="single" w:color="auto" w:sz="4" w:space="0"/>
              <w:left w:val="single" w:color="auto" w:sz="4" w:space="0"/>
              <w:right w:val="single" w:color="auto" w:sz="4" w:space="0"/>
            </w:tcBorders>
            <w:shd w:val="clear" w:color="auto" w:fill="E2EFD9"/>
            <w:noWrap/>
            <w:vAlign w:val="center"/>
          </w:tcPr>
          <w:p w14:paraId="708C6AA7">
            <w:pPr>
              <w:jc w:val="center"/>
              <w:rPr>
                <w:b/>
                <w:bCs/>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Description of Goods</w:t>
            </w:r>
          </w:p>
        </w:tc>
        <w:tc>
          <w:tcPr>
            <w:tcW w:w="2727" w:type="dxa"/>
            <w:gridSpan w:val="2"/>
            <w:vMerge w:val="restart"/>
            <w:tcBorders>
              <w:top w:val="single" w:color="auto" w:sz="4" w:space="0"/>
              <w:left w:val="nil"/>
              <w:right w:val="single" w:color="auto" w:sz="4" w:space="0"/>
            </w:tcBorders>
            <w:shd w:val="clear" w:color="auto" w:fill="E2EFD9"/>
            <w:vAlign w:val="center"/>
          </w:tcPr>
          <w:p w14:paraId="708C6AA8">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The Bidder is commercial bidder</w:t>
            </w:r>
          </w:p>
        </w:tc>
        <w:tc>
          <w:tcPr>
            <w:tcW w:w="1762" w:type="dxa"/>
            <w:vMerge w:val="restart"/>
            <w:tcBorders>
              <w:top w:val="single" w:color="auto" w:sz="4" w:space="0"/>
              <w:left w:val="nil"/>
              <w:right w:val="single" w:color="auto" w:sz="4" w:space="0"/>
            </w:tcBorders>
            <w:shd w:val="clear" w:color="auto" w:fill="E2EFD9"/>
            <w:vAlign w:val="center"/>
          </w:tcPr>
          <w:p w14:paraId="708C6AA9">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The Bidder is manufacturer</w:t>
            </w:r>
          </w:p>
        </w:tc>
        <w:tc>
          <w:tcPr>
            <w:tcW w:w="2234" w:type="dxa"/>
            <w:vMerge w:val="restart"/>
            <w:tcBorders>
              <w:top w:val="single" w:color="auto" w:sz="4" w:space="0"/>
              <w:left w:val="nil"/>
              <w:right w:val="single" w:color="auto" w:sz="4" w:space="0"/>
            </w:tcBorders>
            <w:shd w:val="clear" w:color="auto" w:fill="E2EFD9"/>
            <w:vAlign w:val="center"/>
          </w:tcPr>
          <w:p w14:paraId="708C6AAA">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Domestic production cost</w:t>
            </w:r>
          </w:p>
        </w:tc>
        <w:tc>
          <w:tcPr>
            <w:tcW w:w="5245" w:type="dxa"/>
            <w:gridSpan w:val="2"/>
            <w:tcBorders>
              <w:top w:val="single" w:color="auto" w:sz="4" w:space="0"/>
              <w:left w:val="nil"/>
              <w:bottom w:val="single" w:color="auto" w:sz="4" w:space="0"/>
              <w:right w:val="single" w:color="auto" w:sz="4" w:space="0"/>
            </w:tcBorders>
            <w:shd w:val="clear" w:color="auto" w:fill="E2EFD9"/>
            <w:vAlign w:val="center"/>
          </w:tcPr>
          <w:p w14:paraId="708C6AAB">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Percentage of domestic production costs</w:t>
            </w:r>
          </w:p>
        </w:tc>
      </w:tr>
      <w:tr w14:paraId="708C6AB4">
        <w:tblPrEx>
          <w:tblCellMar>
            <w:top w:w="0" w:type="dxa"/>
            <w:left w:w="108" w:type="dxa"/>
            <w:bottom w:w="0" w:type="dxa"/>
            <w:right w:w="108" w:type="dxa"/>
          </w:tblCellMar>
        </w:tblPrEx>
        <w:trPr>
          <w:gridAfter w:val="1"/>
          <w:wAfter w:w="640" w:type="dxa"/>
          <w:trHeight w:val="690" w:hRule="atLeast"/>
        </w:trPr>
        <w:tc>
          <w:tcPr>
            <w:tcW w:w="746" w:type="dxa"/>
            <w:vMerge w:val="continue"/>
            <w:tcBorders>
              <w:left w:val="single" w:color="auto" w:sz="4" w:space="0"/>
              <w:right w:val="single" w:color="auto" w:sz="4" w:space="0"/>
            </w:tcBorders>
            <w:shd w:val="clear" w:color="auto" w:fill="E2EFD9"/>
            <w:vAlign w:val="center"/>
          </w:tcPr>
          <w:p w14:paraId="708C6AAD">
            <w:pPr>
              <w:rPr>
                <w:b/>
                <w:bCs/>
                <w:color w:val="000000" w:themeColor="text1"/>
                <w:sz w:val="26"/>
                <w:szCs w:val="26"/>
                <w14:textFill>
                  <w14:solidFill>
                    <w14:schemeClr w14:val="tx1"/>
                  </w14:solidFill>
                </w14:textFill>
              </w:rPr>
            </w:pPr>
          </w:p>
        </w:tc>
        <w:tc>
          <w:tcPr>
            <w:tcW w:w="2231" w:type="dxa"/>
            <w:vMerge w:val="continue"/>
            <w:tcBorders>
              <w:left w:val="single" w:color="auto" w:sz="4" w:space="0"/>
              <w:right w:val="single" w:color="auto" w:sz="4" w:space="0"/>
            </w:tcBorders>
            <w:shd w:val="clear" w:color="auto" w:fill="E2EFD9"/>
            <w:vAlign w:val="center"/>
          </w:tcPr>
          <w:p w14:paraId="708C6AAE">
            <w:pPr>
              <w:rPr>
                <w:b/>
                <w:bCs/>
                <w:color w:val="000000" w:themeColor="text1"/>
                <w:sz w:val="26"/>
                <w:szCs w:val="26"/>
                <w14:textFill>
                  <w14:solidFill>
                    <w14:schemeClr w14:val="tx1"/>
                  </w14:solidFill>
                </w14:textFill>
              </w:rPr>
            </w:pPr>
          </w:p>
        </w:tc>
        <w:tc>
          <w:tcPr>
            <w:tcW w:w="2727" w:type="dxa"/>
            <w:gridSpan w:val="2"/>
            <w:vMerge w:val="continue"/>
            <w:tcBorders>
              <w:left w:val="nil"/>
              <w:bottom w:val="single" w:color="auto" w:sz="4" w:space="0"/>
              <w:right w:val="single" w:color="auto" w:sz="4" w:space="0"/>
            </w:tcBorders>
            <w:shd w:val="clear" w:color="auto" w:fill="E2EFD9"/>
            <w:noWrap/>
            <w:vAlign w:val="center"/>
          </w:tcPr>
          <w:p w14:paraId="708C6AAF">
            <w:pPr>
              <w:jc w:val="center"/>
              <w:rPr>
                <w:b/>
                <w:bCs/>
                <w:color w:val="000000" w:themeColor="text1"/>
                <w:sz w:val="26"/>
                <w:szCs w:val="26"/>
                <w14:textFill>
                  <w14:solidFill>
                    <w14:schemeClr w14:val="tx1"/>
                  </w14:solidFill>
                </w14:textFill>
              </w:rPr>
            </w:pPr>
          </w:p>
        </w:tc>
        <w:tc>
          <w:tcPr>
            <w:tcW w:w="1762" w:type="dxa"/>
            <w:vMerge w:val="continue"/>
            <w:tcBorders>
              <w:left w:val="nil"/>
              <w:bottom w:val="single" w:color="auto" w:sz="4" w:space="0"/>
              <w:right w:val="single" w:color="auto" w:sz="4" w:space="0"/>
            </w:tcBorders>
            <w:shd w:val="clear" w:color="auto" w:fill="E2EFD9"/>
            <w:noWrap/>
            <w:vAlign w:val="center"/>
          </w:tcPr>
          <w:p w14:paraId="708C6AB0">
            <w:pPr>
              <w:jc w:val="center"/>
              <w:rPr>
                <w:b/>
                <w:bCs/>
                <w:color w:val="000000" w:themeColor="text1"/>
                <w:sz w:val="26"/>
                <w:szCs w:val="26"/>
                <w14:textFill>
                  <w14:solidFill>
                    <w14:schemeClr w14:val="tx1"/>
                  </w14:solidFill>
                </w14:textFill>
              </w:rPr>
            </w:pPr>
          </w:p>
        </w:tc>
        <w:tc>
          <w:tcPr>
            <w:tcW w:w="2234" w:type="dxa"/>
            <w:vMerge w:val="continue"/>
            <w:tcBorders>
              <w:left w:val="nil"/>
              <w:bottom w:val="single" w:color="auto" w:sz="4" w:space="0"/>
              <w:right w:val="single" w:color="auto" w:sz="4" w:space="0"/>
            </w:tcBorders>
            <w:shd w:val="clear" w:color="auto" w:fill="E2EFD9"/>
            <w:vAlign w:val="center"/>
          </w:tcPr>
          <w:p w14:paraId="708C6AB1">
            <w:pPr>
              <w:jc w:val="center"/>
              <w:rPr>
                <w:b/>
                <w:bCs/>
                <w:color w:val="000000" w:themeColor="text1"/>
                <w:sz w:val="26"/>
                <w:szCs w:val="26"/>
                <w14:textFill>
                  <w14:solidFill>
                    <w14:schemeClr w14:val="tx1"/>
                  </w14:solidFill>
                </w14:textFill>
              </w:rPr>
            </w:pPr>
          </w:p>
        </w:tc>
        <w:tc>
          <w:tcPr>
            <w:tcW w:w="2666" w:type="dxa"/>
            <w:tcBorders>
              <w:top w:val="nil"/>
              <w:left w:val="nil"/>
              <w:bottom w:val="single" w:color="auto" w:sz="4" w:space="0"/>
              <w:right w:val="single" w:color="auto" w:sz="4" w:space="0"/>
            </w:tcBorders>
            <w:shd w:val="clear" w:color="auto" w:fill="E2EFD9"/>
            <w:vAlign w:val="center"/>
          </w:tcPr>
          <w:p w14:paraId="708C6AB2">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The Bidder is commercial bidder</w:t>
            </w:r>
          </w:p>
        </w:tc>
        <w:tc>
          <w:tcPr>
            <w:tcW w:w="2579" w:type="dxa"/>
            <w:tcBorders>
              <w:top w:val="nil"/>
              <w:left w:val="nil"/>
              <w:bottom w:val="single" w:color="auto" w:sz="4" w:space="0"/>
              <w:right w:val="single" w:color="auto" w:sz="4" w:space="0"/>
            </w:tcBorders>
            <w:shd w:val="clear" w:color="auto" w:fill="E2EFD9"/>
            <w:vAlign w:val="center"/>
          </w:tcPr>
          <w:p w14:paraId="708C6AB3">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The Bidder is manufacturer</w:t>
            </w:r>
          </w:p>
        </w:tc>
      </w:tr>
      <w:tr w14:paraId="708C6ABF">
        <w:tblPrEx>
          <w:tblCellMar>
            <w:top w:w="0" w:type="dxa"/>
            <w:left w:w="108" w:type="dxa"/>
            <w:bottom w:w="0" w:type="dxa"/>
            <w:right w:w="108" w:type="dxa"/>
          </w:tblCellMar>
        </w:tblPrEx>
        <w:trPr>
          <w:gridAfter w:val="1"/>
          <w:wAfter w:w="640" w:type="dxa"/>
          <w:trHeight w:val="690" w:hRule="atLeast"/>
        </w:trPr>
        <w:tc>
          <w:tcPr>
            <w:tcW w:w="746" w:type="dxa"/>
            <w:vMerge w:val="continue"/>
            <w:tcBorders>
              <w:left w:val="single" w:color="auto" w:sz="4" w:space="0"/>
              <w:bottom w:val="single" w:color="000000" w:sz="4" w:space="0"/>
              <w:right w:val="single" w:color="auto" w:sz="4" w:space="0"/>
            </w:tcBorders>
            <w:shd w:val="clear" w:color="auto" w:fill="E2EFD9"/>
            <w:vAlign w:val="center"/>
          </w:tcPr>
          <w:p w14:paraId="708C6AB5">
            <w:pPr>
              <w:rPr>
                <w:b/>
                <w:bCs/>
                <w:color w:val="000000" w:themeColor="text1"/>
                <w:sz w:val="26"/>
                <w:szCs w:val="26"/>
                <w14:textFill>
                  <w14:solidFill>
                    <w14:schemeClr w14:val="tx1"/>
                  </w14:solidFill>
                </w14:textFill>
              </w:rPr>
            </w:pPr>
          </w:p>
        </w:tc>
        <w:tc>
          <w:tcPr>
            <w:tcW w:w="2231" w:type="dxa"/>
            <w:vMerge w:val="continue"/>
            <w:tcBorders>
              <w:left w:val="single" w:color="auto" w:sz="4" w:space="0"/>
              <w:bottom w:val="single" w:color="000000" w:sz="4" w:space="0"/>
              <w:right w:val="single" w:color="auto" w:sz="4" w:space="0"/>
            </w:tcBorders>
            <w:shd w:val="clear" w:color="auto" w:fill="E2EFD9"/>
            <w:vAlign w:val="center"/>
          </w:tcPr>
          <w:p w14:paraId="708C6AB6">
            <w:pPr>
              <w:rPr>
                <w:b/>
                <w:bCs/>
                <w:color w:val="000000" w:themeColor="text1"/>
                <w:sz w:val="26"/>
                <w:szCs w:val="26"/>
                <w14:textFill>
                  <w14:solidFill>
                    <w14:schemeClr w14:val="tx1"/>
                  </w14:solidFill>
                </w14:textFill>
              </w:rPr>
            </w:pPr>
          </w:p>
        </w:tc>
        <w:tc>
          <w:tcPr>
            <w:tcW w:w="1327" w:type="dxa"/>
            <w:tcBorders>
              <w:top w:val="nil"/>
              <w:left w:val="nil"/>
              <w:bottom w:val="single" w:color="auto" w:sz="4" w:space="0"/>
              <w:right w:val="single" w:color="auto" w:sz="4" w:space="0"/>
            </w:tcBorders>
            <w:shd w:val="clear" w:color="auto" w:fill="E2EFD9"/>
            <w:noWrap/>
            <w:vAlign w:val="center"/>
          </w:tcPr>
          <w:p w14:paraId="708C6AB7">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Offered Price in the Bid (I)</w:t>
            </w:r>
          </w:p>
        </w:tc>
        <w:tc>
          <w:tcPr>
            <w:tcW w:w="1400" w:type="dxa"/>
            <w:tcBorders>
              <w:top w:val="nil"/>
              <w:left w:val="nil"/>
              <w:bottom w:val="single" w:color="auto" w:sz="4" w:space="0"/>
              <w:right w:val="single" w:color="auto" w:sz="4" w:space="0"/>
            </w:tcBorders>
            <w:shd w:val="clear" w:color="auto" w:fill="E2EFD9"/>
            <w:vAlign w:val="center"/>
          </w:tcPr>
          <w:p w14:paraId="708C6AB8">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xml:space="preserve">Taxes value </w:t>
            </w:r>
          </w:p>
          <w:p w14:paraId="708C6AB9">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(II)</w:t>
            </w:r>
          </w:p>
        </w:tc>
        <w:tc>
          <w:tcPr>
            <w:tcW w:w="1762" w:type="dxa"/>
            <w:tcBorders>
              <w:top w:val="nil"/>
              <w:left w:val="nil"/>
              <w:bottom w:val="single" w:color="auto" w:sz="4" w:space="0"/>
              <w:right w:val="single" w:color="auto" w:sz="4" w:space="0"/>
            </w:tcBorders>
            <w:shd w:val="clear" w:color="auto" w:fill="E2EFD9"/>
            <w:noWrap/>
            <w:vAlign w:val="center"/>
          </w:tcPr>
          <w:p w14:paraId="708C6ABA">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EXW price</w:t>
            </w:r>
          </w:p>
          <w:p w14:paraId="708C6ABB">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(G)</w:t>
            </w:r>
          </w:p>
        </w:tc>
        <w:tc>
          <w:tcPr>
            <w:tcW w:w="2234" w:type="dxa"/>
            <w:tcBorders>
              <w:top w:val="nil"/>
              <w:left w:val="nil"/>
              <w:bottom w:val="single" w:color="auto" w:sz="4" w:space="0"/>
              <w:right w:val="single" w:color="auto" w:sz="4" w:space="0"/>
            </w:tcBorders>
            <w:shd w:val="clear" w:color="auto" w:fill="E2EFD9"/>
            <w:vAlign w:val="center"/>
          </w:tcPr>
          <w:p w14:paraId="708C6ABC">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xml:space="preserve">G* </w:t>
            </w:r>
          </w:p>
        </w:tc>
        <w:tc>
          <w:tcPr>
            <w:tcW w:w="2666" w:type="dxa"/>
            <w:tcBorders>
              <w:top w:val="nil"/>
              <w:left w:val="nil"/>
              <w:bottom w:val="single" w:color="auto" w:sz="4" w:space="0"/>
              <w:right w:val="single" w:color="auto" w:sz="4" w:space="0"/>
            </w:tcBorders>
            <w:shd w:val="clear" w:color="auto" w:fill="E2EFD9"/>
            <w:vAlign w:val="center"/>
          </w:tcPr>
          <w:p w14:paraId="708C6ABD">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D(%)=G*/G</w:t>
            </w:r>
            <w:r>
              <w:rPr>
                <w:b/>
                <w:bCs/>
                <w:color w:val="000000" w:themeColor="text1"/>
                <w:sz w:val="26"/>
                <w:szCs w:val="26"/>
                <w14:textFill>
                  <w14:solidFill>
                    <w14:schemeClr w14:val="tx1"/>
                  </w14:solidFill>
                </w14:textFill>
              </w:rPr>
              <w:br w:type="textWrapping"/>
            </w:r>
            <w:r>
              <w:rPr>
                <w:b/>
                <w:bCs/>
                <w:color w:val="000000" w:themeColor="text1"/>
                <w:sz w:val="26"/>
                <w:szCs w:val="26"/>
                <w14:textFill>
                  <w14:solidFill>
                    <w14:schemeClr w14:val="tx1"/>
                  </w14:solidFill>
                </w14:textFill>
              </w:rPr>
              <w:t>In which G = (I) – (II)</w:t>
            </w:r>
          </w:p>
        </w:tc>
        <w:tc>
          <w:tcPr>
            <w:tcW w:w="2579" w:type="dxa"/>
            <w:tcBorders>
              <w:top w:val="nil"/>
              <w:left w:val="nil"/>
              <w:bottom w:val="single" w:color="auto" w:sz="4" w:space="0"/>
              <w:right w:val="single" w:color="auto" w:sz="4" w:space="0"/>
            </w:tcBorders>
            <w:shd w:val="clear" w:color="auto" w:fill="E2EFD9"/>
            <w:vAlign w:val="center"/>
          </w:tcPr>
          <w:p w14:paraId="708C6ABE">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D(%)=G*/G</w:t>
            </w:r>
          </w:p>
        </w:tc>
      </w:tr>
      <w:tr w14:paraId="708C6AC8">
        <w:tblPrEx>
          <w:tblCellMar>
            <w:top w:w="0" w:type="dxa"/>
            <w:left w:w="108" w:type="dxa"/>
            <w:bottom w:w="0" w:type="dxa"/>
            <w:right w:w="108" w:type="dxa"/>
          </w:tblCellMar>
        </w:tblPrEx>
        <w:trPr>
          <w:gridAfter w:val="1"/>
          <w:wAfter w:w="640" w:type="dxa"/>
          <w:trHeight w:val="315" w:hRule="atLeast"/>
        </w:trPr>
        <w:tc>
          <w:tcPr>
            <w:tcW w:w="746" w:type="dxa"/>
            <w:tcBorders>
              <w:top w:val="nil"/>
              <w:left w:val="single" w:color="auto" w:sz="4" w:space="0"/>
              <w:bottom w:val="single" w:color="auto" w:sz="4" w:space="0"/>
              <w:right w:val="single" w:color="auto" w:sz="4" w:space="0"/>
            </w:tcBorders>
            <w:noWrap/>
            <w:vAlign w:val="center"/>
          </w:tcPr>
          <w:p w14:paraId="708C6AC0">
            <w:pPr>
              <w:jc w:val="center"/>
              <w:rPr>
                <w:i/>
                <w:iCs/>
                <w:color w:val="000000" w:themeColor="text1"/>
                <w:sz w:val="26"/>
                <w:szCs w:val="26"/>
                <w14:textFill>
                  <w14:solidFill>
                    <w14:schemeClr w14:val="tx1"/>
                  </w14:solidFill>
                </w14:textFill>
              </w:rPr>
            </w:pPr>
          </w:p>
        </w:tc>
        <w:tc>
          <w:tcPr>
            <w:tcW w:w="2231" w:type="dxa"/>
            <w:tcBorders>
              <w:top w:val="nil"/>
              <w:left w:val="nil"/>
              <w:bottom w:val="single" w:color="auto" w:sz="4" w:space="0"/>
              <w:right w:val="single" w:color="auto" w:sz="4" w:space="0"/>
            </w:tcBorders>
            <w:vAlign w:val="center"/>
          </w:tcPr>
          <w:p w14:paraId="708C6AC1">
            <w:pPr>
              <w:jc w:val="center"/>
              <w:rPr>
                <w:i/>
                <w:iCs/>
                <w:color w:val="000000" w:themeColor="text1"/>
                <w:sz w:val="26"/>
                <w:szCs w:val="26"/>
                <w14:textFill>
                  <w14:solidFill>
                    <w14:schemeClr w14:val="tx1"/>
                  </w14:solidFill>
                </w14:textFill>
              </w:rPr>
            </w:pPr>
            <w:r>
              <w:rPr>
                <w:iCs/>
                <w:color w:val="000000" w:themeColor="text1"/>
                <w:sz w:val="26"/>
                <w:szCs w:val="26"/>
                <w14:textFill>
                  <w14:solidFill>
                    <w14:schemeClr w14:val="tx1"/>
                  </w14:solidFill>
                </w14:textFill>
              </w:rPr>
              <w:t>(1)</w:t>
            </w:r>
          </w:p>
        </w:tc>
        <w:tc>
          <w:tcPr>
            <w:tcW w:w="1327" w:type="dxa"/>
            <w:tcBorders>
              <w:top w:val="nil"/>
              <w:left w:val="nil"/>
              <w:bottom w:val="single" w:color="auto" w:sz="4" w:space="0"/>
              <w:right w:val="single" w:color="auto" w:sz="4" w:space="0"/>
            </w:tcBorders>
            <w:noWrap/>
            <w:vAlign w:val="center"/>
          </w:tcPr>
          <w:p w14:paraId="708C6AC2">
            <w:pPr>
              <w:jc w:val="center"/>
              <w:rPr>
                <w:b/>
                <w:bCs/>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(2)</w:t>
            </w:r>
          </w:p>
        </w:tc>
        <w:tc>
          <w:tcPr>
            <w:tcW w:w="1400" w:type="dxa"/>
            <w:tcBorders>
              <w:top w:val="nil"/>
              <w:left w:val="nil"/>
              <w:bottom w:val="single" w:color="auto" w:sz="4" w:space="0"/>
              <w:right w:val="single" w:color="auto" w:sz="4" w:space="0"/>
            </w:tcBorders>
            <w:vAlign w:val="center"/>
          </w:tcPr>
          <w:p w14:paraId="708C6AC3">
            <w:pPr>
              <w:jc w:val="center"/>
              <w:rPr>
                <w:b/>
                <w:bCs/>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(3)</w:t>
            </w:r>
          </w:p>
        </w:tc>
        <w:tc>
          <w:tcPr>
            <w:tcW w:w="1762" w:type="dxa"/>
            <w:tcBorders>
              <w:top w:val="nil"/>
              <w:left w:val="nil"/>
              <w:bottom w:val="single" w:color="auto" w:sz="4" w:space="0"/>
              <w:right w:val="single" w:color="auto" w:sz="4" w:space="0"/>
            </w:tcBorders>
            <w:noWrap/>
            <w:vAlign w:val="center"/>
          </w:tcPr>
          <w:p w14:paraId="708C6AC4">
            <w:pPr>
              <w:jc w:val="center"/>
              <w:rPr>
                <w:b/>
                <w:bCs/>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(4)</w:t>
            </w:r>
          </w:p>
        </w:tc>
        <w:tc>
          <w:tcPr>
            <w:tcW w:w="2234" w:type="dxa"/>
            <w:tcBorders>
              <w:top w:val="nil"/>
              <w:left w:val="nil"/>
              <w:bottom w:val="single" w:color="auto" w:sz="4" w:space="0"/>
              <w:right w:val="single" w:color="auto" w:sz="4" w:space="0"/>
            </w:tcBorders>
            <w:noWrap/>
            <w:vAlign w:val="center"/>
          </w:tcPr>
          <w:p w14:paraId="708C6AC5">
            <w:pPr>
              <w:jc w:val="center"/>
              <w:rPr>
                <w:b/>
                <w:bCs/>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(5)</w:t>
            </w:r>
          </w:p>
        </w:tc>
        <w:tc>
          <w:tcPr>
            <w:tcW w:w="2666" w:type="dxa"/>
            <w:tcBorders>
              <w:top w:val="nil"/>
              <w:left w:val="nil"/>
              <w:bottom w:val="single" w:color="auto" w:sz="4" w:space="0"/>
              <w:right w:val="single" w:color="auto" w:sz="4" w:space="0"/>
            </w:tcBorders>
            <w:noWrap/>
            <w:vAlign w:val="center"/>
          </w:tcPr>
          <w:p w14:paraId="708C6AC6">
            <w:pPr>
              <w:jc w:val="center"/>
              <w:rPr>
                <w:bCs/>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(6)</w:t>
            </w:r>
          </w:p>
        </w:tc>
        <w:tc>
          <w:tcPr>
            <w:tcW w:w="2579" w:type="dxa"/>
            <w:tcBorders>
              <w:top w:val="nil"/>
              <w:left w:val="nil"/>
              <w:bottom w:val="single" w:color="auto" w:sz="4" w:space="0"/>
              <w:right w:val="single" w:color="auto" w:sz="4" w:space="0"/>
            </w:tcBorders>
            <w:vAlign w:val="center"/>
          </w:tcPr>
          <w:p w14:paraId="708C6AC7">
            <w:pPr>
              <w:jc w:val="center"/>
              <w:rPr>
                <w:bCs/>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(7)</w:t>
            </w:r>
          </w:p>
        </w:tc>
      </w:tr>
      <w:tr w14:paraId="708C6AD1">
        <w:tblPrEx>
          <w:tblCellMar>
            <w:top w:w="0" w:type="dxa"/>
            <w:left w:w="108" w:type="dxa"/>
            <w:bottom w:w="0" w:type="dxa"/>
            <w:right w:w="108" w:type="dxa"/>
          </w:tblCellMar>
        </w:tblPrEx>
        <w:trPr>
          <w:gridAfter w:val="1"/>
          <w:wAfter w:w="640" w:type="dxa"/>
          <w:trHeight w:val="315" w:hRule="atLeast"/>
        </w:trPr>
        <w:tc>
          <w:tcPr>
            <w:tcW w:w="746" w:type="dxa"/>
            <w:tcBorders>
              <w:top w:val="nil"/>
              <w:left w:val="single" w:color="auto" w:sz="4" w:space="0"/>
              <w:bottom w:val="single" w:color="auto" w:sz="4" w:space="0"/>
              <w:right w:val="single" w:color="auto" w:sz="4" w:space="0"/>
            </w:tcBorders>
            <w:noWrap/>
            <w:vAlign w:val="center"/>
          </w:tcPr>
          <w:p w14:paraId="708C6AC9">
            <w:pPr>
              <w:jc w:val="center"/>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1</w:t>
            </w:r>
          </w:p>
        </w:tc>
        <w:tc>
          <w:tcPr>
            <w:tcW w:w="2231" w:type="dxa"/>
            <w:tcBorders>
              <w:top w:val="nil"/>
              <w:left w:val="nil"/>
              <w:bottom w:val="single" w:color="auto" w:sz="4" w:space="0"/>
              <w:right w:val="single" w:color="auto" w:sz="4" w:space="0"/>
            </w:tcBorders>
            <w:vAlign w:val="center"/>
          </w:tcPr>
          <w:p w14:paraId="708C6ACA">
            <w:pPr>
              <w:rPr>
                <w:i/>
                <w:iCs/>
                <w:color w:val="000000" w:themeColor="text1"/>
                <w:sz w:val="26"/>
                <w:szCs w:val="26"/>
                <w14:textFill>
                  <w14:solidFill>
                    <w14:schemeClr w14:val="tx1"/>
                  </w14:solidFill>
                </w14:textFill>
              </w:rPr>
            </w:pPr>
          </w:p>
        </w:tc>
        <w:tc>
          <w:tcPr>
            <w:tcW w:w="1327" w:type="dxa"/>
            <w:tcBorders>
              <w:top w:val="nil"/>
              <w:left w:val="nil"/>
              <w:bottom w:val="single" w:color="auto" w:sz="4" w:space="0"/>
              <w:right w:val="single" w:color="auto" w:sz="4" w:space="0"/>
            </w:tcBorders>
            <w:noWrap/>
            <w:vAlign w:val="center"/>
          </w:tcPr>
          <w:p w14:paraId="708C6ACB">
            <w:pPr>
              <w:jc w:val="center"/>
              <w:rPr>
                <w:b/>
                <w:bCs/>
                <w:color w:val="000000" w:themeColor="text1"/>
                <w:sz w:val="26"/>
                <w:szCs w:val="26"/>
                <w14:textFill>
                  <w14:solidFill>
                    <w14:schemeClr w14:val="tx1"/>
                  </w14:solidFill>
                </w14:textFill>
              </w:rPr>
            </w:pPr>
          </w:p>
        </w:tc>
        <w:tc>
          <w:tcPr>
            <w:tcW w:w="1400" w:type="dxa"/>
            <w:tcBorders>
              <w:top w:val="nil"/>
              <w:left w:val="nil"/>
              <w:bottom w:val="single" w:color="auto" w:sz="4" w:space="0"/>
              <w:right w:val="single" w:color="auto" w:sz="4" w:space="0"/>
            </w:tcBorders>
            <w:vAlign w:val="center"/>
          </w:tcPr>
          <w:p w14:paraId="708C6ACC">
            <w:pPr>
              <w:jc w:val="center"/>
              <w:rPr>
                <w:b/>
                <w:bCs/>
                <w:color w:val="000000" w:themeColor="text1"/>
                <w:sz w:val="26"/>
                <w:szCs w:val="26"/>
                <w14:textFill>
                  <w14:solidFill>
                    <w14:schemeClr w14:val="tx1"/>
                  </w14:solidFill>
                </w14:textFill>
              </w:rPr>
            </w:pPr>
          </w:p>
        </w:tc>
        <w:tc>
          <w:tcPr>
            <w:tcW w:w="1762" w:type="dxa"/>
            <w:tcBorders>
              <w:top w:val="nil"/>
              <w:left w:val="nil"/>
              <w:bottom w:val="single" w:color="auto" w:sz="4" w:space="0"/>
              <w:right w:val="single" w:color="auto" w:sz="4" w:space="0"/>
            </w:tcBorders>
            <w:noWrap/>
            <w:vAlign w:val="center"/>
          </w:tcPr>
          <w:p w14:paraId="708C6ACD">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2234" w:type="dxa"/>
            <w:tcBorders>
              <w:top w:val="nil"/>
              <w:left w:val="nil"/>
              <w:bottom w:val="single" w:color="auto" w:sz="4" w:space="0"/>
              <w:right w:val="single" w:color="auto" w:sz="4" w:space="0"/>
            </w:tcBorders>
            <w:noWrap/>
            <w:vAlign w:val="center"/>
          </w:tcPr>
          <w:p w14:paraId="708C6ACE">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2666" w:type="dxa"/>
            <w:tcBorders>
              <w:top w:val="nil"/>
              <w:left w:val="nil"/>
              <w:bottom w:val="single" w:color="auto" w:sz="4" w:space="0"/>
              <w:right w:val="single" w:color="auto" w:sz="4" w:space="0"/>
            </w:tcBorders>
            <w:noWrap/>
            <w:vAlign w:val="center"/>
          </w:tcPr>
          <w:p w14:paraId="708C6ACF">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2579" w:type="dxa"/>
            <w:tcBorders>
              <w:top w:val="nil"/>
              <w:left w:val="nil"/>
              <w:bottom w:val="single" w:color="auto" w:sz="4" w:space="0"/>
              <w:right w:val="single" w:color="auto" w:sz="4" w:space="0"/>
            </w:tcBorders>
            <w:vAlign w:val="center"/>
          </w:tcPr>
          <w:p w14:paraId="708C6AD0">
            <w:pPr>
              <w:jc w:val="center"/>
              <w:rPr>
                <w:b/>
                <w:bCs/>
                <w:color w:val="000000" w:themeColor="text1"/>
                <w:sz w:val="26"/>
                <w:szCs w:val="26"/>
                <w14:textFill>
                  <w14:solidFill>
                    <w14:schemeClr w14:val="tx1"/>
                  </w14:solidFill>
                </w14:textFill>
              </w:rPr>
            </w:pPr>
          </w:p>
        </w:tc>
      </w:tr>
      <w:tr w14:paraId="708C6ADA">
        <w:trPr>
          <w:gridAfter w:val="1"/>
          <w:wAfter w:w="640" w:type="dxa"/>
          <w:trHeight w:val="315" w:hRule="atLeast"/>
        </w:trPr>
        <w:tc>
          <w:tcPr>
            <w:tcW w:w="746" w:type="dxa"/>
            <w:tcBorders>
              <w:top w:val="nil"/>
              <w:left w:val="single" w:color="auto" w:sz="4" w:space="0"/>
              <w:bottom w:val="single" w:color="auto" w:sz="4" w:space="0"/>
              <w:right w:val="single" w:color="auto" w:sz="4" w:space="0"/>
            </w:tcBorders>
            <w:noWrap/>
            <w:vAlign w:val="center"/>
          </w:tcPr>
          <w:p w14:paraId="708C6AD2">
            <w:pPr>
              <w:jc w:val="center"/>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2</w:t>
            </w:r>
          </w:p>
        </w:tc>
        <w:tc>
          <w:tcPr>
            <w:tcW w:w="2231" w:type="dxa"/>
            <w:tcBorders>
              <w:top w:val="nil"/>
              <w:left w:val="nil"/>
              <w:bottom w:val="single" w:color="auto" w:sz="4" w:space="0"/>
              <w:right w:val="single" w:color="auto" w:sz="4" w:space="0"/>
            </w:tcBorders>
            <w:vAlign w:val="center"/>
          </w:tcPr>
          <w:p w14:paraId="708C6AD3">
            <w:pPr>
              <w:rPr>
                <w:i/>
                <w:iCs/>
                <w:color w:val="000000" w:themeColor="text1"/>
                <w:sz w:val="26"/>
                <w:szCs w:val="26"/>
                <w14:textFill>
                  <w14:solidFill>
                    <w14:schemeClr w14:val="tx1"/>
                  </w14:solidFill>
                </w14:textFill>
              </w:rPr>
            </w:pPr>
          </w:p>
        </w:tc>
        <w:tc>
          <w:tcPr>
            <w:tcW w:w="1327" w:type="dxa"/>
            <w:tcBorders>
              <w:top w:val="nil"/>
              <w:left w:val="nil"/>
              <w:bottom w:val="single" w:color="auto" w:sz="4" w:space="0"/>
              <w:right w:val="single" w:color="auto" w:sz="4" w:space="0"/>
            </w:tcBorders>
            <w:noWrap/>
            <w:vAlign w:val="center"/>
          </w:tcPr>
          <w:p w14:paraId="708C6AD4">
            <w:pPr>
              <w:jc w:val="center"/>
              <w:rPr>
                <w:b/>
                <w:bCs/>
                <w:color w:val="000000" w:themeColor="text1"/>
                <w:sz w:val="26"/>
                <w:szCs w:val="26"/>
                <w14:textFill>
                  <w14:solidFill>
                    <w14:schemeClr w14:val="tx1"/>
                  </w14:solidFill>
                </w14:textFill>
              </w:rPr>
            </w:pPr>
          </w:p>
        </w:tc>
        <w:tc>
          <w:tcPr>
            <w:tcW w:w="1400" w:type="dxa"/>
            <w:tcBorders>
              <w:top w:val="nil"/>
              <w:left w:val="nil"/>
              <w:bottom w:val="single" w:color="auto" w:sz="4" w:space="0"/>
              <w:right w:val="single" w:color="auto" w:sz="4" w:space="0"/>
            </w:tcBorders>
            <w:vAlign w:val="center"/>
          </w:tcPr>
          <w:p w14:paraId="708C6AD5">
            <w:pPr>
              <w:jc w:val="center"/>
              <w:rPr>
                <w:b/>
                <w:bCs/>
                <w:color w:val="000000" w:themeColor="text1"/>
                <w:sz w:val="26"/>
                <w:szCs w:val="26"/>
                <w14:textFill>
                  <w14:solidFill>
                    <w14:schemeClr w14:val="tx1"/>
                  </w14:solidFill>
                </w14:textFill>
              </w:rPr>
            </w:pPr>
          </w:p>
        </w:tc>
        <w:tc>
          <w:tcPr>
            <w:tcW w:w="1762" w:type="dxa"/>
            <w:tcBorders>
              <w:top w:val="nil"/>
              <w:left w:val="nil"/>
              <w:bottom w:val="single" w:color="auto" w:sz="4" w:space="0"/>
              <w:right w:val="single" w:color="auto" w:sz="4" w:space="0"/>
            </w:tcBorders>
            <w:noWrap/>
            <w:vAlign w:val="center"/>
          </w:tcPr>
          <w:p w14:paraId="708C6AD6">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2234" w:type="dxa"/>
            <w:tcBorders>
              <w:top w:val="nil"/>
              <w:left w:val="nil"/>
              <w:bottom w:val="single" w:color="auto" w:sz="4" w:space="0"/>
              <w:right w:val="single" w:color="auto" w:sz="4" w:space="0"/>
            </w:tcBorders>
            <w:noWrap/>
            <w:vAlign w:val="center"/>
          </w:tcPr>
          <w:p w14:paraId="708C6AD7">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2666" w:type="dxa"/>
            <w:tcBorders>
              <w:top w:val="nil"/>
              <w:left w:val="nil"/>
              <w:bottom w:val="single" w:color="auto" w:sz="4" w:space="0"/>
              <w:right w:val="single" w:color="auto" w:sz="4" w:space="0"/>
            </w:tcBorders>
            <w:noWrap/>
            <w:vAlign w:val="center"/>
          </w:tcPr>
          <w:p w14:paraId="708C6AD8">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2579" w:type="dxa"/>
            <w:tcBorders>
              <w:top w:val="nil"/>
              <w:left w:val="nil"/>
              <w:bottom w:val="single" w:color="auto" w:sz="4" w:space="0"/>
              <w:right w:val="single" w:color="auto" w:sz="4" w:space="0"/>
            </w:tcBorders>
            <w:vAlign w:val="center"/>
          </w:tcPr>
          <w:p w14:paraId="708C6AD9">
            <w:pPr>
              <w:jc w:val="center"/>
              <w:rPr>
                <w:b/>
                <w:bCs/>
                <w:color w:val="000000" w:themeColor="text1"/>
                <w:sz w:val="26"/>
                <w:szCs w:val="26"/>
                <w14:textFill>
                  <w14:solidFill>
                    <w14:schemeClr w14:val="tx1"/>
                  </w14:solidFill>
                </w14:textFill>
              </w:rPr>
            </w:pPr>
          </w:p>
        </w:tc>
      </w:tr>
      <w:tr w14:paraId="708C6AE3">
        <w:tblPrEx>
          <w:tblCellMar>
            <w:top w:w="0" w:type="dxa"/>
            <w:left w:w="108" w:type="dxa"/>
            <w:bottom w:w="0" w:type="dxa"/>
            <w:right w:w="108" w:type="dxa"/>
          </w:tblCellMar>
        </w:tblPrEx>
        <w:trPr>
          <w:gridAfter w:val="1"/>
          <w:wAfter w:w="640" w:type="dxa"/>
          <w:trHeight w:val="315" w:hRule="atLeast"/>
        </w:trPr>
        <w:tc>
          <w:tcPr>
            <w:tcW w:w="746" w:type="dxa"/>
            <w:tcBorders>
              <w:top w:val="nil"/>
              <w:left w:val="single" w:color="auto" w:sz="4" w:space="0"/>
              <w:bottom w:val="single" w:color="auto" w:sz="4" w:space="0"/>
              <w:right w:val="single" w:color="auto" w:sz="4" w:space="0"/>
            </w:tcBorders>
            <w:noWrap/>
            <w:vAlign w:val="center"/>
          </w:tcPr>
          <w:p w14:paraId="708C6ADB">
            <w:pPr>
              <w:jc w:val="center"/>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w:t>
            </w:r>
          </w:p>
        </w:tc>
        <w:tc>
          <w:tcPr>
            <w:tcW w:w="2231" w:type="dxa"/>
            <w:tcBorders>
              <w:top w:val="nil"/>
              <w:left w:val="nil"/>
              <w:bottom w:val="single" w:color="auto" w:sz="4" w:space="0"/>
              <w:right w:val="single" w:color="auto" w:sz="4" w:space="0"/>
            </w:tcBorders>
            <w:vAlign w:val="center"/>
          </w:tcPr>
          <w:p w14:paraId="708C6ADC">
            <w:pPr>
              <w:rPr>
                <w:i/>
                <w:iCs/>
                <w:color w:val="000000" w:themeColor="text1"/>
                <w:sz w:val="26"/>
                <w:szCs w:val="26"/>
                <w14:textFill>
                  <w14:solidFill>
                    <w14:schemeClr w14:val="tx1"/>
                  </w14:solidFill>
                </w14:textFill>
              </w:rPr>
            </w:pPr>
          </w:p>
        </w:tc>
        <w:tc>
          <w:tcPr>
            <w:tcW w:w="1327" w:type="dxa"/>
            <w:tcBorders>
              <w:top w:val="nil"/>
              <w:left w:val="nil"/>
              <w:bottom w:val="single" w:color="auto" w:sz="4" w:space="0"/>
              <w:right w:val="single" w:color="auto" w:sz="4" w:space="0"/>
            </w:tcBorders>
            <w:noWrap/>
            <w:vAlign w:val="center"/>
          </w:tcPr>
          <w:p w14:paraId="708C6ADD">
            <w:pPr>
              <w:jc w:val="center"/>
              <w:rPr>
                <w:b/>
                <w:bCs/>
                <w:color w:val="000000" w:themeColor="text1"/>
                <w:sz w:val="26"/>
                <w:szCs w:val="26"/>
                <w14:textFill>
                  <w14:solidFill>
                    <w14:schemeClr w14:val="tx1"/>
                  </w14:solidFill>
                </w14:textFill>
              </w:rPr>
            </w:pPr>
          </w:p>
        </w:tc>
        <w:tc>
          <w:tcPr>
            <w:tcW w:w="1400" w:type="dxa"/>
            <w:tcBorders>
              <w:top w:val="nil"/>
              <w:left w:val="nil"/>
              <w:bottom w:val="single" w:color="auto" w:sz="4" w:space="0"/>
              <w:right w:val="single" w:color="auto" w:sz="4" w:space="0"/>
            </w:tcBorders>
            <w:vAlign w:val="center"/>
          </w:tcPr>
          <w:p w14:paraId="708C6ADE">
            <w:pPr>
              <w:jc w:val="center"/>
              <w:rPr>
                <w:b/>
                <w:bCs/>
                <w:color w:val="000000" w:themeColor="text1"/>
                <w:sz w:val="26"/>
                <w:szCs w:val="26"/>
                <w14:textFill>
                  <w14:solidFill>
                    <w14:schemeClr w14:val="tx1"/>
                  </w14:solidFill>
                </w14:textFill>
              </w:rPr>
            </w:pPr>
          </w:p>
        </w:tc>
        <w:tc>
          <w:tcPr>
            <w:tcW w:w="1762" w:type="dxa"/>
            <w:tcBorders>
              <w:top w:val="nil"/>
              <w:left w:val="nil"/>
              <w:bottom w:val="single" w:color="auto" w:sz="4" w:space="0"/>
              <w:right w:val="single" w:color="auto" w:sz="4" w:space="0"/>
            </w:tcBorders>
            <w:noWrap/>
            <w:vAlign w:val="center"/>
          </w:tcPr>
          <w:p w14:paraId="708C6ADF">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2234" w:type="dxa"/>
            <w:tcBorders>
              <w:top w:val="nil"/>
              <w:left w:val="nil"/>
              <w:bottom w:val="single" w:color="auto" w:sz="4" w:space="0"/>
              <w:right w:val="single" w:color="auto" w:sz="4" w:space="0"/>
            </w:tcBorders>
            <w:noWrap/>
            <w:vAlign w:val="center"/>
          </w:tcPr>
          <w:p w14:paraId="708C6AE0">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2666" w:type="dxa"/>
            <w:tcBorders>
              <w:top w:val="nil"/>
              <w:left w:val="nil"/>
              <w:bottom w:val="single" w:color="auto" w:sz="4" w:space="0"/>
              <w:right w:val="single" w:color="auto" w:sz="4" w:space="0"/>
            </w:tcBorders>
            <w:noWrap/>
            <w:vAlign w:val="center"/>
          </w:tcPr>
          <w:p w14:paraId="708C6AE1">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2579" w:type="dxa"/>
            <w:tcBorders>
              <w:top w:val="nil"/>
              <w:left w:val="nil"/>
              <w:bottom w:val="single" w:color="auto" w:sz="4" w:space="0"/>
              <w:right w:val="single" w:color="auto" w:sz="4" w:space="0"/>
            </w:tcBorders>
            <w:vAlign w:val="center"/>
          </w:tcPr>
          <w:p w14:paraId="708C6AE2">
            <w:pPr>
              <w:jc w:val="center"/>
              <w:rPr>
                <w:b/>
                <w:bCs/>
                <w:color w:val="000000" w:themeColor="text1"/>
                <w:sz w:val="26"/>
                <w:szCs w:val="26"/>
                <w14:textFill>
                  <w14:solidFill>
                    <w14:schemeClr w14:val="tx1"/>
                  </w14:solidFill>
                </w14:textFill>
              </w:rPr>
            </w:pPr>
          </w:p>
        </w:tc>
      </w:tr>
      <w:tr w14:paraId="708C6AEC">
        <w:tblPrEx>
          <w:tblCellMar>
            <w:top w:w="0" w:type="dxa"/>
            <w:left w:w="108" w:type="dxa"/>
            <w:bottom w:w="0" w:type="dxa"/>
            <w:right w:w="108" w:type="dxa"/>
          </w:tblCellMar>
        </w:tblPrEx>
        <w:trPr>
          <w:gridAfter w:val="1"/>
          <w:wAfter w:w="640" w:type="dxa"/>
          <w:trHeight w:val="315" w:hRule="atLeast"/>
        </w:trPr>
        <w:tc>
          <w:tcPr>
            <w:tcW w:w="746" w:type="dxa"/>
            <w:tcBorders>
              <w:top w:val="nil"/>
              <w:left w:val="single" w:color="auto" w:sz="4" w:space="0"/>
              <w:bottom w:val="single" w:color="auto" w:sz="4" w:space="0"/>
              <w:right w:val="single" w:color="auto" w:sz="4" w:space="0"/>
            </w:tcBorders>
            <w:noWrap/>
            <w:vAlign w:val="center"/>
          </w:tcPr>
          <w:p w14:paraId="708C6AE4">
            <w:pPr>
              <w:jc w:val="center"/>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n</w:t>
            </w:r>
          </w:p>
        </w:tc>
        <w:tc>
          <w:tcPr>
            <w:tcW w:w="2231" w:type="dxa"/>
            <w:tcBorders>
              <w:top w:val="nil"/>
              <w:left w:val="nil"/>
              <w:bottom w:val="single" w:color="auto" w:sz="4" w:space="0"/>
              <w:right w:val="single" w:color="auto" w:sz="4" w:space="0"/>
            </w:tcBorders>
            <w:vAlign w:val="center"/>
          </w:tcPr>
          <w:p w14:paraId="708C6AE5">
            <w:pPr>
              <w:rPr>
                <w:i/>
                <w:iCs/>
                <w:color w:val="000000" w:themeColor="text1"/>
                <w:sz w:val="26"/>
                <w:szCs w:val="26"/>
                <w14:textFill>
                  <w14:solidFill>
                    <w14:schemeClr w14:val="tx1"/>
                  </w14:solidFill>
                </w14:textFill>
              </w:rPr>
            </w:pPr>
          </w:p>
        </w:tc>
        <w:tc>
          <w:tcPr>
            <w:tcW w:w="1327" w:type="dxa"/>
            <w:tcBorders>
              <w:top w:val="nil"/>
              <w:left w:val="nil"/>
              <w:bottom w:val="single" w:color="auto" w:sz="4" w:space="0"/>
              <w:right w:val="single" w:color="auto" w:sz="4" w:space="0"/>
            </w:tcBorders>
            <w:noWrap/>
            <w:vAlign w:val="center"/>
          </w:tcPr>
          <w:p w14:paraId="708C6AE6">
            <w:pPr>
              <w:jc w:val="center"/>
              <w:rPr>
                <w:b/>
                <w:bCs/>
                <w:color w:val="000000" w:themeColor="text1"/>
                <w:sz w:val="26"/>
                <w:szCs w:val="26"/>
                <w14:textFill>
                  <w14:solidFill>
                    <w14:schemeClr w14:val="tx1"/>
                  </w14:solidFill>
                </w14:textFill>
              </w:rPr>
            </w:pPr>
          </w:p>
        </w:tc>
        <w:tc>
          <w:tcPr>
            <w:tcW w:w="1400" w:type="dxa"/>
            <w:tcBorders>
              <w:top w:val="nil"/>
              <w:left w:val="nil"/>
              <w:bottom w:val="single" w:color="auto" w:sz="4" w:space="0"/>
              <w:right w:val="single" w:color="auto" w:sz="4" w:space="0"/>
            </w:tcBorders>
            <w:vAlign w:val="center"/>
          </w:tcPr>
          <w:p w14:paraId="708C6AE7">
            <w:pPr>
              <w:jc w:val="center"/>
              <w:rPr>
                <w:b/>
                <w:bCs/>
                <w:color w:val="000000" w:themeColor="text1"/>
                <w:sz w:val="26"/>
                <w:szCs w:val="26"/>
                <w14:textFill>
                  <w14:solidFill>
                    <w14:schemeClr w14:val="tx1"/>
                  </w14:solidFill>
                </w14:textFill>
              </w:rPr>
            </w:pPr>
          </w:p>
        </w:tc>
        <w:tc>
          <w:tcPr>
            <w:tcW w:w="1762" w:type="dxa"/>
            <w:tcBorders>
              <w:top w:val="nil"/>
              <w:left w:val="nil"/>
              <w:bottom w:val="single" w:color="auto" w:sz="4" w:space="0"/>
              <w:right w:val="single" w:color="auto" w:sz="4" w:space="0"/>
            </w:tcBorders>
            <w:noWrap/>
            <w:vAlign w:val="center"/>
          </w:tcPr>
          <w:p w14:paraId="708C6AE8">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2234" w:type="dxa"/>
            <w:tcBorders>
              <w:top w:val="nil"/>
              <w:left w:val="nil"/>
              <w:bottom w:val="single" w:color="auto" w:sz="4" w:space="0"/>
              <w:right w:val="single" w:color="auto" w:sz="4" w:space="0"/>
            </w:tcBorders>
            <w:noWrap/>
            <w:vAlign w:val="center"/>
          </w:tcPr>
          <w:p w14:paraId="708C6AE9">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2666" w:type="dxa"/>
            <w:tcBorders>
              <w:top w:val="nil"/>
              <w:left w:val="nil"/>
              <w:bottom w:val="single" w:color="auto" w:sz="4" w:space="0"/>
              <w:right w:val="single" w:color="auto" w:sz="4" w:space="0"/>
            </w:tcBorders>
            <w:noWrap/>
            <w:vAlign w:val="center"/>
          </w:tcPr>
          <w:p w14:paraId="708C6AEA">
            <w:pPr>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 </w:t>
            </w:r>
          </w:p>
        </w:tc>
        <w:tc>
          <w:tcPr>
            <w:tcW w:w="2579" w:type="dxa"/>
            <w:tcBorders>
              <w:top w:val="nil"/>
              <w:left w:val="nil"/>
              <w:bottom w:val="single" w:color="auto" w:sz="4" w:space="0"/>
              <w:right w:val="single" w:color="auto" w:sz="4" w:space="0"/>
            </w:tcBorders>
            <w:vAlign w:val="center"/>
          </w:tcPr>
          <w:p w14:paraId="708C6AEB">
            <w:pPr>
              <w:jc w:val="center"/>
              <w:rPr>
                <w:b/>
                <w:bCs/>
                <w:color w:val="000000" w:themeColor="text1"/>
                <w:sz w:val="26"/>
                <w:szCs w:val="26"/>
                <w14:textFill>
                  <w14:solidFill>
                    <w14:schemeClr w14:val="tx1"/>
                  </w14:solidFill>
                </w14:textFill>
              </w:rPr>
            </w:pPr>
          </w:p>
        </w:tc>
      </w:tr>
      <w:tr w14:paraId="708C6AF5">
        <w:tblPrEx>
          <w:tblCellMar>
            <w:top w:w="0" w:type="dxa"/>
            <w:left w:w="108" w:type="dxa"/>
            <w:bottom w:w="0" w:type="dxa"/>
            <w:right w:w="108" w:type="dxa"/>
          </w:tblCellMar>
        </w:tblPrEx>
        <w:trPr>
          <w:gridAfter w:val="1"/>
          <w:wAfter w:w="640" w:type="dxa"/>
          <w:trHeight w:val="315" w:hRule="atLeast"/>
        </w:trPr>
        <w:tc>
          <w:tcPr>
            <w:tcW w:w="746" w:type="dxa"/>
            <w:tcBorders>
              <w:top w:val="nil"/>
              <w:left w:val="nil"/>
              <w:bottom w:val="nil"/>
              <w:right w:val="nil"/>
            </w:tcBorders>
            <w:noWrap/>
            <w:vAlign w:val="center"/>
          </w:tcPr>
          <w:p w14:paraId="708C6AED">
            <w:pPr>
              <w:jc w:val="center"/>
              <w:rPr>
                <w:b/>
                <w:bCs/>
                <w:color w:val="000000" w:themeColor="text1"/>
                <w:sz w:val="26"/>
                <w:szCs w:val="26"/>
                <w14:textFill>
                  <w14:solidFill>
                    <w14:schemeClr w14:val="tx1"/>
                  </w14:solidFill>
                </w14:textFill>
              </w:rPr>
            </w:pPr>
          </w:p>
        </w:tc>
        <w:tc>
          <w:tcPr>
            <w:tcW w:w="2231" w:type="dxa"/>
            <w:tcBorders>
              <w:top w:val="nil"/>
              <w:left w:val="nil"/>
              <w:bottom w:val="nil"/>
              <w:right w:val="nil"/>
            </w:tcBorders>
            <w:vAlign w:val="center"/>
          </w:tcPr>
          <w:p w14:paraId="708C6AEE">
            <w:pPr>
              <w:jc w:val="center"/>
              <w:rPr>
                <w:color w:val="000000" w:themeColor="text1"/>
                <w:sz w:val="26"/>
                <w:szCs w:val="26"/>
                <w14:textFill>
                  <w14:solidFill>
                    <w14:schemeClr w14:val="tx1"/>
                  </w14:solidFill>
                </w14:textFill>
              </w:rPr>
            </w:pPr>
          </w:p>
        </w:tc>
        <w:tc>
          <w:tcPr>
            <w:tcW w:w="2727" w:type="dxa"/>
            <w:gridSpan w:val="2"/>
            <w:tcBorders>
              <w:top w:val="nil"/>
              <w:left w:val="nil"/>
              <w:bottom w:val="nil"/>
              <w:right w:val="nil"/>
            </w:tcBorders>
            <w:noWrap/>
            <w:vAlign w:val="center"/>
          </w:tcPr>
          <w:p w14:paraId="708C6AEF">
            <w:pPr>
              <w:jc w:val="center"/>
              <w:rPr>
                <w:b/>
                <w:bCs/>
                <w:color w:val="000000" w:themeColor="text1"/>
                <w:sz w:val="26"/>
                <w:szCs w:val="26"/>
                <w14:textFill>
                  <w14:solidFill>
                    <w14:schemeClr w14:val="tx1"/>
                  </w14:solidFill>
                </w14:textFill>
              </w:rPr>
            </w:pPr>
          </w:p>
        </w:tc>
        <w:tc>
          <w:tcPr>
            <w:tcW w:w="1762" w:type="dxa"/>
            <w:tcBorders>
              <w:top w:val="nil"/>
              <w:left w:val="nil"/>
              <w:bottom w:val="nil"/>
              <w:right w:val="nil"/>
            </w:tcBorders>
            <w:noWrap/>
            <w:vAlign w:val="center"/>
          </w:tcPr>
          <w:p w14:paraId="708C6AF0">
            <w:pPr>
              <w:jc w:val="center"/>
              <w:rPr>
                <w:b/>
                <w:bCs/>
                <w:color w:val="000000" w:themeColor="text1"/>
                <w:sz w:val="26"/>
                <w:szCs w:val="26"/>
                <w14:textFill>
                  <w14:solidFill>
                    <w14:schemeClr w14:val="tx1"/>
                  </w14:solidFill>
                </w14:textFill>
              </w:rPr>
            </w:pPr>
          </w:p>
        </w:tc>
        <w:tc>
          <w:tcPr>
            <w:tcW w:w="2234" w:type="dxa"/>
            <w:tcBorders>
              <w:top w:val="nil"/>
              <w:left w:val="nil"/>
              <w:bottom w:val="nil"/>
              <w:right w:val="nil"/>
            </w:tcBorders>
            <w:noWrap/>
            <w:vAlign w:val="center"/>
          </w:tcPr>
          <w:p w14:paraId="708C6AF1">
            <w:pPr>
              <w:jc w:val="center"/>
              <w:rPr>
                <w:b/>
                <w:bCs/>
                <w:color w:val="000000" w:themeColor="text1"/>
                <w:sz w:val="26"/>
                <w:szCs w:val="26"/>
                <w14:textFill>
                  <w14:solidFill>
                    <w14:schemeClr w14:val="tx1"/>
                  </w14:solidFill>
                </w14:textFill>
              </w:rPr>
            </w:pPr>
          </w:p>
        </w:tc>
        <w:tc>
          <w:tcPr>
            <w:tcW w:w="5245" w:type="dxa"/>
            <w:gridSpan w:val="2"/>
            <w:tcBorders>
              <w:top w:val="nil"/>
              <w:left w:val="nil"/>
              <w:bottom w:val="nil"/>
              <w:right w:val="nil"/>
            </w:tcBorders>
            <w:noWrap/>
            <w:vAlign w:val="center"/>
          </w:tcPr>
          <w:p w14:paraId="708C6AF2">
            <w:pPr>
              <w:pStyle w:val="15"/>
              <w:widowControl w:val="0"/>
              <w:shd w:val="clear" w:color="auto" w:fill="FFFFFF"/>
              <w:spacing w:before="120" w:line="264" w:lineRule="auto"/>
              <w:ind w:firstLine="567"/>
              <w:jc w:val="right"/>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Legal representative of the Bidder</w:t>
            </w:r>
          </w:p>
          <w:p w14:paraId="708C6AF3">
            <w:pPr>
              <w:pStyle w:val="15"/>
              <w:widowControl w:val="0"/>
              <w:shd w:val="clear" w:color="auto" w:fill="FFFFFF"/>
              <w:spacing w:before="120" w:line="264" w:lineRule="auto"/>
              <w:ind w:firstLine="567"/>
              <w:jc w:val="right"/>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(Full name, position, signature and seal)</w:t>
            </w:r>
          </w:p>
          <w:p w14:paraId="708C6AF4">
            <w:pPr>
              <w:jc w:val="center"/>
              <w:rPr>
                <w:b/>
                <w:bCs/>
                <w:color w:val="000000" w:themeColor="text1"/>
                <w:sz w:val="26"/>
                <w:szCs w:val="26"/>
                <w14:textFill>
                  <w14:solidFill>
                    <w14:schemeClr w14:val="tx1"/>
                  </w14:solidFill>
                </w14:textFill>
              </w:rPr>
            </w:pPr>
          </w:p>
        </w:tc>
      </w:tr>
    </w:tbl>
    <w:p w14:paraId="708C6AF6">
      <w:pPr>
        <w:pStyle w:val="347"/>
        <w:widowControl w:val="0"/>
        <w:shd w:val="clear" w:color="auto" w:fill="FFFFFF"/>
        <w:tabs>
          <w:tab w:val="left" w:pos="1284"/>
        </w:tabs>
        <w:spacing w:after="120" w:line="264" w:lineRule="auto"/>
        <w:jc w:val="left"/>
        <w:outlineLvl w:val="2"/>
        <w:rPr>
          <w:color w:val="000000" w:themeColor="text1"/>
          <w:sz w:val="26"/>
          <w:szCs w:val="26"/>
          <w14:textFill>
            <w14:solidFill>
              <w14:schemeClr w14:val="tx1"/>
            </w14:solidFill>
          </w14:textFill>
        </w:rPr>
      </w:pPr>
    </w:p>
    <w:p w14:paraId="708C6AF7">
      <w:pPr>
        <w:spacing w:after="0" w:line="240" w:lineRule="auto"/>
        <w:jc w:val="right"/>
        <w:rPr>
          <w:b/>
          <w:bCs/>
          <w:color w:val="000000" w:themeColor="text1"/>
          <w14:textFill>
            <w14:solidFill>
              <w14:schemeClr w14:val="tx1"/>
            </w14:solidFill>
          </w14:textFill>
        </w:rPr>
        <w:sectPr>
          <w:footnotePr>
            <w:numRestart w:val="eachPage"/>
          </w:footnotePr>
          <w:pgSz w:w="16840" w:h="11907" w:orient="landscape"/>
          <w:pgMar w:top="851" w:right="851" w:bottom="851" w:left="851" w:header="567" w:footer="567" w:gutter="0"/>
          <w:pgNumType w:chapStyle="1"/>
          <w:cols w:space="720" w:num="1"/>
        </w:sectPr>
      </w:pPr>
    </w:p>
    <w:p w14:paraId="708C6AF8">
      <w:pPr>
        <w:spacing w:after="0" w:line="240" w:lineRule="auto"/>
        <w:jc w:val="right"/>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Form 8 (a1)</w:t>
      </w:r>
    </w:p>
    <w:p w14:paraId="708C6AF9">
      <w:pPr>
        <w:pStyle w:val="243"/>
        <w:shd w:val="clear" w:color="auto" w:fill="FFFFFF"/>
        <w:outlineLvl w:val="3"/>
        <w:rPr>
          <w:bCs/>
          <w:color w:val="000000" w:themeColor="text1"/>
          <w:sz w:val="26"/>
          <w:szCs w:val="26"/>
          <w14:textFill>
            <w14:solidFill>
              <w14:schemeClr w14:val="tx1"/>
            </w14:solidFill>
          </w14:textFill>
        </w:rPr>
      </w:pPr>
      <w:bookmarkStart w:id="22" w:name="_Toc419362584"/>
      <w:r>
        <w:rPr>
          <w:bCs/>
          <w:color w:val="000000" w:themeColor="text1"/>
          <w:sz w:val="26"/>
          <w:szCs w:val="26"/>
          <w14:textFill>
            <w14:solidFill>
              <w14:schemeClr w14:val="tx1"/>
            </w14:solidFill>
          </w14:textFill>
        </w:rPr>
        <w:t>BIDDER INFORMATION FORM</w:t>
      </w:r>
      <w:bookmarkEnd w:id="22"/>
    </w:p>
    <w:p w14:paraId="708C6AFA">
      <w:pPr>
        <w:jc w:val="center"/>
        <w:rPr>
          <w:color w:val="000000" w:themeColor="text1"/>
          <w:sz w:val="26"/>
          <w:szCs w:val="26"/>
          <w14:textFill>
            <w14:solidFill>
              <w14:schemeClr w14:val="tx1"/>
            </w14:solidFill>
          </w14:textFill>
        </w:rPr>
      </w:pPr>
      <w:r>
        <w:rPr>
          <w:b/>
          <w:i/>
          <w:color w:val="000000" w:themeColor="text1"/>
          <w:sz w:val="26"/>
          <w:szCs w:val="26"/>
          <w14:textFill>
            <w14:solidFill>
              <w14:schemeClr w14:val="tx1"/>
            </w14:solidFill>
          </w14:textFill>
        </w:rPr>
        <w:t>(For the bidder who is not the manufacturer</w:t>
      </w:r>
      <w:r>
        <w:rPr>
          <w:b/>
          <w:i/>
          <w:color w:val="000000" w:themeColor="text1"/>
          <w:sz w:val="26"/>
          <w:szCs w:val="26"/>
          <w:vertAlign w:val="superscript"/>
          <w14:textFill>
            <w14:solidFill>
              <w14:schemeClr w14:val="tx1"/>
            </w14:solidFill>
          </w14:textFill>
        </w:rPr>
        <w:t>(1)</w:t>
      </w:r>
      <w:r>
        <w:rPr>
          <w:b/>
          <w:i/>
          <w:color w:val="000000" w:themeColor="text1"/>
          <w:sz w:val="26"/>
          <w:szCs w:val="26"/>
          <w14:textFill>
            <w14:solidFill>
              <w14:schemeClr w14:val="tx1"/>
            </w14:solidFill>
          </w14:textFill>
        </w:rPr>
        <w:t xml:space="preserve"> of the goods offered in this package)</w:t>
      </w:r>
    </w:p>
    <w:tbl>
      <w:tblPr>
        <w:tblStyle w:val="12"/>
        <w:tblW w:w="9781" w:type="dxa"/>
        <w:jc w:val="center"/>
        <w:tblLayout w:type="fixed"/>
        <w:tblCellMar>
          <w:top w:w="0" w:type="dxa"/>
          <w:left w:w="0" w:type="dxa"/>
          <w:bottom w:w="0" w:type="dxa"/>
          <w:right w:w="0" w:type="dxa"/>
        </w:tblCellMar>
      </w:tblPr>
      <w:tblGrid>
        <w:gridCol w:w="9781"/>
      </w:tblGrid>
      <w:tr w14:paraId="708C6AFC">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AFB">
            <w:pPr>
              <w:numPr>
                <w:ilvl w:val="1"/>
                <w:numId w:val="48"/>
              </w:numPr>
              <w:shd w:val="clear" w:color="auto" w:fill="FFFFFF"/>
              <w:spacing w:before="120" w:after="120" w:line="264" w:lineRule="auto"/>
              <w:ind w:left="1069" w:right="141" w:hanging="425"/>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Bidder’s name:___[</w:t>
            </w:r>
            <w:r>
              <w:rPr>
                <w:bCs/>
                <w:iCs/>
                <w:color w:val="000000" w:themeColor="text1"/>
                <w:sz w:val="26"/>
                <w:szCs w:val="26"/>
                <w14:textFill>
                  <w14:solidFill>
                    <w14:schemeClr w14:val="tx1"/>
                  </w14:solidFill>
                </w14:textFill>
              </w:rPr>
              <w:t>insert Bidder’s legal name</w:t>
            </w:r>
            <w:r>
              <w:rPr>
                <w:color w:val="000000" w:themeColor="text1"/>
                <w:sz w:val="26"/>
                <w:szCs w:val="26"/>
                <w14:textFill>
                  <w14:solidFill>
                    <w14:schemeClr w14:val="tx1"/>
                  </w14:solidFill>
                </w14:textFill>
              </w:rPr>
              <w:t xml:space="preserve">] </w:t>
            </w:r>
          </w:p>
        </w:tc>
      </w:tr>
      <w:tr w14:paraId="708C6AFF">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AFD">
            <w:pPr>
              <w:numPr>
                <w:ilvl w:val="1"/>
                <w:numId w:val="48"/>
              </w:numPr>
              <w:shd w:val="clear" w:color="auto" w:fill="FFFFFF"/>
              <w:spacing w:before="120" w:after="120" w:line="264" w:lineRule="auto"/>
              <w:ind w:left="1069" w:right="141" w:hanging="425"/>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Country where the bidder is registered for establishment: ____ [insert the name of the country where the bidder is registered for establishment]</w:t>
            </w:r>
          </w:p>
          <w:p w14:paraId="708C6AFE">
            <w:pPr>
              <w:shd w:val="clear" w:color="auto" w:fill="FFFFFF"/>
              <w:spacing w:before="120" w:after="120" w:line="264" w:lineRule="auto"/>
              <w:ind w:left="1069" w:right="141"/>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Bidder’s place of registration:___[insert province/city of registration]</w:t>
            </w:r>
          </w:p>
        </w:tc>
      </w:tr>
      <w:tr w14:paraId="708C6B01">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B00">
            <w:pPr>
              <w:numPr>
                <w:ilvl w:val="1"/>
                <w:numId w:val="48"/>
              </w:numPr>
              <w:shd w:val="clear" w:color="auto" w:fill="FFFFFF"/>
              <w:spacing w:before="120" w:after="120" w:line="264" w:lineRule="auto"/>
              <w:ind w:left="1069" w:right="141" w:hanging="425"/>
              <w:rPr>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Bidder’s year of registration: ___</w:t>
            </w:r>
            <w:r>
              <w:rPr>
                <w:bCs/>
                <w:i/>
                <w:iCs/>
                <w:color w:val="000000" w:themeColor="text1"/>
                <w:sz w:val="26"/>
                <w:szCs w:val="26"/>
                <w14:textFill>
                  <w14:solidFill>
                    <w14:schemeClr w14:val="tx1"/>
                  </w14:solidFill>
                </w14:textFill>
              </w:rPr>
              <w:t>[insert Bidder’s year of registration]</w:t>
            </w:r>
          </w:p>
        </w:tc>
      </w:tr>
      <w:tr w14:paraId="708C6B03">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B02">
            <w:pPr>
              <w:numPr>
                <w:ilvl w:val="1"/>
                <w:numId w:val="48"/>
              </w:numPr>
              <w:shd w:val="clear" w:color="auto" w:fill="FFFFFF"/>
              <w:spacing w:before="120" w:after="120" w:line="264" w:lineRule="auto"/>
              <w:ind w:left="1069" w:right="141" w:hanging="425"/>
              <w:rPr>
                <w:b/>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Bidder’s Address in place of registration: ___</w:t>
            </w:r>
            <w:r>
              <w:rPr>
                <w:bCs/>
                <w:i/>
                <w:iCs/>
                <w:color w:val="000000" w:themeColor="text1"/>
                <w:sz w:val="26"/>
                <w:szCs w:val="26"/>
                <w14:textFill>
                  <w14:solidFill>
                    <w14:schemeClr w14:val="tx1"/>
                  </w14:solidFill>
                </w14:textFill>
              </w:rPr>
              <w:t>[insert Bidder’s legal address in place of registration]</w:t>
            </w:r>
          </w:p>
        </w:tc>
      </w:tr>
      <w:tr w14:paraId="708C6B09">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B04">
            <w:pPr>
              <w:numPr>
                <w:ilvl w:val="1"/>
                <w:numId w:val="48"/>
              </w:numPr>
              <w:shd w:val="clear" w:color="auto" w:fill="FFFFFF"/>
              <w:spacing w:before="120" w:after="120" w:line="264" w:lineRule="auto"/>
              <w:ind w:left="1069" w:right="141" w:hanging="425"/>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Bidder’s Authorized Representative Information</w:t>
            </w:r>
          </w:p>
          <w:p w14:paraId="708C6B05">
            <w:pPr>
              <w:shd w:val="clear" w:color="auto" w:fill="FFFFFF"/>
              <w:spacing w:before="120" w:after="120" w:line="264" w:lineRule="auto"/>
              <w:ind w:right="141" w:firstLine="567"/>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Name: _____________________________________</w:t>
            </w:r>
          </w:p>
          <w:p w14:paraId="708C6B06">
            <w:pPr>
              <w:shd w:val="clear" w:color="auto" w:fill="FFFFFF"/>
              <w:spacing w:before="120" w:after="120" w:line="264" w:lineRule="auto"/>
              <w:ind w:right="141" w:firstLine="567"/>
              <w:rPr>
                <w:b/>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Address: </w:t>
            </w:r>
            <w:r>
              <w:rPr>
                <w:i/>
                <w:color w:val="000000" w:themeColor="text1"/>
                <w:sz w:val="26"/>
                <w:szCs w:val="26"/>
                <w14:textFill>
                  <w14:solidFill>
                    <w14:schemeClr w14:val="tx1"/>
                  </w14:solidFill>
                </w14:textFill>
              </w:rPr>
              <w:t>___________________________________</w:t>
            </w:r>
          </w:p>
          <w:p w14:paraId="708C6B07">
            <w:pPr>
              <w:shd w:val="clear" w:color="auto" w:fill="FFFFFF"/>
              <w:spacing w:before="120" w:after="120" w:line="264" w:lineRule="auto"/>
              <w:ind w:right="141" w:firstLine="567"/>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Telephone/Fax numbers: </w:t>
            </w:r>
            <w:r>
              <w:rPr>
                <w:i/>
                <w:color w:val="000000" w:themeColor="text1"/>
                <w:sz w:val="26"/>
                <w:szCs w:val="26"/>
                <w14:textFill>
                  <w14:solidFill>
                    <w14:schemeClr w14:val="tx1"/>
                  </w14:solidFill>
                </w14:textFill>
              </w:rPr>
              <w:t>___________________________</w:t>
            </w:r>
          </w:p>
          <w:p w14:paraId="708C6B08">
            <w:pPr>
              <w:shd w:val="clear" w:color="auto" w:fill="FFFFFF"/>
              <w:spacing w:before="120" w:after="120" w:line="264" w:lineRule="auto"/>
              <w:ind w:right="141" w:firstLine="567"/>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Email Address: </w:t>
            </w:r>
            <w:r>
              <w:rPr>
                <w:i/>
                <w:color w:val="000000" w:themeColor="text1"/>
                <w:sz w:val="26"/>
                <w:szCs w:val="26"/>
                <w14:textFill>
                  <w14:solidFill>
                    <w14:schemeClr w14:val="tx1"/>
                  </w14:solidFill>
                </w14:textFill>
              </w:rPr>
              <w:t>______________________________</w:t>
            </w:r>
          </w:p>
        </w:tc>
      </w:tr>
      <w:tr w14:paraId="708C6B0C">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B0A">
            <w:pPr>
              <w:shd w:val="clear" w:color="auto" w:fill="FFFFFF"/>
              <w:spacing w:before="120" w:after="120" w:line="264" w:lineRule="auto"/>
              <w:ind w:right="141"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6. Attached is a copy of one of the following documents: Certificate of business registration, Certificate of business household registration, Decision on establishment or an equivalent document issued by a competent authority in the country in which the bidder is operating.</w:t>
            </w:r>
          </w:p>
          <w:p w14:paraId="708C6B0B">
            <w:pPr>
              <w:shd w:val="clear" w:color="auto" w:fill="FFFFFF"/>
              <w:spacing w:before="120" w:after="120" w:line="264" w:lineRule="auto"/>
              <w:ind w:right="141" w:firstLine="567"/>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7. Included is the organizational chart of the bidder.</w:t>
            </w:r>
          </w:p>
        </w:tc>
      </w:tr>
    </w:tbl>
    <w:p w14:paraId="708C6B0D">
      <w:pPr>
        <w:spacing w:before="120" w:after="120" w:line="264" w:lineRule="auto"/>
        <w:ind w:firstLine="567"/>
        <w:jc w:val="both"/>
        <w:rPr>
          <w:iCs/>
          <w:color w:val="000000" w:themeColor="text1"/>
          <w:spacing w:val="-2"/>
          <w:sz w:val="26"/>
          <w:szCs w:val="26"/>
          <w14:textFill>
            <w14:solidFill>
              <w14:schemeClr w14:val="tx1"/>
            </w14:solidFill>
          </w14:textFill>
        </w:rPr>
      </w:pPr>
    </w:p>
    <w:p w14:paraId="708C6B0E">
      <w:pPr>
        <w:spacing w:after="0" w:line="240" w:lineRule="auto"/>
        <w:rPr>
          <w:iCs/>
          <w:color w:val="000000" w:themeColor="text1"/>
          <w:spacing w:val="-2"/>
          <w:sz w:val="26"/>
          <w:szCs w:val="26"/>
          <w14:textFill>
            <w14:solidFill>
              <w14:schemeClr w14:val="tx1"/>
            </w14:solidFill>
          </w14:textFill>
        </w:rPr>
      </w:pPr>
      <w:r>
        <w:rPr>
          <w:iCs/>
          <w:color w:val="000000" w:themeColor="text1"/>
          <w:spacing w:val="-2"/>
          <w:sz w:val="26"/>
          <w:szCs w:val="26"/>
          <w14:textFill>
            <w14:solidFill>
              <w14:schemeClr w14:val="tx1"/>
            </w14:solidFill>
          </w14:textFill>
        </w:rPr>
        <w:br w:type="page"/>
      </w:r>
    </w:p>
    <w:p w14:paraId="708C6B0F">
      <w:pPr>
        <w:pStyle w:val="15"/>
        <w:widowControl w:val="0"/>
        <w:shd w:val="clear" w:color="auto" w:fill="FFFFFF"/>
        <w:spacing w:before="120" w:line="264" w:lineRule="auto"/>
        <w:ind w:firstLine="567"/>
        <w:jc w:val="right"/>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Form 8 (a2)</w:t>
      </w:r>
    </w:p>
    <w:p w14:paraId="708C6B10">
      <w:pPr>
        <w:pStyle w:val="243"/>
        <w:shd w:val="clear" w:color="auto" w:fill="FFFFFF"/>
        <w:outlineLvl w:val="3"/>
        <w:rPr>
          <w:bCs/>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BIDDER INFORMATION FORM</w:t>
      </w:r>
    </w:p>
    <w:p w14:paraId="708C6B11">
      <w:pPr>
        <w:jc w:val="center"/>
        <w:rPr>
          <w:color w:val="000000" w:themeColor="text1"/>
          <w:sz w:val="26"/>
          <w:szCs w:val="26"/>
          <w14:textFill>
            <w14:solidFill>
              <w14:schemeClr w14:val="tx1"/>
            </w14:solidFill>
          </w14:textFill>
        </w:rPr>
      </w:pPr>
      <w:r>
        <w:rPr>
          <w:b/>
          <w:i/>
          <w:color w:val="000000" w:themeColor="text1"/>
          <w:sz w:val="26"/>
          <w:szCs w:val="26"/>
          <w14:textFill>
            <w14:solidFill>
              <w14:schemeClr w14:val="tx1"/>
            </w14:solidFill>
          </w14:textFill>
        </w:rPr>
        <w:t>(For the bidder who is the manufacturer</w:t>
      </w:r>
      <w:r>
        <w:rPr>
          <w:b/>
          <w:i/>
          <w:color w:val="000000" w:themeColor="text1"/>
          <w:sz w:val="26"/>
          <w:szCs w:val="26"/>
          <w:vertAlign w:val="superscript"/>
          <w14:textFill>
            <w14:solidFill>
              <w14:schemeClr w14:val="tx1"/>
            </w14:solidFill>
          </w14:textFill>
        </w:rPr>
        <w:t>(1)</w:t>
      </w:r>
      <w:r>
        <w:rPr>
          <w:b/>
          <w:i/>
          <w:color w:val="000000" w:themeColor="text1"/>
          <w:sz w:val="26"/>
          <w:szCs w:val="26"/>
          <w14:textFill>
            <w14:solidFill>
              <w14:schemeClr w14:val="tx1"/>
            </w14:solidFill>
          </w14:textFill>
        </w:rPr>
        <w:t xml:space="preserve"> of the goods offered in this package)</w:t>
      </w:r>
    </w:p>
    <w:tbl>
      <w:tblPr>
        <w:tblStyle w:val="12"/>
        <w:tblW w:w="9781" w:type="dxa"/>
        <w:jc w:val="center"/>
        <w:tblLayout w:type="fixed"/>
        <w:tblCellMar>
          <w:top w:w="0" w:type="dxa"/>
          <w:left w:w="0" w:type="dxa"/>
          <w:bottom w:w="0" w:type="dxa"/>
          <w:right w:w="0" w:type="dxa"/>
        </w:tblCellMar>
      </w:tblPr>
      <w:tblGrid>
        <w:gridCol w:w="9781"/>
      </w:tblGrid>
      <w:tr w14:paraId="708C6B13">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B12">
            <w:pPr>
              <w:numPr>
                <w:ilvl w:val="0"/>
                <w:numId w:val="59"/>
              </w:numPr>
              <w:shd w:val="clear" w:color="auto" w:fill="FFFFFF"/>
              <w:spacing w:before="120" w:after="120" w:line="264" w:lineRule="auto"/>
              <w:ind w:right="141"/>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Bidder’s name:___[</w:t>
            </w:r>
            <w:r>
              <w:rPr>
                <w:bCs/>
                <w:iCs/>
                <w:color w:val="000000" w:themeColor="text1"/>
                <w:sz w:val="26"/>
                <w:szCs w:val="26"/>
                <w14:textFill>
                  <w14:solidFill>
                    <w14:schemeClr w14:val="tx1"/>
                  </w14:solidFill>
                </w14:textFill>
              </w:rPr>
              <w:t>insert Bidder’s legal name</w:t>
            </w:r>
            <w:r>
              <w:rPr>
                <w:color w:val="000000" w:themeColor="text1"/>
                <w:sz w:val="26"/>
                <w:szCs w:val="26"/>
                <w14:textFill>
                  <w14:solidFill>
                    <w14:schemeClr w14:val="tx1"/>
                  </w14:solidFill>
                </w14:textFill>
              </w:rPr>
              <w:t xml:space="preserve">] </w:t>
            </w:r>
          </w:p>
        </w:tc>
      </w:tr>
      <w:tr w14:paraId="708C6B16">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B14">
            <w:pPr>
              <w:numPr>
                <w:ilvl w:val="0"/>
                <w:numId w:val="59"/>
              </w:numPr>
              <w:shd w:val="clear" w:color="auto" w:fill="FFFFFF"/>
              <w:spacing w:before="120" w:after="120" w:line="264" w:lineRule="auto"/>
              <w:ind w:left="644" w:right="141" w:hanging="295"/>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 Country where the bidder is registered for establishment: ____ [insert the name of the country where the bidder is registered for establishment]</w:t>
            </w:r>
          </w:p>
          <w:p w14:paraId="708C6B15">
            <w:pPr>
              <w:shd w:val="clear" w:color="auto" w:fill="FFFFFF"/>
              <w:spacing w:before="120" w:after="120" w:line="264" w:lineRule="auto"/>
              <w:ind w:left="644" w:right="141" w:hanging="295"/>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    Bidder’s place of registration:___[insert province/city of registration]</w:t>
            </w:r>
          </w:p>
        </w:tc>
      </w:tr>
      <w:tr w14:paraId="708C6B18">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B17">
            <w:pPr>
              <w:numPr>
                <w:ilvl w:val="0"/>
                <w:numId w:val="59"/>
              </w:numPr>
              <w:shd w:val="clear" w:color="auto" w:fill="FFFFFF"/>
              <w:spacing w:before="120" w:after="120" w:line="264" w:lineRule="auto"/>
              <w:ind w:right="141"/>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Bidder’s year of registration: ___</w:t>
            </w:r>
            <w:r>
              <w:rPr>
                <w:bCs/>
                <w:iCs/>
                <w:color w:val="000000" w:themeColor="text1"/>
                <w:sz w:val="26"/>
                <w:szCs w:val="26"/>
                <w14:textFill>
                  <w14:solidFill>
                    <w14:schemeClr w14:val="tx1"/>
                  </w14:solidFill>
                </w14:textFill>
              </w:rPr>
              <w:t>[insert Bidder’s year of registration]</w:t>
            </w:r>
          </w:p>
        </w:tc>
      </w:tr>
      <w:tr w14:paraId="708C6B1A">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B19">
            <w:pPr>
              <w:numPr>
                <w:ilvl w:val="0"/>
                <w:numId w:val="59"/>
              </w:numPr>
              <w:shd w:val="clear" w:color="auto" w:fill="FFFFFF"/>
              <w:spacing w:before="120" w:after="120" w:line="264" w:lineRule="auto"/>
              <w:ind w:right="141"/>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Bidder’s Address in place of registration: ___</w:t>
            </w:r>
            <w:r>
              <w:rPr>
                <w:bCs/>
                <w:iCs/>
                <w:color w:val="000000" w:themeColor="text1"/>
                <w:sz w:val="26"/>
                <w:szCs w:val="26"/>
                <w14:textFill>
                  <w14:solidFill>
                    <w14:schemeClr w14:val="tx1"/>
                  </w14:solidFill>
                </w14:textFill>
              </w:rPr>
              <w:t>[insert Bidder’s legal address in place of registration]</w:t>
            </w:r>
          </w:p>
        </w:tc>
      </w:tr>
      <w:tr w14:paraId="708C6B20">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B1B">
            <w:pPr>
              <w:numPr>
                <w:ilvl w:val="0"/>
                <w:numId w:val="59"/>
              </w:numPr>
              <w:shd w:val="clear" w:color="auto" w:fill="FFFFFF"/>
              <w:spacing w:before="120" w:after="120" w:line="264" w:lineRule="auto"/>
              <w:ind w:right="141"/>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Bidder’s Authorized Representative Information</w:t>
            </w:r>
          </w:p>
          <w:p w14:paraId="708C6B1C">
            <w:pPr>
              <w:shd w:val="clear" w:color="auto" w:fill="FFFFFF"/>
              <w:spacing w:before="120" w:after="120" w:line="264" w:lineRule="auto"/>
              <w:ind w:right="141" w:firstLine="567"/>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Name: _____________________________________</w:t>
            </w:r>
          </w:p>
          <w:p w14:paraId="708C6B1D">
            <w:pPr>
              <w:shd w:val="clear" w:color="auto" w:fill="FFFFFF"/>
              <w:spacing w:before="120" w:after="120" w:line="264" w:lineRule="auto"/>
              <w:ind w:right="141" w:firstLine="567"/>
              <w:rPr>
                <w:b/>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Address: </w:t>
            </w:r>
            <w:r>
              <w:rPr>
                <w:i/>
                <w:color w:val="000000" w:themeColor="text1"/>
                <w:sz w:val="26"/>
                <w:szCs w:val="26"/>
                <w14:textFill>
                  <w14:solidFill>
                    <w14:schemeClr w14:val="tx1"/>
                  </w14:solidFill>
                </w14:textFill>
              </w:rPr>
              <w:t>___________________________________</w:t>
            </w:r>
          </w:p>
          <w:p w14:paraId="708C6B1E">
            <w:pPr>
              <w:shd w:val="clear" w:color="auto" w:fill="FFFFFF"/>
              <w:spacing w:before="120" w:after="120" w:line="264" w:lineRule="auto"/>
              <w:ind w:right="141" w:firstLine="567"/>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Telephone/Fax numbers: </w:t>
            </w:r>
            <w:r>
              <w:rPr>
                <w:i/>
                <w:color w:val="000000" w:themeColor="text1"/>
                <w:sz w:val="26"/>
                <w:szCs w:val="26"/>
                <w14:textFill>
                  <w14:solidFill>
                    <w14:schemeClr w14:val="tx1"/>
                  </w14:solidFill>
                </w14:textFill>
              </w:rPr>
              <w:t>___________________________</w:t>
            </w:r>
          </w:p>
          <w:p w14:paraId="708C6B1F">
            <w:pPr>
              <w:shd w:val="clear" w:color="auto" w:fill="FFFFFF"/>
              <w:spacing w:before="120" w:after="120" w:line="264" w:lineRule="auto"/>
              <w:ind w:right="141" w:firstLine="567"/>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Email Address: </w:t>
            </w:r>
            <w:r>
              <w:rPr>
                <w:i/>
                <w:color w:val="000000" w:themeColor="text1"/>
                <w:sz w:val="26"/>
                <w:szCs w:val="26"/>
                <w14:textFill>
                  <w14:solidFill>
                    <w14:schemeClr w14:val="tx1"/>
                  </w14:solidFill>
                </w14:textFill>
              </w:rPr>
              <w:t>______________________________</w:t>
            </w:r>
          </w:p>
        </w:tc>
      </w:tr>
      <w:tr w14:paraId="708C6B22">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B21">
            <w:pPr>
              <w:shd w:val="clear" w:color="auto" w:fill="FFFFFF"/>
              <w:spacing w:before="120" w:after="120" w:line="264" w:lineRule="auto"/>
              <w:ind w:right="141" w:firstLine="36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6. Production capacity: _____________ </w:t>
            </w:r>
            <w:r>
              <w:rPr>
                <w:i/>
                <w:color w:val="000000" w:themeColor="text1"/>
                <w:sz w:val="26"/>
                <w:szCs w:val="26"/>
                <w14:textFill>
                  <w14:solidFill>
                    <w14:schemeClr w14:val="tx1"/>
                  </w14:solidFill>
                </w14:textFill>
              </w:rPr>
              <w:t>[insert information showing the bidder's production capacity such as: number of factories, production scale, minimum capacity, maximum designed capacity, actual capacity are being implemented… to demonstrate the ability to meet the requirements on quantity, volume, delivery time specified in the Bidding Documents]</w:t>
            </w:r>
          </w:p>
        </w:tc>
      </w:tr>
      <w:tr w14:paraId="708C6B25">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B23">
            <w:pPr>
              <w:shd w:val="clear" w:color="auto" w:fill="FFFFFF"/>
              <w:spacing w:before="120" w:after="120" w:line="264" w:lineRule="auto"/>
              <w:ind w:right="141" w:firstLine="36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7. Attached is a copy of one of the following documents: Certificate of business registration, Certificate of business household registration, Decision on establishment or an equivalent document issued by a competent authority in the country in which the bidder is operating.</w:t>
            </w:r>
          </w:p>
          <w:p w14:paraId="708C6B24">
            <w:pPr>
              <w:shd w:val="clear" w:color="auto" w:fill="FFFFFF"/>
              <w:spacing w:before="120" w:after="120" w:line="264" w:lineRule="auto"/>
              <w:ind w:right="141" w:firstLine="360"/>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8. Included is the organizational chart of the bidder.</w:t>
            </w:r>
          </w:p>
        </w:tc>
      </w:tr>
    </w:tbl>
    <w:p w14:paraId="708C6B26">
      <w:pPr>
        <w:spacing w:before="120" w:after="120" w:line="264" w:lineRule="auto"/>
        <w:ind w:firstLine="567"/>
        <w:jc w:val="both"/>
        <w:rPr>
          <w:iCs/>
          <w:color w:val="000000" w:themeColor="text1"/>
          <w:spacing w:val="-2"/>
          <w:sz w:val="26"/>
          <w:szCs w:val="26"/>
          <w14:textFill>
            <w14:solidFill>
              <w14:schemeClr w14:val="tx1"/>
            </w14:solidFill>
          </w14:textFill>
        </w:rPr>
      </w:pPr>
    </w:p>
    <w:p w14:paraId="708C6B27">
      <w:pPr>
        <w:spacing w:after="0" w:line="240" w:lineRule="auto"/>
        <w:rPr>
          <w:iCs/>
          <w:color w:val="000000" w:themeColor="text1"/>
          <w:spacing w:val="-2"/>
          <w:sz w:val="26"/>
          <w:szCs w:val="26"/>
          <w14:textFill>
            <w14:solidFill>
              <w14:schemeClr w14:val="tx1"/>
            </w14:solidFill>
          </w14:textFill>
        </w:rPr>
      </w:pPr>
      <w:r>
        <w:rPr>
          <w:iCs/>
          <w:color w:val="000000" w:themeColor="text1"/>
          <w:spacing w:val="-2"/>
          <w:sz w:val="26"/>
          <w:szCs w:val="26"/>
          <w14:textFill>
            <w14:solidFill>
              <w14:schemeClr w14:val="tx1"/>
            </w14:solidFill>
          </w14:textFill>
        </w:rPr>
        <w:br w:type="page"/>
      </w:r>
    </w:p>
    <w:p w14:paraId="708C6B28">
      <w:pPr>
        <w:pStyle w:val="311"/>
        <w:shd w:val="clear" w:color="auto" w:fill="FFFFFF"/>
        <w:rPr>
          <w:rFonts w:ascii="Times New Roman" w:hAnsi="Times New Roman"/>
          <w:color w:val="000000" w:themeColor="text1"/>
          <w:sz w:val="26"/>
          <w:szCs w:val="26"/>
          <w:u w:val="none"/>
          <w:lang w:val="en-US"/>
          <w14:textFill>
            <w14:solidFill>
              <w14:schemeClr w14:val="tx1"/>
            </w14:solidFill>
          </w14:textFill>
        </w:rPr>
      </w:pPr>
      <w:r>
        <w:rPr>
          <w:rFonts w:ascii="Times New Roman" w:hAnsi="Times New Roman"/>
          <w:color w:val="000000" w:themeColor="text1"/>
          <w:sz w:val="26"/>
          <w:szCs w:val="26"/>
          <w:u w:val="none"/>
          <w:lang w:val="en-US"/>
          <w14:textFill>
            <w14:solidFill>
              <w14:schemeClr w14:val="tx1"/>
            </w14:solidFill>
          </w14:textFill>
        </w:rPr>
        <w:t>Form 8 (b1)</w:t>
      </w:r>
    </w:p>
    <w:p w14:paraId="708C6B29">
      <w:pPr>
        <w:pStyle w:val="243"/>
        <w:shd w:val="clear" w:color="auto" w:fill="FFFFFF"/>
        <w:outlineLvl w:val="3"/>
        <w:rPr>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CONSORTIUM MEMBERS INFORMATION FORM</w:t>
      </w:r>
      <w:r>
        <w:rPr>
          <w:bCs/>
          <w:color w:val="000000" w:themeColor="text1"/>
          <w:sz w:val="26"/>
          <w:szCs w:val="26"/>
          <w:vertAlign w:val="superscript"/>
          <w14:textFill>
            <w14:solidFill>
              <w14:schemeClr w14:val="tx1"/>
            </w14:solidFill>
          </w14:textFill>
        </w:rPr>
        <w:t>(1)</w:t>
      </w:r>
    </w:p>
    <w:p w14:paraId="708C6B2A">
      <w:pPr>
        <w:jc w:val="center"/>
        <w:rPr>
          <w:color w:val="000000" w:themeColor="text1"/>
          <w:sz w:val="26"/>
          <w:szCs w:val="26"/>
          <w14:textFill>
            <w14:solidFill>
              <w14:schemeClr w14:val="tx1"/>
            </w14:solidFill>
          </w14:textFill>
        </w:rPr>
      </w:pPr>
      <w:r>
        <w:rPr>
          <w:b/>
          <w:i/>
          <w:color w:val="000000" w:themeColor="text1"/>
          <w:sz w:val="26"/>
          <w:szCs w:val="26"/>
          <w14:textFill>
            <w14:solidFill>
              <w14:schemeClr w14:val="tx1"/>
            </w14:solidFill>
          </w14:textFill>
        </w:rPr>
        <w:t>(For the member of consortium who is not the manufacturer</w:t>
      </w:r>
      <w:r>
        <w:rPr>
          <w:b/>
          <w:i/>
          <w:color w:val="000000" w:themeColor="text1"/>
          <w:sz w:val="26"/>
          <w:szCs w:val="26"/>
          <w:vertAlign w:val="superscript"/>
          <w14:textFill>
            <w14:solidFill>
              <w14:schemeClr w14:val="tx1"/>
            </w14:solidFill>
          </w14:textFill>
        </w:rPr>
        <w:t>(1)</w:t>
      </w:r>
      <w:r>
        <w:rPr>
          <w:b/>
          <w:i/>
          <w:color w:val="000000" w:themeColor="text1"/>
          <w:sz w:val="26"/>
          <w:szCs w:val="26"/>
          <w14:textFill>
            <w14:solidFill>
              <w14:schemeClr w14:val="tx1"/>
            </w14:solidFill>
          </w14:textFill>
        </w:rPr>
        <w:t xml:space="preserve"> of the goods offered in this package)</w:t>
      </w:r>
    </w:p>
    <w:tbl>
      <w:tblPr>
        <w:tblStyle w:val="12"/>
        <w:tblW w:w="9781" w:type="dxa"/>
        <w:jc w:val="center"/>
        <w:tblLayout w:type="fixed"/>
        <w:tblCellMar>
          <w:top w:w="0" w:type="dxa"/>
          <w:left w:w="0" w:type="dxa"/>
          <w:bottom w:w="0" w:type="dxa"/>
          <w:right w:w="0" w:type="dxa"/>
        </w:tblCellMar>
      </w:tblPr>
      <w:tblGrid>
        <w:gridCol w:w="9781"/>
      </w:tblGrid>
      <w:tr w14:paraId="708C6B2C">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B2B">
            <w:pPr>
              <w:widowControl w:val="0"/>
              <w:numPr>
                <w:ilvl w:val="0"/>
                <w:numId w:val="60"/>
              </w:numPr>
              <w:shd w:val="clear" w:color="auto" w:fill="FFFFFF"/>
              <w:spacing w:before="120" w:after="120" w:line="264" w:lineRule="auto"/>
              <w:ind w:right="142"/>
              <w:rPr>
                <w:b/>
                <w:i/>
                <w:iCs/>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Consortium’s Name:</w:t>
            </w:r>
          </w:p>
        </w:tc>
      </w:tr>
      <w:tr w14:paraId="708C6B2E">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B2D">
            <w:pPr>
              <w:widowControl w:val="0"/>
              <w:numPr>
                <w:ilvl w:val="0"/>
                <w:numId w:val="60"/>
              </w:numPr>
              <w:shd w:val="clear" w:color="auto" w:fill="FFFFFF"/>
              <w:spacing w:before="120" w:after="120" w:line="264" w:lineRule="auto"/>
              <w:ind w:right="142"/>
              <w:rPr>
                <w:b/>
                <w:i/>
                <w:iCs/>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Consortium Member’s name:</w:t>
            </w:r>
          </w:p>
        </w:tc>
      </w:tr>
      <w:tr w14:paraId="708C6B31">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B2F">
            <w:pPr>
              <w:widowControl w:val="0"/>
              <w:numPr>
                <w:ilvl w:val="0"/>
                <w:numId w:val="60"/>
              </w:numPr>
              <w:shd w:val="clear" w:color="auto" w:fill="FFFFFF"/>
              <w:spacing w:before="120" w:after="120" w:line="264" w:lineRule="auto"/>
              <w:ind w:right="142"/>
              <w:rPr>
                <w:b/>
                <w:i/>
                <w:iCs/>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Consortium Member’s place of registration:</w:t>
            </w:r>
          </w:p>
          <w:p w14:paraId="708C6B30">
            <w:pPr>
              <w:widowControl w:val="0"/>
              <w:shd w:val="clear" w:color="auto" w:fill="FFFFFF"/>
              <w:spacing w:before="120" w:after="120" w:line="264" w:lineRule="auto"/>
              <w:ind w:left="927" w:right="142"/>
              <w:rPr>
                <w:b/>
                <w:i/>
                <w:iCs/>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Consortium Member’s place of </w:t>
            </w:r>
            <w:r>
              <w:rPr>
                <w:bCs/>
                <w:color w:val="000000" w:themeColor="text1"/>
                <w:sz w:val="26"/>
                <w:szCs w:val="26"/>
                <w14:textFill>
                  <w14:solidFill>
                    <w14:schemeClr w14:val="tx1"/>
                  </w14:solidFill>
                </w14:textFill>
              </w:rPr>
              <w:t>business and operation</w:t>
            </w:r>
            <w:r>
              <w:rPr>
                <w:color w:val="000000" w:themeColor="text1"/>
                <w:sz w:val="26"/>
                <w:szCs w:val="26"/>
                <w14:textFill>
                  <w14:solidFill>
                    <w14:schemeClr w14:val="tx1"/>
                  </w14:solidFill>
                </w14:textFill>
              </w:rPr>
              <w:t>:</w:t>
            </w:r>
          </w:p>
        </w:tc>
      </w:tr>
      <w:tr w14:paraId="708C6B33">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B32">
            <w:pPr>
              <w:widowControl w:val="0"/>
              <w:numPr>
                <w:ilvl w:val="0"/>
                <w:numId w:val="60"/>
              </w:numPr>
              <w:shd w:val="clear" w:color="auto" w:fill="FFFFFF"/>
              <w:spacing w:before="120" w:after="120" w:line="264" w:lineRule="auto"/>
              <w:ind w:right="142"/>
              <w:rPr>
                <w:b/>
                <w:i/>
                <w:iCs/>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Consortium Member’s year of registration:</w:t>
            </w:r>
          </w:p>
        </w:tc>
      </w:tr>
      <w:tr w14:paraId="708C6B35">
        <w:tblPrEx>
          <w:tblCellMar>
            <w:top w:w="0" w:type="dxa"/>
            <w:left w:w="0" w:type="dxa"/>
            <w:bottom w:w="0" w:type="dxa"/>
            <w:right w:w="0" w:type="dxa"/>
          </w:tblCellMar>
        </w:tblPrEx>
        <w:trPr>
          <w:jc w:val="center"/>
        </w:trPr>
        <w:tc>
          <w:tcPr>
            <w:tcW w:w="9781" w:type="dxa"/>
            <w:tcBorders>
              <w:top w:val="single" w:color="auto" w:sz="2" w:space="0"/>
              <w:left w:val="single" w:color="auto" w:sz="2" w:space="0"/>
              <w:right w:val="single" w:color="auto" w:sz="2" w:space="0"/>
            </w:tcBorders>
          </w:tcPr>
          <w:p w14:paraId="708C6B34">
            <w:pPr>
              <w:widowControl w:val="0"/>
              <w:numPr>
                <w:ilvl w:val="0"/>
                <w:numId w:val="60"/>
              </w:numPr>
              <w:shd w:val="clear" w:color="auto" w:fill="FFFFFF"/>
              <w:spacing w:before="120" w:after="120" w:line="264" w:lineRule="auto"/>
              <w:ind w:right="142"/>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Consortium Member’s legal address in place of registration:</w:t>
            </w:r>
          </w:p>
        </w:tc>
      </w:tr>
      <w:tr w14:paraId="708C6B3B">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B36">
            <w:pPr>
              <w:widowControl w:val="0"/>
              <w:numPr>
                <w:ilvl w:val="0"/>
                <w:numId w:val="60"/>
              </w:numPr>
              <w:shd w:val="clear" w:color="auto" w:fill="FFFFFF"/>
              <w:spacing w:before="120" w:after="120" w:line="264" w:lineRule="auto"/>
              <w:ind w:right="14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Consortium Member’s authorized representative information</w:t>
            </w:r>
          </w:p>
          <w:p w14:paraId="708C6B37">
            <w:pPr>
              <w:shd w:val="clear" w:color="auto" w:fill="FFFFFF"/>
              <w:spacing w:before="120" w:after="120" w:line="264" w:lineRule="auto"/>
              <w:ind w:right="141" w:firstLine="567"/>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Name: _____________________________________</w:t>
            </w:r>
          </w:p>
          <w:p w14:paraId="708C6B38">
            <w:pPr>
              <w:shd w:val="clear" w:color="auto" w:fill="FFFFFF"/>
              <w:spacing w:before="120" w:after="120" w:line="264" w:lineRule="auto"/>
              <w:ind w:right="141" w:firstLine="567"/>
              <w:rPr>
                <w:b/>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Address: </w:t>
            </w:r>
            <w:r>
              <w:rPr>
                <w:i/>
                <w:color w:val="000000" w:themeColor="text1"/>
                <w:sz w:val="26"/>
                <w:szCs w:val="26"/>
                <w14:textFill>
                  <w14:solidFill>
                    <w14:schemeClr w14:val="tx1"/>
                  </w14:solidFill>
                </w14:textFill>
              </w:rPr>
              <w:t>___________________________________</w:t>
            </w:r>
          </w:p>
          <w:p w14:paraId="708C6B39">
            <w:pPr>
              <w:shd w:val="clear" w:color="auto" w:fill="FFFFFF"/>
              <w:spacing w:before="120" w:after="120" w:line="264" w:lineRule="auto"/>
              <w:ind w:right="141" w:firstLine="567"/>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Telephone/Fax numbers: </w:t>
            </w:r>
            <w:r>
              <w:rPr>
                <w:i/>
                <w:color w:val="000000" w:themeColor="text1"/>
                <w:sz w:val="26"/>
                <w:szCs w:val="26"/>
                <w14:textFill>
                  <w14:solidFill>
                    <w14:schemeClr w14:val="tx1"/>
                  </w14:solidFill>
                </w14:textFill>
              </w:rPr>
              <w:t>___________________________</w:t>
            </w:r>
          </w:p>
          <w:p w14:paraId="708C6B3A">
            <w:pPr>
              <w:widowControl w:val="0"/>
              <w:shd w:val="clear" w:color="auto" w:fill="FFFFFF"/>
              <w:spacing w:before="120" w:after="120" w:line="264" w:lineRule="auto"/>
              <w:ind w:right="142" w:firstLine="567"/>
              <w:rPr>
                <w:i/>
                <w:iCs/>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Email Address: </w:t>
            </w:r>
            <w:r>
              <w:rPr>
                <w:i/>
                <w:color w:val="000000" w:themeColor="text1"/>
                <w:sz w:val="26"/>
                <w:szCs w:val="26"/>
                <w14:textFill>
                  <w14:solidFill>
                    <w14:schemeClr w14:val="tx1"/>
                  </w14:solidFill>
                </w14:textFill>
              </w:rPr>
              <w:t>______________________________</w:t>
            </w:r>
          </w:p>
        </w:tc>
      </w:tr>
      <w:tr w14:paraId="708C6B3E">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B3C">
            <w:pPr>
              <w:widowControl w:val="0"/>
              <w:shd w:val="clear" w:color="auto" w:fill="FFFFFF"/>
              <w:spacing w:before="120" w:after="120" w:line="264" w:lineRule="auto"/>
              <w:ind w:right="142"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7. Attached is a copy of one of the following documents: Certificate of business registration, Certificate of business household registration, Decision on establishment or an equivalent document issued by a competent authority in the country in which the consortium member is operating.</w:t>
            </w:r>
          </w:p>
          <w:p w14:paraId="708C6B3D">
            <w:pPr>
              <w:widowControl w:val="0"/>
              <w:shd w:val="clear" w:color="auto" w:fill="FFFFFF"/>
              <w:spacing w:before="120" w:after="120" w:line="264" w:lineRule="auto"/>
              <w:ind w:right="142" w:firstLine="567"/>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8. Included is the organizational chart of the bidder.</w:t>
            </w:r>
          </w:p>
        </w:tc>
      </w:tr>
    </w:tbl>
    <w:p w14:paraId="708C6B3F">
      <w:pPr>
        <w:pStyle w:val="347"/>
        <w:shd w:val="clear" w:color="auto" w:fill="FFFFFF"/>
        <w:spacing w:after="120" w:line="264" w:lineRule="auto"/>
        <w:ind w:firstLine="567"/>
        <w:jc w:val="both"/>
        <w:outlineLvl w:val="2"/>
        <w:rPr>
          <w:b w:val="0"/>
          <w:color w:val="000000" w:themeColor="text1"/>
          <w:sz w:val="26"/>
          <w:szCs w:val="26"/>
          <w14:textFill>
            <w14:solidFill>
              <w14:schemeClr w14:val="tx1"/>
            </w14:solidFill>
          </w14:textFill>
        </w:rPr>
      </w:pPr>
      <w:r>
        <w:rPr>
          <w:b w:val="0"/>
          <w:color w:val="000000" w:themeColor="text1"/>
          <w:sz w:val="26"/>
          <w:szCs w:val="26"/>
          <w14:textFill>
            <w14:solidFill>
              <w14:schemeClr w14:val="tx1"/>
            </w14:solidFill>
          </w14:textFill>
        </w:rPr>
        <w:t>Notes:</w:t>
      </w:r>
    </w:p>
    <w:p w14:paraId="708C6B40">
      <w:pPr>
        <w:spacing w:before="120" w:after="120" w:line="264" w:lineRule="auto"/>
        <w:ind w:firstLine="567"/>
        <w:jc w:val="both"/>
        <w:rPr>
          <w:bCs/>
          <w:iCs/>
          <w:color w:val="000000" w:themeColor="text1"/>
          <w:spacing w:val="-2"/>
          <w:sz w:val="26"/>
          <w:szCs w:val="26"/>
          <w14:textFill>
            <w14:solidFill>
              <w14:schemeClr w14:val="tx1"/>
            </w14:solidFill>
          </w14:textFill>
        </w:rPr>
      </w:pPr>
      <w:r>
        <w:rPr>
          <w:bCs/>
          <w:color w:val="000000" w:themeColor="text1"/>
          <w:sz w:val="26"/>
          <w:szCs w:val="26"/>
          <w14:textFill>
            <w14:solidFill>
              <w14:schemeClr w14:val="tx1"/>
            </w14:solidFill>
          </w14:textFill>
        </w:rPr>
        <w:t>(1) The form shall be filled in for each member of Consortium</w:t>
      </w:r>
    </w:p>
    <w:p w14:paraId="708C6B41">
      <w:pPr>
        <w:spacing w:after="0" w:line="240" w:lineRule="auto"/>
        <w:rPr>
          <w:iCs/>
          <w:color w:val="000000" w:themeColor="text1"/>
          <w:spacing w:val="-2"/>
          <w:sz w:val="26"/>
          <w:szCs w:val="26"/>
          <w14:textFill>
            <w14:solidFill>
              <w14:schemeClr w14:val="tx1"/>
            </w14:solidFill>
          </w14:textFill>
        </w:rPr>
      </w:pPr>
      <w:r>
        <w:rPr>
          <w:iCs/>
          <w:color w:val="000000" w:themeColor="text1"/>
          <w:spacing w:val="-2"/>
          <w:sz w:val="26"/>
          <w:szCs w:val="26"/>
          <w14:textFill>
            <w14:solidFill>
              <w14:schemeClr w14:val="tx1"/>
            </w14:solidFill>
          </w14:textFill>
        </w:rPr>
        <w:br w:type="page"/>
      </w:r>
    </w:p>
    <w:p w14:paraId="708C6B42">
      <w:pPr>
        <w:pStyle w:val="311"/>
        <w:shd w:val="clear" w:color="auto" w:fill="FFFFFF"/>
        <w:rPr>
          <w:rFonts w:ascii="Times New Roman" w:hAnsi="Times New Roman"/>
          <w:color w:val="000000" w:themeColor="text1"/>
          <w:sz w:val="26"/>
          <w:szCs w:val="26"/>
          <w:u w:val="none"/>
          <w:lang w:val="en-US"/>
          <w14:textFill>
            <w14:solidFill>
              <w14:schemeClr w14:val="tx1"/>
            </w14:solidFill>
          </w14:textFill>
        </w:rPr>
      </w:pPr>
      <w:r>
        <w:rPr>
          <w:rFonts w:ascii="Times New Roman" w:hAnsi="Times New Roman"/>
          <w:iCs/>
          <w:color w:val="000000" w:themeColor="text1"/>
          <w:spacing w:val="-2"/>
          <w:sz w:val="26"/>
          <w:szCs w:val="26"/>
          <w:lang w:val="en-US"/>
          <w14:textFill>
            <w14:solidFill>
              <w14:schemeClr w14:val="tx1"/>
            </w14:solidFill>
          </w14:textFill>
        </w:rPr>
        <w:t xml:space="preserve"> </w:t>
      </w:r>
      <w:r>
        <w:rPr>
          <w:rFonts w:ascii="Times New Roman" w:hAnsi="Times New Roman"/>
          <w:color w:val="000000" w:themeColor="text1"/>
          <w:sz w:val="26"/>
          <w:szCs w:val="26"/>
          <w:u w:val="none"/>
          <w:lang w:val="en-US"/>
          <w14:textFill>
            <w14:solidFill>
              <w14:schemeClr w14:val="tx1"/>
            </w14:solidFill>
          </w14:textFill>
        </w:rPr>
        <w:t>Form 8 (b2)</w:t>
      </w:r>
    </w:p>
    <w:p w14:paraId="708C6B43">
      <w:pPr>
        <w:pStyle w:val="243"/>
        <w:shd w:val="clear" w:color="auto" w:fill="FFFFFF"/>
        <w:outlineLvl w:val="3"/>
        <w:rPr>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CONSORTIUM MEMBERS INFORMATION FORM</w:t>
      </w:r>
      <w:r>
        <w:rPr>
          <w:bCs/>
          <w:color w:val="000000" w:themeColor="text1"/>
          <w:sz w:val="26"/>
          <w:szCs w:val="26"/>
          <w:vertAlign w:val="superscript"/>
          <w14:textFill>
            <w14:solidFill>
              <w14:schemeClr w14:val="tx1"/>
            </w14:solidFill>
          </w14:textFill>
        </w:rPr>
        <w:t>(1)</w:t>
      </w:r>
    </w:p>
    <w:p w14:paraId="708C6B44">
      <w:pPr>
        <w:jc w:val="center"/>
        <w:rPr>
          <w:color w:val="000000" w:themeColor="text1"/>
          <w14:textFill>
            <w14:solidFill>
              <w14:schemeClr w14:val="tx1"/>
            </w14:solidFill>
          </w14:textFill>
        </w:rPr>
      </w:pPr>
      <w:r>
        <w:rPr>
          <w:b/>
          <w:i/>
          <w:color w:val="000000" w:themeColor="text1"/>
          <w:sz w:val="26"/>
          <w:szCs w:val="26"/>
          <w14:textFill>
            <w14:solidFill>
              <w14:schemeClr w14:val="tx1"/>
            </w14:solidFill>
          </w14:textFill>
        </w:rPr>
        <w:t>(For the member of consortium who is the manufacturer</w:t>
      </w:r>
      <w:r>
        <w:rPr>
          <w:b/>
          <w:i/>
          <w:color w:val="000000" w:themeColor="text1"/>
          <w:sz w:val="26"/>
          <w:szCs w:val="26"/>
          <w:vertAlign w:val="superscript"/>
          <w14:textFill>
            <w14:solidFill>
              <w14:schemeClr w14:val="tx1"/>
            </w14:solidFill>
          </w14:textFill>
        </w:rPr>
        <w:t>(1)</w:t>
      </w:r>
      <w:r>
        <w:rPr>
          <w:b/>
          <w:i/>
          <w:color w:val="000000" w:themeColor="text1"/>
          <w:sz w:val="26"/>
          <w:szCs w:val="26"/>
          <w14:textFill>
            <w14:solidFill>
              <w14:schemeClr w14:val="tx1"/>
            </w14:solidFill>
          </w14:textFill>
        </w:rPr>
        <w:t xml:space="preserve"> of the goods offered in this package)</w:t>
      </w:r>
    </w:p>
    <w:tbl>
      <w:tblPr>
        <w:tblStyle w:val="12"/>
        <w:tblW w:w="9781" w:type="dxa"/>
        <w:jc w:val="center"/>
        <w:tblLayout w:type="fixed"/>
        <w:tblCellMar>
          <w:top w:w="0" w:type="dxa"/>
          <w:left w:w="0" w:type="dxa"/>
          <w:bottom w:w="0" w:type="dxa"/>
          <w:right w:w="0" w:type="dxa"/>
        </w:tblCellMar>
      </w:tblPr>
      <w:tblGrid>
        <w:gridCol w:w="9781"/>
      </w:tblGrid>
      <w:tr w14:paraId="708C6B46">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B45">
            <w:pPr>
              <w:widowControl w:val="0"/>
              <w:numPr>
                <w:ilvl w:val="0"/>
                <w:numId w:val="61"/>
              </w:numPr>
              <w:shd w:val="clear" w:color="auto" w:fill="FFFFFF"/>
              <w:spacing w:before="120" w:after="120" w:line="264" w:lineRule="auto"/>
              <w:ind w:right="142"/>
              <w:rPr>
                <w:b/>
                <w:i/>
                <w:iCs/>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Consortium’s Name:</w:t>
            </w:r>
          </w:p>
        </w:tc>
      </w:tr>
      <w:tr w14:paraId="708C6B48">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B47">
            <w:pPr>
              <w:widowControl w:val="0"/>
              <w:numPr>
                <w:ilvl w:val="0"/>
                <w:numId w:val="61"/>
              </w:numPr>
              <w:shd w:val="clear" w:color="auto" w:fill="FFFFFF"/>
              <w:spacing w:before="120" w:after="120" w:line="264" w:lineRule="auto"/>
              <w:ind w:right="142"/>
              <w:rPr>
                <w:b/>
                <w:i/>
                <w:iCs/>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Consortium Member’s name:</w:t>
            </w:r>
          </w:p>
        </w:tc>
      </w:tr>
      <w:tr w14:paraId="708C6B4B">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B49">
            <w:pPr>
              <w:pStyle w:val="97"/>
              <w:widowControl w:val="0"/>
              <w:numPr>
                <w:ilvl w:val="0"/>
                <w:numId w:val="61"/>
              </w:numPr>
              <w:shd w:val="clear" w:color="auto" w:fill="FFFFFF"/>
              <w:spacing w:before="120" w:after="120" w:line="264" w:lineRule="auto"/>
              <w:ind w:right="142"/>
              <w:rPr>
                <w:b/>
                <w:i/>
                <w:iCs/>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Consortium Member’s place of registration:</w:t>
            </w:r>
          </w:p>
          <w:p w14:paraId="708C6B4A">
            <w:pPr>
              <w:widowControl w:val="0"/>
              <w:shd w:val="clear" w:color="auto" w:fill="FFFFFF"/>
              <w:spacing w:before="120" w:after="120" w:line="264" w:lineRule="auto"/>
              <w:ind w:left="927" w:right="142"/>
              <w:rPr>
                <w:b/>
                <w:i/>
                <w:iCs/>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Consortium Member’s place of </w:t>
            </w:r>
            <w:r>
              <w:rPr>
                <w:bCs/>
                <w:color w:val="000000" w:themeColor="text1"/>
                <w:sz w:val="26"/>
                <w:szCs w:val="26"/>
                <w14:textFill>
                  <w14:solidFill>
                    <w14:schemeClr w14:val="tx1"/>
                  </w14:solidFill>
                </w14:textFill>
              </w:rPr>
              <w:t>business and operation</w:t>
            </w:r>
            <w:r>
              <w:rPr>
                <w:color w:val="000000" w:themeColor="text1"/>
                <w:sz w:val="26"/>
                <w:szCs w:val="26"/>
                <w14:textFill>
                  <w14:solidFill>
                    <w14:schemeClr w14:val="tx1"/>
                  </w14:solidFill>
                </w14:textFill>
              </w:rPr>
              <w:t>:</w:t>
            </w:r>
          </w:p>
        </w:tc>
      </w:tr>
      <w:tr w14:paraId="708C6B4D">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B4C">
            <w:pPr>
              <w:widowControl w:val="0"/>
              <w:numPr>
                <w:ilvl w:val="0"/>
                <w:numId w:val="61"/>
              </w:numPr>
              <w:shd w:val="clear" w:color="auto" w:fill="FFFFFF"/>
              <w:spacing w:before="120" w:after="120" w:line="264" w:lineRule="auto"/>
              <w:ind w:right="142"/>
              <w:rPr>
                <w:b/>
                <w:i/>
                <w:iCs/>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Consortium Member’s year of registration:</w:t>
            </w:r>
          </w:p>
        </w:tc>
      </w:tr>
      <w:tr w14:paraId="708C6B4F">
        <w:tblPrEx>
          <w:tblCellMar>
            <w:top w:w="0" w:type="dxa"/>
            <w:left w:w="0" w:type="dxa"/>
            <w:bottom w:w="0" w:type="dxa"/>
            <w:right w:w="0" w:type="dxa"/>
          </w:tblCellMar>
        </w:tblPrEx>
        <w:trPr>
          <w:jc w:val="center"/>
        </w:trPr>
        <w:tc>
          <w:tcPr>
            <w:tcW w:w="9781" w:type="dxa"/>
            <w:tcBorders>
              <w:top w:val="single" w:color="auto" w:sz="2" w:space="0"/>
              <w:left w:val="single" w:color="auto" w:sz="2" w:space="0"/>
              <w:right w:val="single" w:color="auto" w:sz="2" w:space="0"/>
            </w:tcBorders>
          </w:tcPr>
          <w:p w14:paraId="708C6B4E">
            <w:pPr>
              <w:widowControl w:val="0"/>
              <w:numPr>
                <w:ilvl w:val="0"/>
                <w:numId w:val="61"/>
              </w:numPr>
              <w:shd w:val="clear" w:color="auto" w:fill="FFFFFF"/>
              <w:spacing w:before="120" w:after="120" w:line="264" w:lineRule="auto"/>
              <w:ind w:right="142"/>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Consortium Member’s legal address in place of registration:</w:t>
            </w:r>
          </w:p>
        </w:tc>
      </w:tr>
      <w:tr w14:paraId="708C6B55">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B50">
            <w:pPr>
              <w:widowControl w:val="0"/>
              <w:numPr>
                <w:ilvl w:val="0"/>
                <w:numId w:val="61"/>
              </w:numPr>
              <w:shd w:val="clear" w:color="auto" w:fill="FFFFFF"/>
              <w:spacing w:before="120" w:after="120" w:line="264" w:lineRule="auto"/>
              <w:ind w:right="14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Consortium Member’s authorized representative information</w:t>
            </w:r>
          </w:p>
          <w:p w14:paraId="708C6B51">
            <w:pPr>
              <w:shd w:val="clear" w:color="auto" w:fill="FFFFFF"/>
              <w:spacing w:before="120" w:after="120" w:line="264" w:lineRule="auto"/>
              <w:ind w:right="141" w:firstLine="567"/>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Name: _____________________________________</w:t>
            </w:r>
          </w:p>
          <w:p w14:paraId="708C6B52">
            <w:pPr>
              <w:shd w:val="clear" w:color="auto" w:fill="FFFFFF"/>
              <w:spacing w:before="120" w:after="120" w:line="264" w:lineRule="auto"/>
              <w:ind w:right="141" w:firstLine="567"/>
              <w:rPr>
                <w:b/>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Address: </w:t>
            </w:r>
            <w:r>
              <w:rPr>
                <w:i/>
                <w:color w:val="000000" w:themeColor="text1"/>
                <w:sz w:val="26"/>
                <w:szCs w:val="26"/>
                <w14:textFill>
                  <w14:solidFill>
                    <w14:schemeClr w14:val="tx1"/>
                  </w14:solidFill>
                </w14:textFill>
              </w:rPr>
              <w:t>___________________________________</w:t>
            </w:r>
          </w:p>
          <w:p w14:paraId="708C6B53">
            <w:pPr>
              <w:shd w:val="clear" w:color="auto" w:fill="FFFFFF"/>
              <w:spacing w:before="120" w:after="120" w:line="264" w:lineRule="auto"/>
              <w:ind w:right="141" w:firstLine="567"/>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Telephone/Fax numbers: </w:t>
            </w:r>
            <w:r>
              <w:rPr>
                <w:i/>
                <w:color w:val="000000" w:themeColor="text1"/>
                <w:sz w:val="26"/>
                <w:szCs w:val="26"/>
                <w14:textFill>
                  <w14:solidFill>
                    <w14:schemeClr w14:val="tx1"/>
                  </w14:solidFill>
                </w14:textFill>
              </w:rPr>
              <w:t>___________________________</w:t>
            </w:r>
          </w:p>
          <w:p w14:paraId="708C6B54">
            <w:pPr>
              <w:widowControl w:val="0"/>
              <w:shd w:val="clear" w:color="auto" w:fill="FFFFFF"/>
              <w:spacing w:before="120" w:after="120" w:line="264" w:lineRule="auto"/>
              <w:ind w:right="142" w:firstLine="567"/>
              <w:rPr>
                <w:i/>
                <w:iCs/>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Email Address: </w:t>
            </w:r>
            <w:r>
              <w:rPr>
                <w:i/>
                <w:color w:val="000000" w:themeColor="text1"/>
                <w:sz w:val="26"/>
                <w:szCs w:val="26"/>
                <w14:textFill>
                  <w14:solidFill>
                    <w14:schemeClr w14:val="tx1"/>
                  </w14:solidFill>
                </w14:textFill>
              </w:rPr>
              <w:t>______________________________</w:t>
            </w:r>
          </w:p>
        </w:tc>
      </w:tr>
      <w:tr w14:paraId="708C6B57">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B56">
            <w:pPr>
              <w:widowControl w:val="0"/>
              <w:shd w:val="clear" w:color="auto" w:fill="FFFFFF"/>
              <w:spacing w:before="120" w:after="120" w:line="264" w:lineRule="auto"/>
              <w:ind w:right="142"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7. Production capacity: _____________ </w:t>
            </w:r>
            <w:r>
              <w:rPr>
                <w:i/>
                <w:color w:val="000000" w:themeColor="text1"/>
                <w:sz w:val="26"/>
                <w:szCs w:val="26"/>
                <w14:textFill>
                  <w14:solidFill>
                    <w14:schemeClr w14:val="tx1"/>
                  </w14:solidFill>
                </w14:textFill>
              </w:rPr>
              <w:t>[insert information showing the bidder's production capacity such as: number of factories, production scale, minimum capacity, maximum designed capacity, actual capacity are being implemented… to demonstrate the ability to meet the requirements on quantity, volume, delivery time specified in the Bidding Documents]</w:t>
            </w:r>
          </w:p>
        </w:tc>
      </w:tr>
      <w:tr w14:paraId="708C6B5A">
        <w:tblPrEx>
          <w:tblCellMar>
            <w:top w:w="0" w:type="dxa"/>
            <w:left w:w="0" w:type="dxa"/>
            <w:bottom w:w="0" w:type="dxa"/>
            <w:right w:w="0" w:type="dxa"/>
          </w:tblCellMar>
        </w:tblPrEx>
        <w:trPr>
          <w:jc w:val="center"/>
        </w:trPr>
        <w:tc>
          <w:tcPr>
            <w:tcW w:w="9781" w:type="dxa"/>
            <w:tcBorders>
              <w:top w:val="single" w:color="auto" w:sz="2" w:space="0"/>
              <w:left w:val="single" w:color="auto" w:sz="2" w:space="0"/>
              <w:bottom w:val="single" w:color="auto" w:sz="2" w:space="0"/>
              <w:right w:val="single" w:color="auto" w:sz="2" w:space="0"/>
            </w:tcBorders>
          </w:tcPr>
          <w:p w14:paraId="708C6B58">
            <w:pPr>
              <w:widowControl w:val="0"/>
              <w:shd w:val="clear" w:color="auto" w:fill="FFFFFF"/>
              <w:spacing w:before="120" w:after="120" w:line="264" w:lineRule="auto"/>
              <w:ind w:right="142"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8. Attached is a copy of one of the following documents: Certificate of business registration, Certificate of business household registration, Decision on establishment or an equivalent document issued by a competent authority in the country in which the consortium member is operating.</w:t>
            </w:r>
          </w:p>
          <w:p w14:paraId="708C6B59">
            <w:pPr>
              <w:widowControl w:val="0"/>
              <w:shd w:val="clear" w:color="auto" w:fill="FFFFFF"/>
              <w:spacing w:before="120" w:after="120" w:line="264" w:lineRule="auto"/>
              <w:ind w:right="142" w:firstLine="567"/>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9. Included is the organizational chart of the bidder.</w:t>
            </w:r>
          </w:p>
        </w:tc>
      </w:tr>
    </w:tbl>
    <w:p w14:paraId="708C6B5B">
      <w:pPr>
        <w:pStyle w:val="347"/>
        <w:shd w:val="clear" w:color="auto" w:fill="FFFFFF"/>
        <w:spacing w:after="120" w:line="264" w:lineRule="auto"/>
        <w:ind w:firstLine="567"/>
        <w:jc w:val="both"/>
        <w:outlineLvl w:val="2"/>
        <w:rPr>
          <w:b w:val="0"/>
          <w:color w:val="000000" w:themeColor="text1"/>
          <w:sz w:val="26"/>
          <w:szCs w:val="26"/>
          <w14:textFill>
            <w14:solidFill>
              <w14:schemeClr w14:val="tx1"/>
            </w14:solidFill>
          </w14:textFill>
        </w:rPr>
      </w:pPr>
      <w:r>
        <w:rPr>
          <w:b w:val="0"/>
          <w:color w:val="000000" w:themeColor="text1"/>
          <w:sz w:val="26"/>
          <w:szCs w:val="26"/>
          <w14:textFill>
            <w14:solidFill>
              <w14:schemeClr w14:val="tx1"/>
            </w14:solidFill>
          </w14:textFill>
        </w:rPr>
        <w:t>Notes:</w:t>
      </w:r>
    </w:p>
    <w:p w14:paraId="708C6B5C">
      <w:pPr>
        <w:pStyle w:val="347"/>
        <w:shd w:val="clear" w:color="auto" w:fill="FFFFFF"/>
        <w:spacing w:after="120" w:line="264" w:lineRule="auto"/>
        <w:ind w:firstLine="567"/>
        <w:jc w:val="both"/>
        <w:outlineLvl w:val="2"/>
        <w:rPr>
          <w:b w:val="0"/>
          <w:color w:val="000000" w:themeColor="text1"/>
          <w:sz w:val="26"/>
          <w:szCs w:val="26"/>
          <w14:textFill>
            <w14:solidFill>
              <w14:schemeClr w14:val="tx1"/>
            </w14:solidFill>
          </w14:textFill>
        </w:rPr>
      </w:pPr>
      <w:r>
        <w:rPr>
          <w:b w:val="0"/>
          <w:color w:val="000000" w:themeColor="text1"/>
          <w:sz w:val="26"/>
          <w:szCs w:val="26"/>
          <w14:textFill>
            <w14:solidFill>
              <w14:schemeClr w14:val="tx1"/>
            </w14:solidFill>
          </w14:textFill>
        </w:rPr>
        <w:t>(1) The form shall be filled in for each member of Consortium.</w:t>
      </w:r>
    </w:p>
    <w:p w14:paraId="708C6B5D">
      <w:pPr>
        <w:spacing w:after="0" w:line="240" w:lineRule="auto"/>
        <w:rPr>
          <w:iCs/>
          <w:color w:val="000000" w:themeColor="text1"/>
          <w:spacing w:val="-2"/>
          <w:sz w:val="26"/>
          <w:szCs w:val="26"/>
          <w14:textFill>
            <w14:solidFill>
              <w14:schemeClr w14:val="tx1"/>
            </w14:solidFill>
          </w14:textFill>
        </w:rPr>
      </w:pPr>
      <w:r>
        <w:rPr>
          <w:iCs/>
          <w:color w:val="000000" w:themeColor="text1"/>
          <w:spacing w:val="-2"/>
          <w:sz w:val="26"/>
          <w:szCs w:val="26"/>
          <w14:textFill>
            <w14:solidFill>
              <w14:schemeClr w14:val="tx1"/>
            </w14:solidFill>
          </w14:textFill>
        </w:rPr>
        <w:br w:type="page"/>
      </w:r>
    </w:p>
    <w:p w14:paraId="708C6B5E">
      <w:pPr>
        <w:shd w:val="clear" w:color="auto" w:fill="FFFFFF"/>
        <w:tabs>
          <w:tab w:val="left" w:pos="2329"/>
        </w:tabs>
        <w:spacing w:before="120" w:after="120"/>
        <w:jc w:val="right"/>
        <w:rPr>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Form 9(a)</w:t>
      </w:r>
    </w:p>
    <w:p w14:paraId="708C6B5F">
      <w:pPr>
        <w:keepNext/>
        <w:shd w:val="clear" w:color="auto" w:fill="FFFFFF"/>
        <w:spacing w:before="60" w:after="60"/>
        <w:ind w:firstLine="567"/>
        <w:jc w:val="center"/>
        <w:outlineLvl w:val="3"/>
        <w:rPr>
          <w:b/>
          <w:iCs/>
          <w:color w:val="000000" w:themeColor="text1"/>
          <w:sz w:val="26"/>
          <w:szCs w:val="26"/>
          <w:vertAlign w:val="superscript"/>
          <w14:textFill>
            <w14:solidFill>
              <w14:schemeClr w14:val="tx1"/>
            </w14:solidFill>
          </w14:textFill>
        </w:rPr>
      </w:pPr>
      <w:r>
        <w:rPr>
          <w:b/>
          <w:color w:val="000000" w:themeColor="text1"/>
          <w:sz w:val="26"/>
          <w:szCs w:val="26"/>
          <w14:textFill>
            <w14:solidFill>
              <w14:schemeClr w14:val="tx1"/>
            </w14:solidFill>
          </w14:textFill>
        </w:rPr>
        <w:t xml:space="preserve">SIMILAR CONTRACTS HAVING BEEN PERFORMED BY THE BIDDER </w:t>
      </w:r>
      <w:r>
        <w:rPr>
          <w:b/>
          <w:iCs/>
          <w:color w:val="000000" w:themeColor="text1"/>
          <w:sz w:val="26"/>
          <w:szCs w:val="26"/>
          <w:vertAlign w:val="superscript"/>
          <w14:textFill>
            <w14:solidFill>
              <w14:schemeClr w14:val="tx1"/>
            </w14:solidFill>
          </w14:textFill>
        </w:rPr>
        <w:t>(1)</w:t>
      </w:r>
    </w:p>
    <w:p w14:paraId="708C6B60">
      <w:pPr>
        <w:shd w:val="clear" w:color="auto" w:fill="FFFFFF"/>
        <w:spacing w:before="120" w:after="120" w:line="264" w:lineRule="auto"/>
        <w:jc w:val="center"/>
        <w:rPr>
          <w:b/>
          <w:i/>
          <w:color w:val="000000" w:themeColor="text1"/>
          <w:sz w:val="26"/>
          <w:szCs w:val="26"/>
          <w14:textFill>
            <w14:solidFill>
              <w14:schemeClr w14:val="tx1"/>
            </w14:solidFill>
          </w14:textFill>
        </w:rPr>
      </w:pPr>
      <w:r>
        <w:rPr>
          <w:b/>
          <w:i/>
          <w:color w:val="000000" w:themeColor="text1"/>
          <w:sz w:val="26"/>
          <w:szCs w:val="26"/>
          <w14:textFill>
            <w14:solidFill>
              <w14:schemeClr w14:val="tx1"/>
            </w14:solidFill>
          </w14:textFill>
        </w:rPr>
        <w:t>(applicable for commercial bidders)</w:t>
      </w:r>
    </w:p>
    <w:p w14:paraId="708C6B61">
      <w:pPr>
        <w:shd w:val="clear" w:color="auto" w:fill="FFFFFF"/>
        <w:spacing w:before="120" w:after="120" w:line="264" w:lineRule="auto"/>
        <w:rPr>
          <w:i/>
          <w:iCs/>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Name of bidder: ____</w:t>
      </w:r>
      <w:r>
        <w:rPr>
          <w:i/>
          <w:iCs/>
          <w:color w:val="000000" w:themeColor="text1"/>
          <w:sz w:val="26"/>
          <w:szCs w:val="26"/>
          <w14:textFill>
            <w14:solidFill>
              <w14:schemeClr w14:val="tx1"/>
            </w14:solidFill>
          </w14:textFill>
        </w:rPr>
        <w:t>[insert full name of the bidder]</w:t>
      </w:r>
    </w:p>
    <w:p w14:paraId="708C6B62">
      <w:pPr>
        <w:shd w:val="clear" w:color="auto" w:fill="FFFFFF"/>
        <w:tabs>
          <w:tab w:val="left" w:pos="1404"/>
          <w:tab w:val="left" w:pos="2988"/>
        </w:tabs>
        <w:spacing w:before="120" w:after="120" w:line="264"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Fill up one (1) form per contract, as follows:</w:t>
      </w:r>
    </w:p>
    <w:tbl>
      <w:tblPr>
        <w:tblStyle w:val="12"/>
        <w:tblW w:w="9781" w:type="dxa"/>
        <w:jc w:val="center"/>
        <w:tblLayout w:type="fixed"/>
        <w:tblCellMar>
          <w:top w:w="0" w:type="dxa"/>
          <w:left w:w="0" w:type="dxa"/>
          <w:bottom w:w="0" w:type="dxa"/>
          <w:right w:w="0" w:type="dxa"/>
        </w:tblCellMar>
      </w:tblPr>
      <w:tblGrid>
        <w:gridCol w:w="2753"/>
        <w:gridCol w:w="1748"/>
        <w:gridCol w:w="1639"/>
        <w:gridCol w:w="3641"/>
      </w:tblGrid>
      <w:tr w14:paraId="708C6B65">
        <w:tblPrEx>
          <w:tblCellMar>
            <w:top w:w="0" w:type="dxa"/>
            <w:left w:w="0" w:type="dxa"/>
            <w:bottom w:w="0" w:type="dxa"/>
            <w:right w:w="0" w:type="dxa"/>
          </w:tblCellMar>
        </w:tblPrEx>
        <w:trPr>
          <w:trHeight w:val="399" w:hRule="atLeast"/>
          <w:jc w:val="center"/>
        </w:trPr>
        <w:tc>
          <w:tcPr>
            <w:tcW w:w="2753" w:type="dxa"/>
            <w:tcBorders>
              <w:top w:val="single" w:color="auto" w:sz="2" w:space="0"/>
              <w:left w:val="single" w:color="auto" w:sz="2" w:space="0"/>
              <w:bottom w:val="single" w:color="auto" w:sz="2" w:space="0"/>
              <w:right w:val="single" w:color="auto" w:sz="2" w:space="0"/>
            </w:tcBorders>
            <w:vAlign w:val="center"/>
          </w:tcPr>
          <w:p w14:paraId="708C6B63">
            <w:pPr>
              <w:shd w:val="clear" w:color="auto" w:fill="FFFFFF"/>
              <w:spacing w:before="120" w:after="120" w:line="264" w:lineRule="auto"/>
              <w:ind w:left="142" w:right="6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Contract number and identification</w:t>
            </w:r>
          </w:p>
        </w:tc>
        <w:tc>
          <w:tcPr>
            <w:tcW w:w="7028" w:type="dxa"/>
            <w:gridSpan w:val="3"/>
            <w:tcBorders>
              <w:top w:val="single" w:color="auto" w:sz="2" w:space="0"/>
              <w:left w:val="single" w:color="auto" w:sz="2" w:space="0"/>
              <w:bottom w:val="single" w:color="auto" w:sz="2" w:space="0"/>
              <w:right w:val="single" w:color="auto" w:sz="2" w:space="0"/>
            </w:tcBorders>
            <w:vAlign w:val="center"/>
          </w:tcPr>
          <w:p w14:paraId="708C6B64">
            <w:pPr>
              <w:shd w:val="clear" w:color="auto" w:fill="FFFFFF"/>
              <w:spacing w:before="120" w:after="120" w:line="264" w:lineRule="auto"/>
              <w:ind w:left="82" w:right="142"/>
              <w:jc w:val="center"/>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 xml:space="preserve">       [insert full name, number, identification of contract]</w:t>
            </w:r>
          </w:p>
        </w:tc>
      </w:tr>
      <w:tr w14:paraId="708C6B68">
        <w:tblPrEx>
          <w:tblCellMar>
            <w:top w:w="0" w:type="dxa"/>
            <w:left w:w="0" w:type="dxa"/>
            <w:bottom w:w="0" w:type="dxa"/>
            <w:right w:w="0" w:type="dxa"/>
          </w:tblCellMar>
        </w:tblPrEx>
        <w:trPr>
          <w:trHeight w:val="400" w:hRule="atLeast"/>
          <w:jc w:val="center"/>
        </w:trPr>
        <w:tc>
          <w:tcPr>
            <w:tcW w:w="2753" w:type="dxa"/>
            <w:tcBorders>
              <w:top w:val="single" w:color="auto" w:sz="2" w:space="0"/>
              <w:left w:val="single" w:color="auto" w:sz="2" w:space="0"/>
              <w:bottom w:val="single" w:color="auto" w:sz="2" w:space="0"/>
              <w:right w:val="single" w:color="auto" w:sz="2" w:space="0"/>
            </w:tcBorders>
            <w:vAlign w:val="center"/>
          </w:tcPr>
          <w:p w14:paraId="708C6B66">
            <w:pPr>
              <w:shd w:val="clear" w:color="auto" w:fill="FFFFFF"/>
              <w:spacing w:before="120" w:after="120" w:line="264" w:lineRule="auto"/>
              <w:ind w:left="142" w:right="6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Contract signing date</w:t>
            </w:r>
          </w:p>
        </w:tc>
        <w:tc>
          <w:tcPr>
            <w:tcW w:w="7028" w:type="dxa"/>
            <w:gridSpan w:val="3"/>
            <w:tcBorders>
              <w:top w:val="single" w:color="auto" w:sz="2" w:space="0"/>
              <w:left w:val="single" w:color="auto" w:sz="2" w:space="0"/>
              <w:bottom w:val="single" w:color="auto" w:sz="2" w:space="0"/>
              <w:right w:val="single" w:color="auto" w:sz="2" w:space="0"/>
            </w:tcBorders>
            <w:vAlign w:val="center"/>
          </w:tcPr>
          <w:p w14:paraId="708C6B67">
            <w:pPr>
              <w:shd w:val="clear" w:color="auto" w:fill="FFFFFF"/>
              <w:spacing w:before="120" w:after="120" w:line="264" w:lineRule="auto"/>
              <w:ind w:left="82" w:right="142"/>
              <w:jc w:val="center"/>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 xml:space="preserve">      [insert day, month, year]</w:t>
            </w:r>
          </w:p>
        </w:tc>
      </w:tr>
      <w:tr w14:paraId="708C6B6B">
        <w:tblPrEx>
          <w:tblCellMar>
            <w:top w:w="0" w:type="dxa"/>
            <w:left w:w="0" w:type="dxa"/>
            <w:bottom w:w="0" w:type="dxa"/>
            <w:right w:w="0" w:type="dxa"/>
          </w:tblCellMar>
        </w:tblPrEx>
        <w:trPr>
          <w:trHeight w:val="400" w:hRule="atLeast"/>
          <w:jc w:val="center"/>
        </w:trPr>
        <w:tc>
          <w:tcPr>
            <w:tcW w:w="2753" w:type="dxa"/>
            <w:tcBorders>
              <w:top w:val="single" w:color="auto" w:sz="2" w:space="0"/>
              <w:left w:val="single" w:color="auto" w:sz="2" w:space="0"/>
              <w:bottom w:val="single" w:color="auto" w:sz="2" w:space="0"/>
              <w:right w:val="single" w:color="auto" w:sz="2" w:space="0"/>
            </w:tcBorders>
            <w:vAlign w:val="center"/>
          </w:tcPr>
          <w:p w14:paraId="708C6B69">
            <w:pPr>
              <w:shd w:val="clear" w:color="auto" w:fill="FFFFFF"/>
              <w:spacing w:before="120" w:after="120" w:line="264" w:lineRule="auto"/>
              <w:ind w:left="142" w:right="6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Completion date</w:t>
            </w:r>
          </w:p>
        </w:tc>
        <w:tc>
          <w:tcPr>
            <w:tcW w:w="7028" w:type="dxa"/>
            <w:gridSpan w:val="3"/>
            <w:tcBorders>
              <w:top w:val="single" w:color="auto" w:sz="2" w:space="0"/>
              <w:left w:val="single" w:color="auto" w:sz="2" w:space="0"/>
              <w:bottom w:val="single" w:color="auto" w:sz="2" w:space="0"/>
              <w:right w:val="single" w:color="auto" w:sz="2" w:space="0"/>
            </w:tcBorders>
            <w:vAlign w:val="center"/>
          </w:tcPr>
          <w:p w14:paraId="708C6B6A">
            <w:pPr>
              <w:shd w:val="clear" w:color="auto" w:fill="FFFFFF"/>
              <w:spacing w:before="120" w:after="120" w:line="264" w:lineRule="auto"/>
              <w:ind w:left="82" w:right="142"/>
              <w:jc w:val="center"/>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[insert day, month, year]</w:t>
            </w:r>
          </w:p>
        </w:tc>
      </w:tr>
      <w:tr w14:paraId="708C6B6F">
        <w:tblPrEx>
          <w:tblCellMar>
            <w:top w:w="0" w:type="dxa"/>
            <w:left w:w="0" w:type="dxa"/>
            <w:bottom w:w="0" w:type="dxa"/>
            <w:right w:w="0" w:type="dxa"/>
          </w:tblCellMar>
        </w:tblPrEx>
        <w:trPr>
          <w:trHeight w:val="726" w:hRule="atLeast"/>
          <w:jc w:val="center"/>
        </w:trPr>
        <w:tc>
          <w:tcPr>
            <w:tcW w:w="2753" w:type="dxa"/>
            <w:tcBorders>
              <w:top w:val="single" w:color="auto" w:sz="2" w:space="0"/>
              <w:left w:val="single" w:color="auto" w:sz="2" w:space="0"/>
              <w:right w:val="single" w:color="auto" w:sz="2" w:space="0"/>
            </w:tcBorders>
            <w:vAlign w:val="center"/>
          </w:tcPr>
          <w:p w14:paraId="708C6B6C">
            <w:pPr>
              <w:shd w:val="clear" w:color="auto" w:fill="FFFFFF"/>
              <w:spacing w:before="120" w:after="120" w:line="264" w:lineRule="auto"/>
              <w:ind w:left="142" w:right="6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Total Contract Amount</w:t>
            </w:r>
          </w:p>
        </w:tc>
        <w:tc>
          <w:tcPr>
            <w:tcW w:w="3387" w:type="dxa"/>
            <w:gridSpan w:val="2"/>
            <w:tcBorders>
              <w:top w:val="single" w:color="auto" w:sz="2" w:space="0"/>
              <w:left w:val="single" w:color="auto" w:sz="2" w:space="0"/>
              <w:right w:val="single" w:color="auto" w:sz="2" w:space="0"/>
            </w:tcBorders>
            <w:vAlign w:val="center"/>
          </w:tcPr>
          <w:p w14:paraId="708C6B6D">
            <w:pPr>
              <w:shd w:val="clear" w:color="auto" w:fill="FFFFFF"/>
              <w:spacing w:before="120" w:after="120" w:line="264" w:lineRule="auto"/>
              <w:ind w:left="82" w:right="142"/>
              <w:jc w:val="center"/>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[insert amount and currency]</w:t>
            </w:r>
          </w:p>
        </w:tc>
        <w:tc>
          <w:tcPr>
            <w:tcW w:w="3641" w:type="dxa"/>
            <w:tcBorders>
              <w:top w:val="single" w:color="auto" w:sz="2" w:space="0"/>
              <w:left w:val="single" w:color="auto" w:sz="2" w:space="0"/>
              <w:right w:val="single" w:color="auto" w:sz="2" w:space="0"/>
            </w:tcBorders>
          </w:tcPr>
          <w:p w14:paraId="708C6B6E">
            <w:pPr>
              <w:shd w:val="clear" w:color="auto" w:fill="FFFFFF"/>
              <w:spacing w:before="120" w:after="120" w:line="264" w:lineRule="auto"/>
              <w:ind w:left="82" w:right="142"/>
              <w:rPr>
                <w:i/>
                <w:iCs/>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Equivalent ____VND </w:t>
            </w:r>
          </w:p>
        </w:tc>
      </w:tr>
      <w:tr w14:paraId="708C6B74">
        <w:tblPrEx>
          <w:tblCellMar>
            <w:top w:w="0" w:type="dxa"/>
            <w:left w:w="0" w:type="dxa"/>
            <w:bottom w:w="0" w:type="dxa"/>
            <w:right w:w="0" w:type="dxa"/>
          </w:tblCellMar>
        </w:tblPrEx>
        <w:trPr>
          <w:trHeight w:val="1338" w:hRule="atLeast"/>
          <w:jc w:val="center"/>
        </w:trPr>
        <w:tc>
          <w:tcPr>
            <w:tcW w:w="2753" w:type="dxa"/>
            <w:tcBorders>
              <w:top w:val="single" w:color="auto" w:sz="2" w:space="0"/>
              <w:left w:val="single" w:color="auto" w:sz="2" w:space="0"/>
              <w:right w:val="single" w:color="auto" w:sz="2" w:space="0"/>
            </w:tcBorders>
            <w:vAlign w:val="center"/>
          </w:tcPr>
          <w:p w14:paraId="708C6B70">
            <w:pPr>
              <w:shd w:val="clear" w:color="auto" w:fill="FFFFFF"/>
              <w:spacing w:before="120" w:after="120" w:line="264" w:lineRule="auto"/>
              <w:ind w:left="142" w:right="6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In case of Consortium member or subcontractor, specify participation of total contract amount</w:t>
            </w:r>
          </w:p>
        </w:tc>
        <w:tc>
          <w:tcPr>
            <w:tcW w:w="1748" w:type="dxa"/>
            <w:tcBorders>
              <w:top w:val="single" w:color="auto" w:sz="2" w:space="0"/>
              <w:left w:val="single" w:color="auto" w:sz="2" w:space="0"/>
              <w:right w:val="single" w:color="auto" w:sz="2" w:space="0"/>
            </w:tcBorders>
            <w:vAlign w:val="center"/>
          </w:tcPr>
          <w:p w14:paraId="708C6B71">
            <w:pPr>
              <w:shd w:val="clear" w:color="auto" w:fill="FFFFFF"/>
              <w:spacing w:before="120" w:after="120" w:line="264" w:lineRule="auto"/>
              <w:ind w:left="82" w:right="142"/>
              <w:jc w:val="center"/>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[insert percent of total]</w:t>
            </w:r>
          </w:p>
        </w:tc>
        <w:tc>
          <w:tcPr>
            <w:tcW w:w="1639" w:type="dxa"/>
            <w:tcBorders>
              <w:top w:val="single" w:color="auto" w:sz="2" w:space="0"/>
              <w:left w:val="single" w:color="auto" w:sz="2" w:space="0"/>
              <w:right w:val="single" w:color="auto" w:sz="2" w:space="0"/>
            </w:tcBorders>
            <w:vAlign w:val="center"/>
          </w:tcPr>
          <w:p w14:paraId="708C6B72">
            <w:pPr>
              <w:shd w:val="clear" w:color="auto" w:fill="FFFFFF"/>
              <w:spacing w:before="120" w:after="120" w:line="264" w:lineRule="auto"/>
              <w:ind w:left="82" w:right="142"/>
              <w:jc w:val="center"/>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[insert amount and currency]</w:t>
            </w:r>
          </w:p>
        </w:tc>
        <w:tc>
          <w:tcPr>
            <w:tcW w:w="3641" w:type="dxa"/>
            <w:tcBorders>
              <w:top w:val="single" w:color="auto" w:sz="2" w:space="0"/>
              <w:left w:val="single" w:color="auto" w:sz="2" w:space="0"/>
              <w:right w:val="single" w:color="auto" w:sz="2" w:space="0"/>
            </w:tcBorders>
          </w:tcPr>
          <w:p w14:paraId="708C6B73">
            <w:pPr>
              <w:shd w:val="clear" w:color="auto" w:fill="FFFFFF"/>
              <w:spacing w:before="120" w:after="120" w:line="264" w:lineRule="auto"/>
              <w:ind w:left="82" w:right="142"/>
              <w:rPr>
                <w:i/>
                <w:iCs/>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Equivalent ____VND </w:t>
            </w:r>
          </w:p>
        </w:tc>
      </w:tr>
      <w:tr w14:paraId="708C6B77">
        <w:tblPrEx>
          <w:tblCellMar>
            <w:top w:w="0" w:type="dxa"/>
            <w:left w:w="0" w:type="dxa"/>
            <w:bottom w:w="0" w:type="dxa"/>
            <w:right w:w="0" w:type="dxa"/>
          </w:tblCellMar>
        </w:tblPrEx>
        <w:trPr>
          <w:trHeight w:val="420" w:hRule="atLeast"/>
          <w:jc w:val="center"/>
        </w:trPr>
        <w:tc>
          <w:tcPr>
            <w:tcW w:w="2753" w:type="dxa"/>
            <w:tcBorders>
              <w:top w:val="single" w:color="auto" w:sz="2" w:space="0"/>
              <w:left w:val="single" w:color="auto" w:sz="2" w:space="0"/>
              <w:bottom w:val="single" w:color="auto" w:sz="2" w:space="0"/>
              <w:right w:val="single" w:color="auto" w:sz="2" w:space="0"/>
            </w:tcBorders>
            <w:vAlign w:val="center"/>
          </w:tcPr>
          <w:p w14:paraId="708C6B75">
            <w:pPr>
              <w:shd w:val="clear" w:color="auto" w:fill="FFFFFF"/>
              <w:spacing w:before="120" w:after="120" w:line="264" w:lineRule="auto"/>
              <w:ind w:left="142" w:right="6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Name of project:</w:t>
            </w:r>
          </w:p>
        </w:tc>
        <w:tc>
          <w:tcPr>
            <w:tcW w:w="7028" w:type="dxa"/>
            <w:gridSpan w:val="3"/>
            <w:tcBorders>
              <w:top w:val="single" w:color="auto" w:sz="2" w:space="0"/>
              <w:left w:val="single" w:color="auto" w:sz="2" w:space="0"/>
              <w:bottom w:val="single" w:color="auto" w:sz="2" w:space="0"/>
              <w:right w:val="single" w:color="auto" w:sz="2" w:space="0"/>
            </w:tcBorders>
          </w:tcPr>
          <w:p w14:paraId="708C6B76">
            <w:pPr>
              <w:shd w:val="clear" w:color="auto" w:fill="FFFFFF"/>
              <w:spacing w:before="120" w:after="120" w:line="264" w:lineRule="auto"/>
              <w:ind w:left="82" w:right="142"/>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 xml:space="preserve">[insert full name of the project having declared contract]  </w:t>
            </w:r>
          </w:p>
        </w:tc>
      </w:tr>
      <w:tr w14:paraId="708C6B7A">
        <w:tblPrEx>
          <w:tblCellMar>
            <w:top w:w="0" w:type="dxa"/>
            <w:left w:w="0" w:type="dxa"/>
            <w:bottom w:w="0" w:type="dxa"/>
            <w:right w:w="0" w:type="dxa"/>
          </w:tblCellMar>
        </w:tblPrEx>
        <w:trPr>
          <w:trHeight w:val="408" w:hRule="atLeast"/>
          <w:jc w:val="center"/>
        </w:trPr>
        <w:tc>
          <w:tcPr>
            <w:tcW w:w="2753" w:type="dxa"/>
            <w:tcBorders>
              <w:top w:val="single" w:color="auto" w:sz="2" w:space="0"/>
              <w:left w:val="single" w:color="auto" w:sz="2" w:space="0"/>
              <w:bottom w:val="single" w:color="auto" w:sz="2" w:space="0"/>
              <w:right w:val="single" w:color="auto" w:sz="2" w:space="0"/>
            </w:tcBorders>
            <w:vAlign w:val="center"/>
          </w:tcPr>
          <w:p w14:paraId="708C6B78">
            <w:pPr>
              <w:shd w:val="clear" w:color="auto" w:fill="FFFFFF"/>
              <w:spacing w:before="120" w:after="120" w:line="264" w:lineRule="auto"/>
              <w:ind w:left="142" w:right="6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Purchaser’s Name</w:t>
            </w:r>
          </w:p>
        </w:tc>
        <w:tc>
          <w:tcPr>
            <w:tcW w:w="7028" w:type="dxa"/>
            <w:gridSpan w:val="3"/>
            <w:tcBorders>
              <w:top w:val="single" w:color="auto" w:sz="2" w:space="0"/>
              <w:left w:val="single" w:color="auto" w:sz="2" w:space="0"/>
              <w:bottom w:val="single" w:color="auto" w:sz="2" w:space="0"/>
              <w:right w:val="single" w:color="auto" w:sz="2" w:space="0"/>
            </w:tcBorders>
          </w:tcPr>
          <w:p w14:paraId="708C6B79">
            <w:pPr>
              <w:shd w:val="clear" w:color="auto" w:fill="FFFFFF"/>
              <w:spacing w:before="120" w:after="120" w:line="264" w:lineRule="auto"/>
              <w:ind w:left="82" w:right="142"/>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[insert full name of the Purchaser in declared contract]</w:t>
            </w:r>
          </w:p>
        </w:tc>
      </w:tr>
      <w:tr w14:paraId="708C6B80">
        <w:tblPrEx>
          <w:tblCellMar>
            <w:top w:w="0" w:type="dxa"/>
            <w:left w:w="0" w:type="dxa"/>
            <w:bottom w:w="0" w:type="dxa"/>
            <w:right w:w="0" w:type="dxa"/>
          </w:tblCellMar>
        </w:tblPrEx>
        <w:trPr>
          <w:trHeight w:val="1445" w:hRule="exact"/>
          <w:jc w:val="center"/>
        </w:trPr>
        <w:tc>
          <w:tcPr>
            <w:tcW w:w="2753" w:type="dxa"/>
            <w:tcBorders>
              <w:top w:val="single" w:color="auto" w:sz="2" w:space="0"/>
              <w:left w:val="single" w:color="auto" w:sz="2" w:space="0"/>
              <w:bottom w:val="single" w:color="auto" w:sz="2" w:space="0"/>
              <w:right w:val="single" w:color="auto" w:sz="2" w:space="0"/>
            </w:tcBorders>
          </w:tcPr>
          <w:p w14:paraId="708C6B7B">
            <w:pPr>
              <w:shd w:val="clear" w:color="auto" w:fill="FFFFFF"/>
              <w:spacing w:before="120" w:after="120" w:line="264" w:lineRule="auto"/>
              <w:ind w:left="142" w:right="6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Address</w:t>
            </w:r>
          </w:p>
          <w:p w14:paraId="708C6B7C">
            <w:pPr>
              <w:shd w:val="clear" w:color="auto" w:fill="FFFFFF"/>
              <w:spacing w:before="120" w:after="120" w:line="264" w:lineRule="auto"/>
              <w:ind w:left="142" w:right="6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Telephone/Fax Number</w:t>
            </w:r>
          </w:p>
          <w:p w14:paraId="708C6B7D">
            <w:pPr>
              <w:shd w:val="clear" w:color="auto" w:fill="FFFFFF"/>
              <w:spacing w:before="120" w:after="120" w:line="264" w:lineRule="auto"/>
              <w:ind w:left="142" w:right="6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E-mail</w:t>
            </w:r>
          </w:p>
        </w:tc>
        <w:tc>
          <w:tcPr>
            <w:tcW w:w="7028" w:type="dxa"/>
            <w:gridSpan w:val="3"/>
            <w:tcBorders>
              <w:top w:val="single" w:color="auto" w:sz="2" w:space="0"/>
              <w:left w:val="single" w:color="auto" w:sz="2" w:space="0"/>
              <w:bottom w:val="single" w:color="auto" w:sz="2" w:space="0"/>
              <w:right w:val="single" w:color="auto" w:sz="2" w:space="0"/>
            </w:tcBorders>
          </w:tcPr>
          <w:p w14:paraId="708C6B7E">
            <w:pPr>
              <w:shd w:val="clear" w:color="auto" w:fill="FFFFFF"/>
              <w:spacing w:before="120" w:after="120" w:line="264" w:lineRule="auto"/>
              <w:ind w:left="82" w:right="142"/>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[insert current address of the Purchaser]</w:t>
            </w:r>
          </w:p>
          <w:p w14:paraId="708C6B7F">
            <w:pPr>
              <w:shd w:val="clear" w:color="auto" w:fill="FFFFFF"/>
              <w:spacing w:before="120" w:after="120" w:line="264" w:lineRule="auto"/>
              <w:ind w:left="142" w:right="60"/>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 xml:space="preserve">[insert telephone, fax number including area code, e-mail] </w:t>
            </w:r>
          </w:p>
        </w:tc>
      </w:tr>
      <w:tr w14:paraId="708C6B82">
        <w:tblPrEx>
          <w:tblCellMar>
            <w:top w:w="0" w:type="dxa"/>
            <w:left w:w="0" w:type="dxa"/>
            <w:bottom w:w="0" w:type="dxa"/>
            <w:right w:w="0" w:type="dxa"/>
          </w:tblCellMar>
        </w:tblPrEx>
        <w:trPr>
          <w:trHeight w:val="850" w:hRule="exact"/>
          <w:jc w:val="center"/>
        </w:trPr>
        <w:tc>
          <w:tcPr>
            <w:tcW w:w="9781" w:type="dxa"/>
            <w:gridSpan w:val="4"/>
            <w:tcBorders>
              <w:top w:val="single" w:color="auto" w:sz="2" w:space="0"/>
              <w:left w:val="single" w:color="auto" w:sz="2" w:space="0"/>
              <w:bottom w:val="single" w:color="auto" w:sz="2" w:space="0"/>
              <w:right w:val="single" w:color="auto" w:sz="2" w:space="0"/>
            </w:tcBorders>
            <w:vAlign w:val="center"/>
          </w:tcPr>
          <w:p w14:paraId="708C6B81">
            <w:pPr>
              <w:shd w:val="clear" w:color="auto" w:fill="FFFFFF"/>
              <w:spacing w:before="120" w:after="120" w:line="264" w:lineRule="auto"/>
              <w:ind w:left="82" w:right="60"/>
              <w:jc w:val="center"/>
              <w:rPr>
                <w:b/>
                <w:bCs/>
                <w:i/>
                <w:i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Description of the similarity in accordance with Clause 2 Section III</w:t>
            </w:r>
            <w:r>
              <w:rPr>
                <w:b/>
                <w:bCs/>
                <w:color w:val="000000" w:themeColor="text1"/>
                <w:sz w:val="26"/>
                <w:szCs w:val="26"/>
                <w:vertAlign w:val="superscript"/>
                <w14:textFill>
                  <w14:solidFill>
                    <w14:schemeClr w14:val="tx1"/>
                  </w14:solidFill>
                </w14:textFill>
              </w:rPr>
              <w:t>(2)</w:t>
            </w:r>
          </w:p>
        </w:tc>
      </w:tr>
      <w:tr w14:paraId="708C6B85">
        <w:tblPrEx>
          <w:tblCellMar>
            <w:top w:w="0" w:type="dxa"/>
            <w:left w:w="0" w:type="dxa"/>
            <w:bottom w:w="0" w:type="dxa"/>
            <w:right w:w="0" w:type="dxa"/>
          </w:tblCellMar>
        </w:tblPrEx>
        <w:trPr>
          <w:trHeight w:val="335" w:hRule="atLeast"/>
          <w:jc w:val="center"/>
        </w:trPr>
        <w:tc>
          <w:tcPr>
            <w:tcW w:w="2753" w:type="dxa"/>
            <w:tcBorders>
              <w:top w:val="single" w:color="auto" w:sz="2" w:space="0"/>
              <w:left w:val="single" w:color="auto" w:sz="2" w:space="0"/>
              <w:bottom w:val="single" w:color="auto" w:sz="2" w:space="0"/>
              <w:right w:val="single" w:color="auto" w:sz="2" w:space="0"/>
            </w:tcBorders>
            <w:vAlign w:val="center"/>
          </w:tcPr>
          <w:p w14:paraId="708C6B83">
            <w:pPr>
              <w:shd w:val="clear" w:color="auto" w:fill="FFFFFF"/>
              <w:spacing w:before="120" w:after="120" w:line="264" w:lineRule="auto"/>
              <w:ind w:left="142" w:right="6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 Kind of goods</w:t>
            </w:r>
          </w:p>
        </w:tc>
        <w:tc>
          <w:tcPr>
            <w:tcW w:w="7028" w:type="dxa"/>
            <w:gridSpan w:val="3"/>
            <w:tcBorders>
              <w:top w:val="single" w:color="auto" w:sz="2" w:space="0"/>
              <w:left w:val="single" w:color="auto" w:sz="2" w:space="0"/>
              <w:bottom w:val="single" w:color="auto" w:sz="2" w:space="0"/>
              <w:right w:val="single" w:color="auto" w:sz="2" w:space="0"/>
            </w:tcBorders>
            <w:vAlign w:val="center"/>
          </w:tcPr>
          <w:p w14:paraId="708C6B84">
            <w:pPr>
              <w:shd w:val="clear" w:color="auto" w:fill="FFFFFF"/>
              <w:spacing w:before="120" w:after="120" w:line="264" w:lineRule="auto"/>
              <w:ind w:left="82" w:right="142"/>
              <w:rPr>
                <w:i/>
                <w:iCs/>
                <w:color w:val="000000" w:themeColor="text1"/>
                <w:sz w:val="26"/>
                <w:szCs w:val="26"/>
                <w14:textFill>
                  <w14:solidFill>
                    <w14:schemeClr w14:val="tx1"/>
                  </w14:solidFill>
                </w14:textFill>
              </w:rPr>
            </w:pPr>
          </w:p>
        </w:tc>
      </w:tr>
      <w:tr w14:paraId="708C6B88">
        <w:tblPrEx>
          <w:tblCellMar>
            <w:top w:w="0" w:type="dxa"/>
            <w:left w:w="0" w:type="dxa"/>
            <w:bottom w:w="0" w:type="dxa"/>
            <w:right w:w="0" w:type="dxa"/>
          </w:tblCellMar>
        </w:tblPrEx>
        <w:trPr>
          <w:trHeight w:val="336" w:hRule="atLeast"/>
          <w:jc w:val="center"/>
        </w:trPr>
        <w:tc>
          <w:tcPr>
            <w:tcW w:w="2753" w:type="dxa"/>
            <w:tcBorders>
              <w:top w:val="single" w:color="auto" w:sz="2" w:space="0"/>
              <w:left w:val="single" w:color="auto" w:sz="2" w:space="0"/>
              <w:bottom w:val="single" w:color="auto" w:sz="2" w:space="0"/>
              <w:right w:val="single" w:color="auto" w:sz="2" w:space="0"/>
            </w:tcBorders>
            <w:vAlign w:val="center"/>
          </w:tcPr>
          <w:p w14:paraId="708C6B86">
            <w:pPr>
              <w:shd w:val="clear" w:color="auto" w:fill="FFFFFF"/>
              <w:spacing w:before="120" w:after="120" w:line="264" w:lineRule="auto"/>
              <w:ind w:left="142" w:right="6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 Amount</w:t>
            </w:r>
          </w:p>
        </w:tc>
        <w:tc>
          <w:tcPr>
            <w:tcW w:w="7028" w:type="dxa"/>
            <w:gridSpan w:val="3"/>
            <w:tcBorders>
              <w:top w:val="single" w:color="auto" w:sz="2" w:space="0"/>
              <w:left w:val="single" w:color="auto" w:sz="2" w:space="0"/>
              <w:bottom w:val="single" w:color="auto" w:sz="2" w:space="0"/>
              <w:right w:val="single" w:color="auto" w:sz="2" w:space="0"/>
            </w:tcBorders>
            <w:vAlign w:val="center"/>
          </w:tcPr>
          <w:p w14:paraId="708C6B87">
            <w:pPr>
              <w:shd w:val="clear" w:color="auto" w:fill="FFFFFF"/>
              <w:spacing w:before="120" w:after="120" w:line="264" w:lineRule="auto"/>
              <w:ind w:left="82" w:right="142"/>
              <w:rPr>
                <w:i/>
                <w:iCs/>
                <w:color w:val="000000" w:themeColor="text1"/>
                <w:sz w:val="26"/>
                <w:szCs w:val="26"/>
                <w14:textFill>
                  <w14:solidFill>
                    <w14:schemeClr w14:val="tx1"/>
                  </w14:solidFill>
                </w14:textFill>
              </w:rPr>
            </w:pPr>
          </w:p>
        </w:tc>
      </w:tr>
      <w:tr w14:paraId="708C6B8B">
        <w:tblPrEx>
          <w:tblCellMar>
            <w:top w:w="0" w:type="dxa"/>
            <w:left w:w="0" w:type="dxa"/>
            <w:bottom w:w="0" w:type="dxa"/>
            <w:right w:w="0" w:type="dxa"/>
          </w:tblCellMar>
        </w:tblPrEx>
        <w:trPr>
          <w:trHeight w:val="336" w:hRule="atLeast"/>
          <w:jc w:val="center"/>
        </w:trPr>
        <w:tc>
          <w:tcPr>
            <w:tcW w:w="2753" w:type="dxa"/>
            <w:tcBorders>
              <w:top w:val="single" w:color="auto" w:sz="2" w:space="0"/>
              <w:left w:val="single" w:color="auto" w:sz="2" w:space="0"/>
              <w:bottom w:val="single" w:color="auto" w:sz="2" w:space="0"/>
              <w:right w:val="single" w:color="auto" w:sz="2" w:space="0"/>
            </w:tcBorders>
            <w:vAlign w:val="center"/>
          </w:tcPr>
          <w:p w14:paraId="708C6B89">
            <w:pPr>
              <w:shd w:val="clear" w:color="auto" w:fill="FFFFFF"/>
              <w:spacing w:before="120" w:after="120" w:line="264" w:lineRule="auto"/>
              <w:ind w:left="142" w:right="6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 3. Scope of supply</w:t>
            </w:r>
          </w:p>
        </w:tc>
        <w:tc>
          <w:tcPr>
            <w:tcW w:w="7028" w:type="dxa"/>
            <w:gridSpan w:val="3"/>
            <w:tcBorders>
              <w:top w:val="single" w:color="auto" w:sz="2" w:space="0"/>
              <w:left w:val="single" w:color="auto" w:sz="2" w:space="0"/>
              <w:bottom w:val="single" w:color="auto" w:sz="2" w:space="0"/>
              <w:right w:val="single" w:color="auto" w:sz="2" w:space="0"/>
            </w:tcBorders>
            <w:vAlign w:val="center"/>
          </w:tcPr>
          <w:p w14:paraId="708C6B8A">
            <w:pPr>
              <w:shd w:val="clear" w:color="auto" w:fill="FFFFFF"/>
              <w:spacing w:before="120" w:after="120" w:line="264" w:lineRule="auto"/>
              <w:ind w:left="82" w:right="142"/>
              <w:rPr>
                <w:i/>
                <w:iCs/>
                <w:color w:val="000000" w:themeColor="text1"/>
                <w:sz w:val="26"/>
                <w:szCs w:val="26"/>
                <w14:textFill>
                  <w14:solidFill>
                    <w14:schemeClr w14:val="tx1"/>
                  </w14:solidFill>
                </w14:textFill>
              </w:rPr>
            </w:pPr>
          </w:p>
        </w:tc>
      </w:tr>
      <w:tr w14:paraId="708C6B8E">
        <w:tblPrEx>
          <w:tblCellMar>
            <w:top w:w="0" w:type="dxa"/>
            <w:left w:w="0" w:type="dxa"/>
            <w:bottom w:w="0" w:type="dxa"/>
            <w:right w:w="0" w:type="dxa"/>
          </w:tblCellMar>
        </w:tblPrEx>
        <w:trPr>
          <w:trHeight w:val="336" w:hRule="atLeast"/>
          <w:jc w:val="center"/>
        </w:trPr>
        <w:tc>
          <w:tcPr>
            <w:tcW w:w="2753" w:type="dxa"/>
            <w:tcBorders>
              <w:top w:val="single" w:color="auto" w:sz="2" w:space="0"/>
              <w:left w:val="single" w:color="auto" w:sz="2" w:space="0"/>
              <w:bottom w:val="single" w:color="auto" w:sz="2" w:space="0"/>
              <w:right w:val="single" w:color="auto" w:sz="2" w:space="0"/>
            </w:tcBorders>
            <w:vAlign w:val="center"/>
          </w:tcPr>
          <w:p w14:paraId="708C6B8C">
            <w:pPr>
              <w:shd w:val="clear" w:color="auto" w:fill="FFFFFF"/>
              <w:spacing w:before="120" w:after="120" w:line="264" w:lineRule="auto"/>
              <w:ind w:left="142" w:right="6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 4. Other characteristics</w:t>
            </w:r>
          </w:p>
        </w:tc>
        <w:tc>
          <w:tcPr>
            <w:tcW w:w="7028" w:type="dxa"/>
            <w:gridSpan w:val="3"/>
            <w:tcBorders>
              <w:top w:val="single" w:color="auto" w:sz="2" w:space="0"/>
              <w:left w:val="single" w:color="auto" w:sz="2" w:space="0"/>
              <w:bottom w:val="single" w:color="auto" w:sz="2" w:space="0"/>
              <w:right w:val="single" w:color="auto" w:sz="2" w:space="0"/>
            </w:tcBorders>
            <w:vAlign w:val="center"/>
          </w:tcPr>
          <w:p w14:paraId="708C6B8D">
            <w:pPr>
              <w:shd w:val="clear" w:color="auto" w:fill="FFFFFF"/>
              <w:spacing w:before="120" w:after="120" w:line="264" w:lineRule="auto"/>
              <w:ind w:left="82" w:right="142"/>
              <w:rPr>
                <w:i/>
                <w:iCs/>
                <w:color w:val="000000" w:themeColor="text1"/>
                <w:sz w:val="26"/>
                <w:szCs w:val="26"/>
                <w14:textFill>
                  <w14:solidFill>
                    <w14:schemeClr w14:val="tx1"/>
                  </w14:solidFill>
                </w14:textFill>
              </w:rPr>
            </w:pPr>
          </w:p>
        </w:tc>
      </w:tr>
    </w:tbl>
    <w:p w14:paraId="708C6B8F">
      <w:pPr>
        <w:shd w:val="clear" w:color="auto" w:fill="FFFFFF"/>
        <w:spacing w:before="120" w:after="120" w:line="264"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Attached are copies of the documents relating such contract (certificates from Purchasers certifying Bidder’s successful performance for related contents in above table...).</w:t>
      </w:r>
    </w:p>
    <w:p w14:paraId="708C6B90">
      <w:pPr>
        <w:shd w:val="clear" w:color="auto" w:fill="FFFFFF"/>
        <w:spacing w:before="120" w:after="120" w:line="264" w:lineRule="auto"/>
        <w:ind w:firstLine="567"/>
        <w:rPr>
          <w:iCs/>
          <w:color w:val="000000" w:themeColor="text1"/>
          <w:sz w:val="26"/>
          <w:szCs w:val="26"/>
          <w14:textFill>
            <w14:solidFill>
              <w14:schemeClr w14:val="tx1"/>
            </w14:solidFill>
          </w14:textFill>
        </w:rPr>
      </w:pPr>
      <w:r>
        <w:rPr>
          <w:iCs/>
          <w:color w:val="000000" w:themeColor="text1"/>
          <w:sz w:val="26"/>
          <w:szCs w:val="26"/>
          <w14:textFill>
            <w14:solidFill>
              <w14:schemeClr w14:val="tx1"/>
            </w14:solidFill>
          </w14:textFill>
        </w:rPr>
        <w:t>Notes:</w:t>
      </w:r>
    </w:p>
    <w:p w14:paraId="708C6B91">
      <w:pPr>
        <w:shd w:val="clear" w:color="auto" w:fill="FFFFFF"/>
        <w:spacing w:before="120" w:after="120" w:line="264" w:lineRule="auto"/>
        <w:ind w:firstLine="567"/>
        <w:jc w:val="both"/>
        <w:rPr>
          <w:iCs/>
          <w:color w:val="000000" w:themeColor="text1"/>
          <w:sz w:val="26"/>
          <w:szCs w:val="26"/>
          <w14:textFill>
            <w14:solidFill>
              <w14:schemeClr w14:val="tx1"/>
            </w14:solidFill>
          </w14:textFill>
        </w:rPr>
      </w:pPr>
      <w:r>
        <w:rPr>
          <w:iCs/>
          <w:color w:val="000000" w:themeColor="text1"/>
          <w:sz w:val="26"/>
          <w:szCs w:val="26"/>
          <w14:textFill>
            <w14:solidFill>
              <w14:schemeClr w14:val="tx1"/>
            </w14:solidFill>
          </w14:textFill>
        </w:rPr>
        <w:t>The Bidder carefully researches the Bidding Documents and proposes different similar contracts to ensure as requirements of the Bidding Documents.</w:t>
      </w:r>
    </w:p>
    <w:p w14:paraId="708C6B92">
      <w:pPr>
        <w:shd w:val="clear" w:color="auto" w:fill="FFFFFF"/>
        <w:spacing w:before="120" w:after="120" w:line="264" w:lineRule="auto"/>
        <w:ind w:firstLine="567"/>
        <w:jc w:val="both"/>
        <w:rPr>
          <w:iCs/>
          <w:color w:val="000000" w:themeColor="text1"/>
          <w:sz w:val="26"/>
          <w:szCs w:val="26"/>
          <w14:textFill>
            <w14:solidFill>
              <w14:schemeClr w14:val="tx1"/>
            </w14:solidFill>
          </w14:textFill>
        </w:rPr>
      </w:pPr>
      <w:r>
        <w:rPr>
          <w:iCs/>
          <w:color w:val="000000" w:themeColor="text1"/>
          <w:sz w:val="26"/>
          <w:szCs w:val="26"/>
          <w14:textFill>
            <w14:solidFill>
              <w14:schemeClr w14:val="tx1"/>
            </w14:solidFill>
          </w14:textFill>
        </w:rPr>
        <w:t xml:space="preserve">(1) In case of </w:t>
      </w:r>
      <w:r>
        <w:rPr>
          <w:color w:val="000000" w:themeColor="text1"/>
          <w:sz w:val="26"/>
          <w:szCs w:val="26"/>
          <w14:textFill>
            <w14:solidFill>
              <w14:schemeClr w14:val="tx1"/>
            </w14:solidFill>
          </w14:textFill>
        </w:rPr>
        <w:t>Consortium</w:t>
      </w:r>
      <w:r>
        <w:rPr>
          <w:iCs/>
          <w:color w:val="000000" w:themeColor="text1"/>
          <w:sz w:val="26"/>
          <w:szCs w:val="26"/>
          <w14:textFill>
            <w14:solidFill>
              <w14:schemeClr w14:val="tx1"/>
            </w14:solidFill>
          </w14:textFill>
        </w:rPr>
        <w:t>, the form shall be filled in for each member.</w:t>
      </w:r>
      <w:r>
        <w:rPr>
          <w:color w:val="000000" w:themeColor="text1"/>
          <w14:textFill>
            <w14:solidFill>
              <w14:schemeClr w14:val="tx1"/>
            </w14:solidFill>
          </w14:textFill>
        </w:rPr>
        <w:t xml:space="preserve"> </w:t>
      </w:r>
      <w:r>
        <w:rPr>
          <w:iCs/>
          <w:color w:val="000000" w:themeColor="text1"/>
          <w:sz w:val="26"/>
          <w:szCs w:val="26"/>
          <w14:textFill>
            <w14:solidFill>
              <w14:schemeClr w14:val="tx1"/>
            </w14:solidFill>
          </w14:textFill>
        </w:rPr>
        <w:t>In case the bidder has many similar contracts, each contract shall be declared according to this Form.</w:t>
      </w:r>
    </w:p>
    <w:p w14:paraId="708C6B93">
      <w:pPr>
        <w:spacing w:before="120" w:after="120" w:line="264" w:lineRule="auto"/>
        <w:ind w:firstLine="567"/>
        <w:jc w:val="both"/>
        <w:rPr>
          <w:iCs/>
          <w:color w:val="000000" w:themeColor="text1"/>
          <w:sz w:val="26"/>
          <w:szCs w:val="26"/>
          <w14:textFill>
            <w14:solidFill>
              <w14:schemeClr w14:val="tx1"/>
            </w14:solidFill>
          </w14:textFill>
        </w:rPr>
      </w:pPr>
      <w:r>
        <w:rPr>
          <w:iCs/>
          <w:color w:val="000000" w:themeColor="text1"/>
          <w:sz w:val="26"/>
          <w:szCs w:val="26"/>
          <w14:textFill>
            <w14:solidFill>
              <w14:schemeClr w14:val="tx1"/>
            </w14:solidFill>
          </w14:textFill>
        </w:rPr>
        <w:t>(2) The Bidder shall only declare similar contents according to the requirements of the package.</w:t>
      </w:r>
    </w:p>
    <w:p w14:paraId="708C6B94">
      <w:pPr>
        <w:spacing w:after="0" w:line="240" w:lineRule="auto"/>
        <w:rPr>
          <w:iCs/>
          <w:color w:val="000000" w:themeColor="text1"/>
          <w:sz w:val="26"/>
          <w:szCs w:val="26"/>
          <w14:textFill>
            <w14:solidFill>
              <w14:schemeClr w14:val="tx1"/>
            </w14:solidFill>
          </w14:textFill>
        </w:rPr>
      </w:pPr>
      <w:r>
        <w:rPr>
          <w:iCs/>
          <w:color w:val="000000" w:themeColor="text1"/>
          <w:sz w:val="26"/>
          <w:szCs w:val="26"/>
          <w14:textFill>
            <w14:solidFill>
              <w14:schemeClr w14:val="tx1"/>
            </w14:solidFill>
          </w14:textFill>
        </w:rPr>
        <w:br w:type="page"/>
      </w:r>
    </w:p>
    <w:p w14:paraId="708C6B95">
      <w:pPr>
        <w:pStyle w:val="347"/>
        <w:widowControl w:val="0"/>
        <w:shd w:val="clear" w:color="auto" w:fill="FFFFFF"/>
        <w:spacing w:after="120" w:line="264" w:lineRule="auto"/>
        <w:ind w:firstLine="567"/>
        <w:jc w:val="right"/>
        <w:outlineLvl w:val="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Form 9(b)</w:t>
      </w:r>
    </w:p>
    <w:p w14:paraId="708C6B96">
      <w:pPr>
        <w:pStyle w:val="347"/>
        <w:widowControl w:val="0"/>
        <w:shd w:val="clear" w:color="auto" w:fill="FFFFFF"/>
        <w:spacing w:after="120" w:line="264" w:lineRule="auto"/>
        <w:ind w:firstLine="567"/>
        <w:outlineLvl w:val="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DECLARATION OF GOODS PRODUCTION CAPACITY</w:t>
      </w:r>
    </w:p>
    <w:p w14:paraId="708C6B97">
      <w:pPr>
        <w:pStyle w:val="347"/>
        <w:widowControl w:val="0"/>
        <w:shd w:val="clear" w:color="auto" w:fill="FFFFFF"/>
        <w:spacing w:after="120" w:line="264" w:lineRule="auto"/>
        <w:ind w:firstLine="567"/>
        <w:outlineLvl w:val="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(in case the bidder is the manufacturer)</w:t>
      </w:r>
    </w:p>
    <w:tbl>
      <w:tblPr>
        <w:tblStyle w:val="12"/>
        <w:tblW w:w="9781" w:type="dxa"/>
        <w:tblInd w:w="-34" w:type="dxa"/>
        <w:tblLayout w:type="autofit"/>
        <w:tblCellMar>
          <w:top w:w="0" w:type="dxa"/>
          <w:left w:w="108" w:type="dxa"/>
          <w:bottom w:w="0" w:type="dxa"/>
          <w:right w:w="108" w:type="dxa"/>
        </w:tblCellMar>
      </w:tblPr>
      <w:tblGrid>
        <w:gridCol w:w="9781"/>
      </w:tblGrid>
      <w:tr w14:paraId="708C6B99">
        <w:tblPrEx>
          <w:tblCellMar>
            <w:top w:w="0" w:type="dxa"/>
            <w:left w:w="108" w:type="dxa"/>
            <w:bottom w:w="0" w:type="dxa"/>
            <w:right w:w="108" w:type="dxa"/>
          </w:tblCellMar>
        </w:tblPrEx>
        <w:trPr>
          <w:trHeight w:val="315" w:hRule="atLeast"/>
        </w:trPr>
        <w:tc>
          <w:tcPr>
            <w:tcW w:w="9781" w:type="dxa"/>
            <w:noWrap/>
            <w:vAlign w:val="center"/>
          </w:tcPr>
          <w:p w14:paraId="708C6B98">
            <w:pPr>
              <w:rPr>
                <w:color w:val="000000" w:themeColor="text1"/>
                <w:sz w:val="26"/>
                <w:szCs w:val="26"/>
                <w:lang w:val="es-ES"/>
                <w14:textFill>
                  <w14:solidFill>
                    <w14:schemeClr w14:val="tx1"/>
                  </w14:solidFill>
                </w14:textFill>
              </w:rPr>
            </w:pPr>
            <w:r>
              <w:rPr>
                <w:color w:val="000000" w:themeColor="text1"/>
                <w:sz w:val="26"/>
                <w:szCs w:val="26"/>
                <w:lang w:val="es-ES"/>
                <w14:textFill>
                  <w14:solidFill>
                    <w14:schemeClr w14:val="tx1"/>
                  </w14:solidFill>
                </w14:textFill>
              </w:rPr>
              <w:t xml:space="preserve">Name of Bidder: </w:t>
            </w:r>
          </w:p>
        </w:tc>
      </w:tr>
    </w:tbl>
    <w:p w14:paraId="708C6B9A">
      <w:pPr>
        <w:tabs>
          <w:tab w:val="left" w:pos="11885"/>
        </w:tabs>
        <w:spacing w:before="120" w:after="120" w:line="264"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Quantity of factories and production facilities (collectively referred to as factories): ____ </w:t>
      </w:r>
      <w:r>
        <w:rPr>
          <w:i/>
          <w:color w:val="000000" w:themeColor="text1"/>
          <w:sz w:val="26"/>
          <w:szCs w:val="26"/>
          <w14:textFill>
            <w14:solidFill>
              <w14:schemeClr w14:val="tx1"/>
            </w14:solidFill>
          </w14:textFill>
        </w:rPr>
        <w:t>[insert factory number</w:t>
      </w:r>
      <w:r>
        <w:rPr>
          <w:color w:val="000000" w:themeColor="text1"/>
          <w:sz w:val="26"/>
          <w:szCs w:val="26"/>
          <w14:textFill>
            <w14:solidFill>
              <w14:schemeClr w14:val="tx1"/>
            </w14:solidFill>
          </w14:textFill>
        </w:rPr>
        <w:t>]</w:t>
      </w:r>
    </w:p>
    <w:p w14:paraId="708C6B9B">
      <w:pPr>
        <w:tabs>
          <w:tab w:val="left" w:pos="11885"/>
        </w:tabs>
        <w:spacing w:before="120" w:after="120" w:line="264"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For each factory, the Bidder declares the following information:</w:t>
      </w:r>
    </w:p>
    <w:tbl>
      <w:tblPr>
        <w:tblStyle w:val="12"/>
        <w:tblW w:w="9214" w:type="dxa"/>
        <w:tblInd w:w="3" w:type="dxa"/>
        <w:tblLayout w:type="fixed"/>
        <w:tblCellMar>
          <w:top w:w="0" w:type="dxa"/>
          <w:left w:w="0" w:type="dxa"/>
          <w:bottom w:w="0" w:type="dxa"/>
          <w:right w:w="0" w:type="dxa"/>
        </w:tblCellMar>
      </w:tblPr>
      <w:tblGrid>
        <w:gridCol w:w="2971"/>
        <w:gridCol w:w="6243"/>
      </w:tblGrid>
      <w:tr w14:paraId="708C6B9E">
        <w:tblPrEx>
          <w:tblCellMar>
            <w:top w:w="0" w:type="dxa"/>
            <w:left w:w="0" w:type="dxa"/>
            <w:bottom w:w="0" w:type="dxa"/>
            <w:right w:w="0" w:type="dxa"/>
          </w:tblCellMar>
        </w:tblPrEx>
        <w:trPr>
          <w:trHeight w:val="399" w:hRule="atLeast"/>
        </w:trPr>
        <w:tc>
          <w:tcPr>
            <w:tcW w:w="2971" w:type="dxa"/>
            <w:tcBorders>
              <w:top w:val="single" w:color="auto" w:sz="2" w:space="0"/>
              <w:left w:val="single" w:color="auto" w:sz="2" w:space="0"/>
              <w:bottom w:val="single" w:color="auto" w:sz="2" w:space="0"/>
              <w:right w:val="single" w:color="auto" w:sz="2" w:space="0"/>
            </w:tcBorders>
            <w:vAlign w:val="center"/>
          </w:tcPr>
          <w:p w14:paraId="708C6B9C">
            <w:pPr>
              <w:spacing w:before="120" w:after="120" w:line="252" w:lineRule="auto"/>
              <w:ind w:left="142" w:right="6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Name of Factory:</w:t>
            </w:r>
          </w:p>
        </w:tc>
        <w:tc>
          <w:tcPr>
            <w:tcW w:w="6243" w:type="dxa"/>
            <w:tcBorders>
              <w:top w:val="single" w:color="auto" w:sz="2" w:space="0"/>
              <w:left w:val="single" w:color="auto" w:sz="2" w:space="0"/>
              <w:bottom w:val="single" w:color="auto" w:sz="2" w:space="0"/>
              <w:right w:val="single" w:color="auto" w:sz="2" w:space="0"/>
            </w:tcBorders>
            <w:vAlign w:val="center"/>
          </w:tcPr>
          <w:p w14:paraId="708C6B9D">
            <w:pPr>
              <w:spacing w:before="120" w:after="120" w:line="252" w:lineRule="auto"/>
              <w:ind w:right="142"/>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w:t>
            </w:r>
          </w:p>
        </w:tc>
      </w:tr>
      <w:tr w14:paraId="708C6BA1">
        <w:tblPrEx>
          <w:tblCellMar>
            <w:top w:w="0" w:type="dxa"/>
            <w:left w:w="0" w:type="dxa"/>
            <w:bottom w:w="0" w:type="dxa"/>
            <w:right w:w="0" w:type="dxa"/>
          </w:tblCellMar>
        </w:tblPrEx>
        <w:trPr>
          <w:trHeight w:val="399" w:hRule="atLeast"/>
        </w:trPr>
        <w:tc>
          <w:tcPr>
            <w:tcW w:w="2971" w:type="dxa"/>
            <w:tcBorders>
              <w:top w:val="single" w:color="auto" w:sz="2" w:space="0"/>
              <w:left w:val="single" w:color="auto" w:sz="2" w:space="0"/>
              <w:bottom w:val="single" w:color="auto" w:sz="2" w:space="0"/>
              <w:right w:val="single" w:color="auto" w:sz="2" w:space="0"/>
            </w:tcBorders>
            <w:vAlign w:val="center"/>
          </w:tcPr>
          <w:p w14:paraId="708C6B9F">
            <w:pPr>
              <w:spacing w:before="120" w:after="120" w:line="252" w:lineRule="auto"/>
              <w:ind w:left="142" w:right="6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Add: </w:t>
            </w:r>
          </w:p>
        </w:tc>
        <w:tc>
          <w:tcPr>
            <w:tcW w:w="6243" w:type="dxa"/>
            <w:tcBorders>
              <w:top w:val="single" w:color="auto" w:sz="2" w:space="0"/>
              <w:left w:val="single" w:color="auto" w:sz="2" w:space="0"/>
              <w:bottom w:val="single" w:color="auto" w:sz="2" w:space="0"/>
              <w:right w:val="single" w:color="auto" w:sz="2" w:space="0"/>
            </w:tcBorders>
            <w:vAlign w:val="center"/>
          </w:tcPr>
          <w:p w14:paraId="708C6BA0">
            <w:pPr>
              <w:spacing w:before="120" w:after="120" w:line="252" w:lineRule="auto"/>
              <w:ind w:right="142"/>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w:t>
            </w:r>
          </w:p>
        </w:tc>
      </w:tr>
      <w:tr w14:paraId="708C6BA4">
        <w:tblPrEx>
          <w:tblCellMar>
            <w:top w:w="0" w:type="dxa"/>
            <w:left w:w="0" w:type="dxa"/>
            <w:bottom w:w="0" w:type="dxa"/>
            <w:right w:w="0" w:type="dxa"/>
          </w:tblCellMar>
        </w:tblPrEx>
        <w:trPr>
          <w:trHeight w:val="399" w:hRule="atLeast"/>
        </w:trPr>
        <w:tc>
          <w:tcPr>
            <w:tcW w:w="2971" w:type="dxa"/>
            <w:tcBorders>
              <w:top w:val="single" w:color="auto" w:sz="2" w:space="0"/>
              <w:left w:val="single" w:color="auto" w:sz="2" w:space="0"/>
              <w:bottom w:val="single" w:color="auto" w:sz="2" w:space="0"/>
              <w:right w:val="single" w:color="auto" w:sz="2" w:space="0"/>
            </w:tcBorders>
            <w:vAlign w:val="center"/>
          </w:tcPr>
          <w:p w14:paraId="708C6BA2">
            <w:pPr>
              <w:spacing w:before="120" w:after="120" w:line="252" w:lineRule="auto"/>
              <w:ind w:left="142" w:right="6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The total value of investment: </w:t>
            </w:r>
          </w:p>
        </w:tc>
        <w:tc>
          <w:tcPr>
            <w:tcW w:w="6243" w:type="dxa"/>
            <w:tcBorders>
              <w:top w:val="single" w:color="auto" w:sz="2" w:space="0"/>
              <w:left w:val="single" w:color="auto" w:sz="2" w:space="0"/>
              <w:bottom w:val="single" w:color="auto" w:sz="2" w:space="0"/>
              <w:right w:val="single" w:color="auto" w:sz="2" w:space="0"/>
            </w:tcBorders>
            <w:vAlign w:val="center"/>
          </w:tcPr>
          <w:p w14:paraId="708C6BA3">
            <w:pPr>
              <w:spacing w:before="120" w:after="120" w:line="252" w:lineRule="auto"/>
              <w:ind w:left="82" w:right="142"/>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w:t>
            </w:r>
          </w:p>
        </w:tc>
      </w:tr>
      <w:tr w14:paraId="708C6BA7">
        <w:tblPrEx>
          <w:tblCellMar>
            <w:top w:w="0" w:type="dxa"/>
            <w:left w:w="0" w:type="dxa"/>
            <w:bottom w:w="0" w:type="dxa"/>
            <w:right w:w="0" w:type="dxa"/>
          </w:tblCellMar>
        </w:tblPrEx>
        <w:trPr>
          <w:trHeight w:val="399" w:hRule="atLeast"/>
        </w:trPr>
        <w:tc>
          <w:tcPr>
            <w:tcW w:w="2971" w:type="dxa"/>
            <w:tcBorders>
              <w:top w:val="single" w:color="auto" w:sz="2" w:space="0"/>
              <w:left w:val="single" w:color="auto" w:sz="2" w:space="0"/>
              <w:bottom w:val="single" w:color="auto" w:sz="2" w:space="0"/>
              <w:right w:val="single" w:color="auto" w:sz="2" w:space="0"/>
            </w:tcBorders>
            <w:vAlign w:val="center"/>
          </w:tcPr>
          <w:p w14:paraId="708C6BA5">
            <w:pPr>
              <w:spacing w:before="120" w:after="120" w:line="252" w:lineRule="auto"/>
              <w:ind w:left="142" w:right="6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Design capacity</w:t>
            </w:r>
          </w:p>
        </w:tc>
        <w:tc>
          <w:tcPr>
            <w:tcW w:w="6243" w:type="dxa"/>
            <w:tcBorders>
              <w:top w:val="single" w:color="auto" w:sz="2" w:space="0"/>
              <w:left w:val="single" w:color="auto" w:sz="2" w:space="0"/>
              <w:bottom w:val="single" w:color="auto" w:sz="2" w:space="0"/>
              <w:right w:val="single" w:color="auto" w:sz="2" w:space="0"/>
            </w:tcBorders>
            <w:vAlign w:val="center"/>
          </w:tcPr>
          <w:p w14:paraId="708C6BA6">
            <w:pPr>
              <w:spacing w:before="120" w:after="120" w:line="252" w:lineRule="auto"/>
              <w:ind w:left="82" w:right="142"/>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w:t>
            </w:r>
          </w:p>
        </w:tc>
      </w:tr>
      <w:tr w14:paraId="708C6BAA">
        <w:tblPrEx>
          <w:tblCellMar>
            <w:top w:w="0" w:type="dxa"/>
            <w:left w:w="0" w:type="dxa"/>
            <w:bottom w:w="0" w:type="dxa"/>
            <w:right w:w="0" w:type="dxa"/>
          </w:tblCellMar>
        </w:tblPrEx>
        <w:trPr>
          <w:trHeight w:val="399" w:hRule="atLeast"/>
        </w:trPr>
        <w:tc>
          <w:tcPr>
            <w:tcW w:w="2971" w:type="dxa"/>
            <w:tcBorders>
              <w:top w:val="single" w:color="auto" w:sz="2" w:space="0"/>
              <w:left w:val="single" w:color="auto" w:sz="2" w:space="0"/>
              <w:bottom w:val="single" w:color="auto" w:sz="2" w:space="0"/>
              <w:right w:val="single" w:color="auto" w:sz="2" w:space="0"/>
            </w:tcBorders>
            <w:vAlign w:val="center"/>
          </w:tcPr>
          <w:p w14:paraId="708C6BA8">
            <w:pPr>
              <w:spacing w:before="120" w:after="120" w:line="252" w:lineRule="auto"/>
              <w:ind w:left="142" w:right="6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Actual capacity: </w:t>
            </w:r>
          </w:p>
        </w:tc>
        <w:tc>
          <w:tcPr>
            <w:tcW w:w="6243" w:type="dxa"/>
            <w:tcBorders>
              <w:top w:val="single" w:color="auto" w:sz="2" w:space="0"/>
              <w:left w:val="single" w:color="auto" w:sz="2" w:space="0"/>
              <w:bottom w:val="single" w:color="auto" w:sz="2" w:space="0"/>
              <w:right w:val="single" w:color="auto" w:sz="2" w:space="0"/>
            </w:tcBorders>
            <w:vAlign w:val="center"/>
          </w:tcPr>
          <w:p w14:paraId="708C6BA9">
            <w:pPr>
              <w:spacing w:before="120" w:after="120" w:line="252" w:lineRule="auto"/>
              <w:ind w:left="82" w:right="142"/>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w:t>
            </w:r>
          </w:p>
        </w:tc>
      </w:tr>
      <w:tr w14:paraId="708C6BAD">
        <w:tblPrEx>
          <w:tblCellMar>
            <w:top w:w="0" w:type="dxa"/>
            <w:left w:w="0" w:type="dxa"/>
            <w:bottom w:w="0" w:type="dxa"/>
            <w:right w:w="0" w:type="dxa"/>
          </w:tblCellMar>
        </w:tblPrEx>
        <w:trPr>
          <w:trHeight w:val="399" w:hRule="atLeast"/>
        </w:trPr>
        <w:tc>
          <w:tcPr>
            <w:tcW w:w="2971" w:type="dxa"/>
            <w:tcBorders>
              <w:top w:val="single" w:color="auto" w:sz="2" w:space="0"/>
              <w:left w:val="single" w:color="auto" w:sz="2" w:space="0"/>
              <w:bottom w:val="single" w:color="auto" w:sz="2" w:space="0"/>
              <w:right w:val="single" w:color="auto" w:sz="2" w:space="0"/>
            </w:tcBorders>
            <w:vAlign w:val="center"/>
          </w:tcPr>
          <w:p w14:paraId="708C6BAB">
            <w:pPr>
              <w:spacing w:before="120" w:after="120" w:line="252" w:lineRule="auto"/>
              <w:ind w:left="142" w:right="6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Production Standard: </w:t>
            </w:r>
          </w:p>
        </w:tc>
        <w:tc>
          <w:tcPr>
            <w:tcW w:w="6243" w:type="dxa"/>
            <w:tcBorders>
              <w:top w:val="single" w:color="auto" w:sz="2" w:space="0"/>
              <w:left w:val="single" w:color="auto" w:sz="2" w:space="0"/>
              <w:bottom w:val="single" w:color="auto" w:sz="2" w:space="0"/>
              <w:right w:val="single" w:color="auto" w:sz="2" w:space="0"/>
            </w:tcBorders>
            <w:vAlign w:val="center"/>
          </w:tcPr>
          <w:p w14:paraId="708C6BAC">
            <w:pPr>
              <w:spacing w:before="120" w:after="120" w:line="252" w:lineRule="auto"/>
              <w:ind w:left="82" w:right="142"/>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w:t>
            </w:r>
          </w:p>
        </w:tc>
      </w:tr>
      <w:tr w14:paraId="708C6BB0">
        <w:tblPrEx>
          <w:tblCellMar>
            <w:top w:w="0" w:type="dxa"/>
            <w:left w:w="0" w:type="dxa"/>
            <w:bottom w:w="0" w:type="dxa"/>
            <w:right w:w="0" w:type="dxa"/>
          </w:tblCellMar>
        </w:tblPrEx>
        <w:trPr>
          <w:trHeight w:val="399" w:hRule="atLeast"/>
        </w:trPr>
        <w:tc>
          <w:tcPr>
            <w:tcW w:w="2971" w:type="dxa"/>
            <w:tcBorders>
              <w:top w:val="single" w:color="auto" w:sz="2" w:space="0"/>
              <w:left w:val="single" w:color="auto" w:sz="2" w:space="0"/>
              <w:bottom w:val="single" w:color="auto" w:sz="2" w:space="0"/>
              <w:right w:val="single" w:color="auto" w:sz="2" w:space="0"/>
            </w:tcBorders>
            <w:vAlign w:val="center"/>
          </w:tcPr>
          <w:p w14:paraId="708C6BAE">
            <w:pPr>
              <w:spacing w:before="120" w:after="120" w:line="252" w:lineRule="auto"/>
              <w:ind w:left="142" w:right="6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Quantity of employees working:</w:t>
            </w:r>
          </w:p>
        </w:tc>
        <w:tc>
          <w:tcPr>
            <w:tcW w:w="6243" w:type="dxa"/>
            <w:tcBorders>
              <w:top w:val="single" w:color="auto" w:sz="2" w:space="0"/>
              <w:left w:val="single" w:color="auto" w:sz="2" w:space="0"/>
              <w:bottom w:val="single" w:color="auto" w:sz="2" w:space="0"/>
              <w:right w:val="single" w:color="auto" w:sz="2" w:space="0"/>
            </w:tcBorders>
            <w:vAlign w:val="center"/>
          </w:tcPr>
          <w:p w14:paraId="708C6BAF">
            <w:pPr>
              <w:spacing w:before="120" w:after="120" w:line="252" w:lineRule="auto"/>
              <w:ind w:left="82" w:right="142"/>
              <w:rPr>
                <w:i/>
                <w:iCs/>
                <w:color w:val="000000" w:themeColor="text1"/>
                <w:sz w:val="26"/>
                <w:szCs w:val="26"/>
                <w14:textFill>
                  <w14:solidFill>
                    <w14:schemeClr w14:val="tx1"/>
                  </w14:solidFill>
                </w14:textFill>
              </w:rPr>
            </w:pPr>
            <w:r>
              <w:rPr>
                <w:i/>
                <w:iCs/>
                <w:color w:val="000000" w:themeColor="text1"/>
                <w:sz w:val="26"/>
                <w:szCs w:val="26"/>
                <w14:textFill>
                  <w14:solidFill>
                    <w14:schemeClr w14:val="tx1"/>
                  </w14:solidFill>
                </w14:textFill>
              </w:rPr>
              <w:t>..</w:t>
            </w:r>
          </w:p>
        </w:tc>
      </w:tr>
    </w:tbl>
    <w:p w14:paraId="708C6BB1">
      <w:pPr>
        <w:widowControl w:val="0"/>
        <w:tabs>
          <w:tab w:val="left" w:pos="142"/>
        </w:tabs>
        <w:spacing w:before="120" w:after="120" w:line="264" w:lineRule="auto"/>
        <w:ind w:firstLine="709"/>
        <w:rPr>
          <w:iCs/>
          <w:color w:val="000000" w:themeColor="text1"/>
          <w:sz w:val="26"/>
          <w:szCs w:val="26"/>
          <w14:textFill>
            <w14:solidFill>
              <w14:schemeClr w14:val="tx1"/>
            </w14:solidFill>
          </w14:textFill>
        </w:rPr>
      </w:pPr>
      <w:r>
        <w:rPr>
          <w:iCs/>
          <w:color w:val="000000" w:themeColor="text1"/>
          <w:sz w:val="26"/>
          <w:szCs w:val="26"/>
          <w14:textFill>
            <w14:solidFill>
              <w14:schemeClr w14:val="tx1"/>
            </w14:solidFill>
          </w14:textFill>
        </w:rPr>
        <w:t xml:space="preserve">Notes: </w:t>
      </w:r>
    </w:p>
    <w:p w14:paraId="708C6BB2">
      <w:pPr>
        <w:spacing w:before="120" w:after="120" w:line="264" w:lineRule="auto"/>
        <w:ind w:firstLine="567"/>
        <w:jc w:val="both"/>
        <w:rPr>
          <w:iCs/>
          <w:color w:val="000000" w:themeColor="text1"/>
          <w:sz w:val="26"/>
          <w:szCs w:val="26"/>
          <w14:textFill>
            <w14:solidFill>
              <w14:schemeClr w14:val="tx1"/>
            </w14:solidFill>
          </w14:textFill>
        </w:rPr>
      </w:pPr>
      <w:r>
        <w:rPr>
          <w:iCs/>
          <w:color w:val="000000" w:themeColor="text1"/>
          <w:sz w:val="26"/>
          <w:szCs w:val="26"/>
          <w14:textFill>
            <w14:solidFill>
              <w14:schemeClr w14:val="tx1"/>
            </w14:solidFill>
          </w14:textFill>
        </w:rPr>
        <w:t>In the case of a consortium, each member of the consortium shall declare according to this Form.</w:t>
      </w:r>
    </w:p>
    <w:p w14:paraId="708C6BB3">
      <w:pPr>
        <w:spacing w:after="0" w:line="240" w:lineRule="auto"/>
        <w:rPr>
          <w:iCs/>
          <w:color w:val="000000" w:themeColor="text1"/>
          <w:sz w:val="26"/>
          <w:szCs w:val="26"/>
          <w14:textFill>
            <w14:solidFill>
              <w14:schemeClr w14:val="tx1"/>
            </w14:solidFill>
          </w14:textFill>
        </w:rPr>
      </w:pPr>
      <w:r>
        <w:rPr>
          <w:iCs/>
          <w:color w:val="000000" w:themeColor="text1"/>
          <w:sz w:val="26"/>
          <w:szCs w:val="26"/>
          <w14:textFill>
            <w14:solidFill>
              <w14:schemeClr w14:val="tx1"/>
            </w14:solidFill>
          </w14:textFill>
        </w:rPr>
        <w:br w:type="page"/>
      </w:r>
    </w:p>
    <w:p w14:paraId="708C6BB4">
      <w:pPr>
        <w:pStyle w:val="343"/>
        <w:widowControl w:val="0"/>
        <w:shd w:val="clear" w:color="auto" w:fill="FFFFFF"/>
        <w:spacing w:before="120" w:after="120" w:line="264" w:lineRule="auto"/>
        <w:ind w:firstLine="567"/>
        <w:jc w:val="right"/>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Form 10</w:t>
      </w:r>
    </w:p>
    <w:p w14:paraId="708C6BB5">
      <w:pPr>
        <w:pStyle w:val="5"/>
        <w:keepNext w:val="0"/>
        <w:widowControl w:val="0"/>
        <w:shd w:val="clear" w:color="auto" w:fill="FFFFFF"/>
        <w:spacing w:before="120" w:after="120" w:line="264" w:lineRule="auto"/>
        <w:ind w:firstLine="567"/>
        <w:jc w:val="center"/>
        <w:rPr>
          <w:rFonts w:ascii="Times New Roman" w:hAnsi="Times New Roman"/>
          <w:i w:val="0"/>
          <w:color w:val="000000" w:themeColor="text1"/>
          <w:sz w:val="26"/>
          <w:szCs w:val="26"/>
          <w:vertAlign w:val="superscript"/>
          <w14:textFill>
            <w14:solidFill>
              <w14:schemeClr w14:val="tx1"/>
            </w14:solidFill>
          </w14:textFill>
        </w:rPr>
      </w:pPr>
      <w:r>
        <w:rPr>
          <w:rFonts w:ascii="Times New Roman" w:hAnsi="Times New Roman"/>
          <w:i w:val="0"/>
          <w:color w:val="000000" w:themeColor="text1"/>
          <w:sz w:val="26"/>
          <w:szCs w:val="26"/>
          <w14:textFill>
            <w14:solidFill>
              <w14:schemeClr w14:val="tx1"/>
            </w14:solidFill>
          </w14:textFill>
        </w:rPr>
        <w:t>PROPOSED KEY PERSONNEL</w:t>
      </w:r>
    </w:p>
    <w:p w14:paraId="708C6BB6">
      <w:pPr>
        <w:pStyle w:val="60"/>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The bidder must declare the key personnel as prescribed at Clause 2.2, Section III and must demonstrate the ability to mobilize the proposed key personnel for this package. Key personnel may belong to the Bidder's long time employment or mobilized by the Bidder. In case the key personnel declared by the bidder in the Bids does not meet the requirements or cannot prove the ability to mobilize personnel (including cases where personnel have been mobilized for another contract whose working time overlaps with the implementation time of this package), the Procuring Entity allows the bidder to change or supplement. For each personal who does not respond, the bidder is replaced only once within a reasonable period of time but not less than 03 working days. In any case, if the bidder declares the personnel dishonestly, the bidder may not replace other personnel, the Bid will be rejected.</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4241"/>
        <w:gridCol w:w="3096"/>
      </w:tblGrid>
      <w:tr w14:paraId="708C6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14:paraId="708C6BB7">
            <w:pPr>
              <w:pStyle w:val="347"/>
              <w:widowControl w:val="0"/>
              <w:spacing w:after="120" w:line="264" w:lineRule="auto"/>
              <w:outlineLvl w:val="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No.</w:t>
            </w:r>
          </w:p>
        </w:tc>
        <w:tc>
          <w:tcPr>
            <w:tcW w:w="4241" w:type="dxa"/>
          </w:tcPr>
          <w:p w14:paraId="708C6BB8">
            <w:pPr>
              <w:pStyle w:val="347"/>
              <w:widowControl w:val="0"/>
              <w:spacing w:after="120" w:line="264" w:lineRule="auto"/>
              <w:outlineLvl w:val="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Name</w:t>
            </w:r>
          </w:p>
        </w:tc>
        <w:tc>
          <w:tcPr>
            <w:tcW w:w="3096" w:type="dxa"/>
          </w:tcPr>
          <w:p w14:paraId="708C6BB9">
            <w:pPr>
              <w:pStyle w:val="347"/>
              <w:widowControl w:val="0"/>
              <w:spacing w:after="120" w:line="264" w:lineRule="auto"/>
              <w:outlineLvl w:val="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Position</w:t>
            </w:r>
          </w:p>
        </w:tc>
      </w:tr>
      <w:tr w14:paraId="708C6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14:paraId="708C6BBB">
            <w:pPr>
              <w:pStyle w:val="347"/>
              <w:widowControl w:val="0"/>
              <w:spacing w:after="120" w:line="264" w:lineRule="auto"/>
              <w:jc w:val="right"/>
              <w:outlineLvl w:val="2"/>
              <w:rPr>
                <w:color w:val="000000" w:themeColor="text1"/>
                <w:sz w:val="26"/>
                <w:szCs w:val="26"/>
                <w14:textFill>
                  <w14:solidFill>
                    <w14:schemeClr w14:val="tx1"/>
                  </w14:solidFill>
                </w14:textFill>
              </w:rPr>
            </w:pPr>
          </w:p>
        </w:tc>
        <w:tc>
          <w:tcPr>
            <w:tcW w:w="4241" w:type="dxa"/>
          </w:tcPr>
          <w:p w14:paraId="708C6BBC">
            <w:pPr>
              <w:pStyle w:val="347"/>
              <w:widowControl w:val="0"/>
              <w:spacing w:after="120" w:line="264" w:lineRule="auto"/>
              <w:jc w:val="right"/>
              <w:outlineLvl w:val="2"/>
              <w:rPr>
                <w:color w:val="000000" w:themeColor="text1"/>
                <w:sz w:val="26"/>
                <w:szCs w:val="26"/>
                <w14:textFill>
                  <w14:solidFill>
                    <w14:schemeClr w14:val="tx1"/>
                  </w14:solidFill>
                </w14:textFill>
              </w:rPr>
            </w:pPr>
          </w:p>
        </w:tc>
        <w:tc>
          <w:tcPr>
            <w:tcW w:w="3096" w:type="dxa"/>
          </w:tcPr>
          <w:p w14:paraId="708C6BBD">
            <w:pPr>
              <w:pStyle w:val="347"/>
              <w:widowControl w:val="0"/>
              <w:spacing w:after="120" w:line="264" w:lineRule="auto"/>
              <w:jc w:val="right"/>
              <w:outlineLvl w:val="2"/>
              <w:rPr>
                <w:color w:val="000000" w:themeColor="text1"/>
                <w:sz w:val="26"/>
                <w:szCs w:val="26"/>
                <w14:textFill>
                  <w14:solidFill>
                    <w14:schemeClr w14:val="tx1"/>
                  </w14:solidFill>
                </w14:textFill>
              </w:rPr>
            </w:pPr>
          </w:p>
        </w:tc>
      </w:tr>
      <w:tr w14:paraId="708C6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14:paraId="708C6BBF">
            <w:pPr>
              <w:pStyle w:val="347"/>
              <w:widowControl w:val="0"/>
              <w:spacing w:after="120" w:line="264" w:lineRule="auto"/>
              <w:jc w:val="right"/>
              <w:outlineLvl w:val="2"/>
              <w:rPr>
                <w:color w:val="000000" w:themeColor="text1"/>
                <w:sz w:val="26"/>
                <w:szCs w:val="26"/>
                <w14:textFill>
                  <w14:solidFill>
                    <w14:schemeClr w14:val="tx1"/>
                  </w14:solidFill>
                </w14:textFill>
              </w:rPr>
            </w:pPr>
          </w:p>
        </w:tc>
        <w:tc>
          <w:tcPr>
            <w:tcW w:w="4241" w:type="dxa"/>
          </w:tcPr>
          <w:p w14:paraId="708C6BC0">
            <w:pPr>
              <w:pStyle w:val="347"/>
              <w:widowControl w:val="0"/>
              <w:spacing w:after="120" w:line="264" w:lineRule="auto"/>
              <w:jc w:val="right"/>
              <w:outlineLvl w:val="2"/>
              <w:rPr>
                <w:color w:val="000000" w:themeColor="text1"/>
                <w:sz w:val="26"/>
                <w:szCs w:val="26"/>
                <w14:textFill>
                  <w14:solidFill>
                    <w14:schemeClr w14:val="tx1"/>
                  </w14:solidFill>
                </w14:textFill>
              </w:rPr>
            </w:pPr>
          </w:p>
        </w:tc>
        <w:tc>
          <w:tcPr>
            <w:tcW w:w="3096" w:type="dxa"/>
          </w:tcPr>
          <w:p w14:paraId="708C6BC1">
            <w:pPr>
              <w:pStyle w:val="347"/>
              <w:widowControl w:val="0"/>
              <w:spacing w:after="120" w:line="264" w:lineRule="auto"/>
              <w:jc w:val="right"/>
              <w:outlineLvl w:val="2"/>
              <w:rPr>
                <w:color w:val="000000" w:themeColor="text1"/>
                <w:sz w:val="26"/>
                <w:szCs w:val="26"/>
                <w14:textFill>
                  <w14:solidFill>
                    <w14:schemeClr w14:val="tx1"/>
                  </w14:solidFill>
                </w14:textFill>
              </w:rPr>
            </w:pPr>
          </w:p>
        </w:tc>
      </w:tr>
    </w:tbl>
    <w:p w14:paraId="708C6BC3">
      <w:pPr>
        <w:pStyle w:val="347"/>
        <w:widowControl w:val="0"/>
        <w:shd w:val="clear" w:color="auto" w:fill="FFFFFF"/>
        <w:spacing w:after="120" w:line="264" w:lineRule="auto"/>
        <w:jc w:val="right"/>
        <w:outlineLvl w:val="2"/>
        <w:rPr>
          <w:color w:val="000000" w:themeColor="text1"/>
          <w:sz w:val="26"/>
          <w:szCs w:val="26"/>
          <w14:textFill>
            <w14:solidFill>
              <w14:schemeClr w14:val="tx1"/>
            </w14:solidFill>
          </w14:textFill>
        </w:rPr>
      </w:pPr>
    </w:p>
    <w:p w14:paraId="708C6BC4">
      <w:pPr>
        <w:pStyle w:val="347"/>
        <w:widowControl w:val="0"/>
        <w:shd w:val="clear" w:color="auto" w:fill="FFFFFF"/>
        <w:spacing w:after="120" w:line="264" w:lineRule="auto"/>
        <w:jc w:val="right"/>
        <w:outlineLvl w:val="2"/>
        <w:rPr>
          <w:color w:val="000000" w:themeColor="text1"/>
          <w:sz w:val="26"/>
          <w:szCs w:val="26"/>
          <w14:textFill>
            <w14:solidFill>
              <w14:schemeClr w14:val="tx1"/>
            </w14:solidFill>
          </w14:textFill>
        </w:rPr>
      </w:pPr>
    </w:p>
    <w:p w14:paraId="708C6BC5">
      <w:pPr>
        <w:pStyle w:val="347"/>
        <w:widowControl w:val="0"/>
        <w:shd w:val="clear" w:color="auto" w:fill="FFFFFF"/>
        <w:spacing w:after="120" w:line="264" w:lineRule="auto"/>
        <w:jc w:val="right"/>
        <w:outlineLvl w:val="2"/>
        <w:rPr>
          <w:color w:val="000000" w:themeColor="text1"/>
          <w:sz w:val="26"/>
          <w:szCs w:val="26"/>
          <w14:textFill>
            <w14:solidFill>
              <w14:schemeClr w14:val="tx1"/>
            </w14:solidFill>
          </w14:textFill>
        </w:rPr>
      </w:pPr>
    </w:p>
    <w:p w14:paraId="708C6BC6">
      <w:pPr>
        <w:pStyle w:val="347"/>
        <w:widowControl w:val="0"/>
        <w:shd w:val="clear" w:color="auto" w:fill="FFFFFF"/>
        <w:spacing w:after="120" w:line="264" w:lineRule="auto"/>
        <w:jc w:val="right"/>
        <w:outlineLvl w:val="2"/>
        <w:rPr>
          <w:color w:val="000000" w:themeColor="text1"/>
          <w:sz w:val="26"/>
          <w:szCs w:val="26"/>
          <w14:textFill>
            <w14:solidFill>
              <w14:schemeClr w14:val="tx1"/>
            </w14:solidFill>
          </w14:textFill>
        </w:rPr>
      </w:pPr>
    </w:p>
    <w:p w14:paraId="708C6BC7">
      <w:pPr>
        <w:pStyle w:val="347"/>
        <w:widowControl w:val="0"/>
        <w:shd w:val="clear" w:color="auto" w:fill="FFFFFF"/>
        <w:spacing w:after="120" w:line="264" w:lineRule="auto"/>
        <w:jc w:val="right"/>
        <w:outlineLvl w:val="2"/>
        <w:rPr>
          <w:color w:val="000000" w:themeColor="text1"/>
          <w:sz w:val="26"/>
          <w:szCs w:val="26"/>
          <w14:textFill>
            <w14:solidFill>
              <w14:schemeClr w14:val="tx1"/>
            </w14:solidFill>
          </w14:textFill>
        </w:rPr>
      </w:pPr>
    </w:p>
    <w:p w14:paraId="708C6BC8">
      <w:pPr>
        <w:pStyle w:val="347"/>
        <w:widowControl w:val="0"/>
        <w:shd w:val="clear" w:color="auto" w:fill="FFFFFF"/>
        <w:spacing w:after="120" w:line="264" w:lineRule="auto"/>
        <w:jc w:val="right"/>
        <w:outlineLvl w:val="2"/>
        <w:rPr>
          <w:color w:val="000000" w:themeColor="text1"/>
          <w:sz w:val="26"/>
          <w:szCs w:val="26"/>
          <w14:textFill>
            <w14:solidFill>
              <w14:schemeClr w14:val="tx1"/>
            </w14:solidFill>
          </w14:textFill>
        </w:rPr>
      </w:pPr>
    </w:p>
    <w:p w14:paraId="708C6BC9">
      <w:pPr>
        <w:pStyle w:val="347"/>
        <w:widowControl w:val="0"/>
        <w:shd w:val="clear" w:color="auto" w:fill="FFFFFF"/>
        <w:spacing w:after="120" w:line="264" w:lineRule="auto"/>
        <w:jc w:val="right"/>
        <w:outlineLvl w:val="2"/>
        <w:rPr>
          <w:color w:val="000000" w:themeColor="text1"/>
          <w:sz w:val="26"/>
          <w:szCs w:val="26"/>
          <w14:textFill>
            <w14:solidFill>
              <w14:schemeClr w14:val="tx1"/>
            </w14:solidFill>
          </w14:textFill>
        </w:rPr>
      </w:pPr>
    </w:p>
    <w:p w14:paraId="708C6BCA">
      <w:pPr>
        <w:pStyle w:val="347"/>
        <w:widowControl w:val="0"/>
        <w:shd w:val="clear" w:color="auto" w:fill="FFFFFF"/>
        <w:spacing w:after="120" w:line="264" w:lineRule="auto"/>
        <w:jc w:val="right"/>
        <w:outlineLvl w:val="2"/>
        <w:rPr>
          <w:color w:val="000000" w:themeColor="text1"/>
          <w:sz w:val="26"/>
          <w:szCs w:val="26"/>
          <w14:textFill>
            <w14:solidFill>
              <w14:schemeClr w14:val="tx1"/>
            </w14:solidFill>
          </w14:textFill>
        </w:rPr>
      </w:pPr>
    </w:p>
    <w:p w14:paraId="708C6BCB">
      <w:pPr>
        <w:pStyle w:val="347"/>
        <w:widowControl w:val="0"/>
        <w:shd w:val="clear" w:color="auto" w:fill="FFFFFF"/>
        <w:spacing w:after="120" w:line="264" w:lineRule="auto"/>
        <w:jc w:val="right"/>
        <w:outlineLvl w:val="2"/>
        <w:rPr>
          <w:color w:val="000000" w:themeColor="text1"/>
          <w:sz w:val="26"/>
          <w:szCs w:val="26"/>
          <w14:textFill>
            <w14:solidFill>
              <w14:schemeClr w14:val="tx1"/>
            </w14:solidFill>
          </w14:textFill>
        </w:rPr>
      </w:pPr>
    </w:p>
    <w:p w14:paraId="708C6BCC">
      <w:pPr>
        <w:pStyle w:val="347"/>
        <w:widowControl w:val="0"/>
        <w:shd w:val="clear" w:color="auto" w:fill="FFFFFF"/>
        <w:spacing w:after="120" w:line="264" w:lineRule="auto"/>
        <w:jc w:val="right"/>
        <w:outlineLvl w:val="2"/>
        <w:rPr>
          <w:color w:val="000000" w:themeColor="text1"/>
          <w:sz w:val="26"/>
          <w:szCs w:val="26"/>
          <w14:textFill>
            <w14:solidFill>
              <w14:schemeClr w14:val="tx1"/>
            </w14:solidFill>
          </w14:textFill>
        </w:rPr>
      </w:pPr>
    </w:p>
    <w:p w14:paraId="708C6BCD">
      <w:pPr>
        <w:pStyle w:val="347"/>
        <w:widowControl w:val="0"/>
        <w:shd w:val="clear" w:color="auto" w:fill="FFFFFF"/>
        <w:spacing w:after="120" w:line="264" w:lineRule="auto"/>
        <w:jc w:val="right"/>
        <w:outlineLvl w:val="2"/>
        <w:rPr>
          <w:color w:val="000000" w:themeColor="text1"/>
          <w:sz w:val="26"/>
          <w:szCs w:val="26"/>
          <w14:textFill>
            <w14:solidFill>
              <w14:schemeClr w14:val="tx1"/>
            </w14:solidFill>
          </w14:textFill>
        </w:rPr>
      </w:pPr>
    </w:p>
    <w:p w14:paraId="708C6BCE">
      <w:pPr>
        <w:pStyle w:val="347"/>
        <w:widowControl w:val="0"/>
        <w:shd w:val="clear" w:color="auto" w:fill="FFFFFF"/>
        <w:spacing w:after="120" w:line="264" w:lineRule="auto"/>
        <w:jc w:val="right"/>
        <w:outlineLvl w:val="2"/>
        <w:rPr>
          <w:color w:val="000000" w:themeColor="text1"/>
          <w:sz w:val="26"/>
          <w:szCs w:val="26"/>
          <w14:textFill>
            <w14:solidFill>
              <w14:schemeClr w14:val="tx1"/>
            </w14:solidFill>
          </w14:textFill>
        </w:rPr>
      </w:pPr>
    </w:p>
    <w:p w14:paraId="708C6BCF">
      <w:pPr>
        <w:pStyle w:val="347"/>
        <w:widowControl w:val="0"/>
        <w:shd w:val="clear" w:color="auto" w:fill="FFFFFF"/>
        <w:spacing w:after="120" w:line="264" w:lineRule="auto"/>
        <w:jc w:val="right"/>
        <w:outlineLvl w:val="2"/>
        <w:rPr>
          <w:color w:val="000000" w:themeColor="text1"/>
          <w:sz w:val="26"/>
          <w:szCs w:val="26"/>
          <w14:textFill>
            <w14:solidFill>
              <w14:schemeClr w14:val="tx1"/>
            </w14:solidFill>
          </w14:textFill>
        </w:rPr>
      </w:pPr>
    </w:p>
    <w:p w14:paraId="708C6BD0">
      <w:pPr>
        <w:pStyle w:val="347"/>
        <w:widowControl w:val="0"/>
        <w:shd w:val="clear" w:color="auto" w:fill="FFFFFF"/>
        <w:spacing w:after="120" w:line="264" w:lineRule="auto"/>
        <w:jc w:val="right"/>
        <w:outlineLvl w:val="2"/>
        <w:rPr>
          <w:color w:val="000000" w:themeColor="text1"/>
          <w:sz w:val="26"/>
          <w:szCs w:val="26"/>
          <w14:textFill>
            <w14:solidFill>
              <w14:schemeClr w14:val="tx1"/>
            </w14:solidFill>
          </w14:textFill>
        </w:rPr>
      </w:pPr>
    </w:p>
    <w:p w14:paraId="708C6BD1">
      <w:pPr>
        <w:pStyle w:val="347"/>
        <w:widowControl w:val="0"/>
        <w:shd w:val="clear" w:color="auto" w:fill="FFFFFF"/>
        <w:spacing w:after="120" w:line="264" w:lineRule="auto"/>
        <w:jc w:val="right"/>
        <w:outlineLvl w:val="2"/>
        <w:rPr>
          <w:color w:val="000000" w:themeColor="text1"/>
          <w:sz w:val="26"/>
          <w:szCs w:val="26"/>
          <w14:textFill>
            <w14:solidFill>
              <w14:schemeClr w14:val="tx1"/>
            </w14:solidFill>
          </w14:textFill>
        </w:rPr>
      </w:pPr>
    </w:p>
    <w:p w14:paraId="708C6BD2">
      <w:pPr>
        <w:pStyle w:val="347"/>
        <w:widowControl w:val="0"/>
        <w:shd w:val="clear" w:color="auto" w:fill="FFFFFF"/>
        <w:spacing w:after="120" w:line="264" w:lineRule="auto"/>
        <w:jc w:val="left"/>
        <w:outlineLvl w:val="2"/>
        <w:rPr>
          <w:color w:val="000000" w:themeColor="text1"/>
          <w:sz w:val="26"/>
          <w:szCs w:val="26"/>
          <w14:textFill>
            <w14:solidFill>
              <w14:schemeClr w14:val="tx1"/>
            </w14:solidFill>
          </w14:textFill>
        </w:rPr>
      </w:pPr>
    </w:p>
    <w:p w14:paraId="708C6BD3">
      <w:pPr>
        <w:pStyle w:val="347"/>
        <w:widowControl w:val="0"/>
        <w:shd w:val="clear" w:color="auto" w:fill="FFFFFF"/>
        <w:spacing w:after="120" w:line="264" w:lineRule="auto"/>
        <w:jc w:val="right"/>
        <w:outlineLvl w:val="2"/>
        <w:rPr>
          <w:color w:val="000000" w:themeColor="text1"/>
          <w:sz w:val="26"/>
          <w:szCs w:val="26"/>
          <w14:textFill>
            <w14:solidFill>
              <w14:schemeClr w14:val="tx1"/>
            </w14:solidFill>
          </w14:textFill>
        </w:rPr>
        <w:sectPr>
          <w:footnotePr>
            <w:numRestart w:val="eachPage"/>
          </w:footnotePr>
          <w:pgSz w:w="11907" w:h="16840"/>
          <w:pgMar w:top="1134" w:right="1134" w:bottom="1134" w:left="1701" w:header="567" w:footer="567" w:gutter="0"/>
          <w:pgNumType w:chapStyle="1"/>
          <w:cols w:space="720" w:num="1"/>
        </w:sectPr>
      </w:pPr>
    </w:p>
    <w:p w14:paraId="708C6BD4">
      <w:pPr>
        <w:pStyle w:val="347"/>
        <w:widowControl w:val="0"/>
        <w:shd w:val="clear" w:color="auto" w:fill="FFFFFF"/>
        <w:spacing w:after="120" w:line="264" w:lineRule="auto"/>
        <w:jc w:val="right"/>
        <w:outlineLvl w:val="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Form 10(a)</w:t>
      </w:r>
    </w:p>
    <w:p w14:paraId="708C6BD5">
      <w:pPr>
        <w:widowControl w:val="0"/>
        <w:shd w:val="clear" w:color="auto" w:fill="FFFFFF"/>
        <w:spacing w:before="120" w:after="120" w:line="264" w:lineRule="auto"/>
        <w:ind w:firstLine="567"/>
        <w:jc w:val="center"/>
        <w:outlineLvl w:val="3"/>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RESUME OF PROPOSED KEY PERSONNEL</w:t>
      </w:r>
    </w:p>
    <w:tbl>
      <w:tblPr>
        <w:tblStyle w:val="12"/>
        <w:tblW w:w="15026" w:type="dxa"/>
        <w:tblInd w:w="108" w:type="dxa"/>
        <w:tblLayout w:type="fixed"/>
        <w:tblCellMar>
          <w:top w:w="0" w:type="dxa"/>
          <w:left w:w="108" w:type="dxa"/>
          <w:bottom w:w="0" w:type="dxa"/>
          <w:right w:w="108" w:type="dxa"/>
        </w:tblCellMar>
      </w:tblPr>
      <w:tblGrid>
        <w:gridCol w:w="601"/>
        <w:gridCol w:w="1559"/>
        <w:gridCol w:w="1276"/>
        <w:gridCol w:w="21"/>
        <w:gridCol w:w="971"/>
        <w:gridCol w:w="1236"/>
        <w:gridCol w:w="1174"/>
        <w:gridCol w:w="1146"/>
        <w:gridCol w:w="115"/>
        <w:gridCol w:w="1115"/>
        <w:gridCol w:w="992"/>
        <w:gridCol w:w="2000"/>
        <w:gridCol w:w="1828"/>
        <w:gridCol w:w="992"/>
      </w:tblGrid>
      <w:tr w14:paraId="708C6BD9">
        <w:tblPrEx>
          <w:tblCellMar>
            <w:top w:w="0" w:type="dxa"/>
            <w:left w:w="108" w:type="dxa"/>
            <w:bottom w:w="0" w:type="dxa"/>
            <w:right w:w="108" w:type="dxa"/>
          </w:tblCellMar>
        </w:tblPrEx>
        <w:trPr>
          <w:trHeight w:val="990" w:hRule="atLeast"/>
        </w:trPr>
        <w:tc>
          <w:tcPr>
            <w:tcW w:w="6838" w:type="dxa"/>
            <w:gridSpan w:val="7"/>
            <w:tcBorders>
              <w:top w:val="single" w:color="auto" w:sz="4" w:space="0"/>
              <w:left w:val="single" w:color="auto" w:sz="4" w:space="0"/>
              <w:bottom w:val="single" w:color="auto" w:sz="4" w:space="0"/>
              <w:right w:val="single" w:color="auto" w:sz="4" w:space="0"/>
            </w:tcBorders>
            <w:shd w:val="clear" w:color="auto" w:fill="EAF1DD"/>
            <w:vAlign w:val="center"/>
          </w:tcPr>
          <w:p w14:paraId="708C6BD6">
            <w:pPr>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Personal information</w:t>
            </w:r>
          </w:p>
        </w:tc>
        <w:tc>
          <w:tcPr>
            <w:tcW w:w="1146" w:type="dxa"/>
            <w:tcBorders>
              <w:top w:val="single" w:color="auto" w:sz="4" w:space="0"/>
              <w:left w:val="nil"/>
              <w:bottom w:val="single" w:color="auto" w:sz="4" w:space="0"/>
              <w:right w:val="nil"/>
            </w:tcBorders>
            <w:shd w:val="clear" w:color="auto" w:fill="EAF1DD"/>
          </w:tcPr>
          <w:p w14:paraId="708C6BD7">
            <w:pPr>
              <w:jc w:val="center"/>
              <w:rPr>
                <w:b/>
                <w:bCs/>
                <w:color w:val="000000" w:themeColor="text1"/>
                <w:sz w:val="24"/>
                <w:szCs w:val="24"/>
                <w14:textFill>
                  <w14:solidFill>
                    <w14:schemeClr w14:val="tx1"/>
                  </w14:solidFill>
                </w14:textFill>
              </w:rPr>
            </w:pPr>
          </w:p>
        </w:tc>
        <w:tc>
          <w:tcPr>
            <w:tcW w:w="7042" w:type="dxa"/>
            <w:gridSpan w:val="6"/>
            <w:tcBorders>
              <w:top w:val="single" w:color="auto" w:sz="4" w:space="0"/>
              <w:left w:val="nil"/>
              <w:bottom w:val="single" w:color="auto" w:sz="4" w:space="0"/>
              <w:right w:val="single" w:color="auto" w:sz="4" w:space="0"/>
            </w:tcBorders>
            <w:shd w:val="clear" w:color="auto" w:fill="EAF1DD"/>
            <w:noWrap/>
            <w:vAlign w:val="center"/>
          </w:tcPr>
          <w:p w14:paraId="708C6BD8">
            <w:pPr>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Current job</w:t>
            </w:r>
          </w:p>
        </w:tc>
      </w:tr>
      <w:tr w14:paraId="708C6BE6">
        <w:tblPrEx>
          <w:tblCellMar>
            <w:top w:w="0" w:type="dxa"/>
            <w:left w:w="108" w:type="dxa"/>
            <w:bottom w:w="0" w:type="dxa"/>
            <w:right w:w="108" w:type="dxa"/>
          </w:tblCellMar>
        </w:tblPrEx>
        <w:trPr>
          <w:trHeight w:val="930" w:hRule="atLeast"/>
        </w:trPr>
        <w:tc>
          <w:tcPr>
            <w:tcW w:w="601" w:type="dxa"/>
            <w:tcBorders>
              <w:top w:val="single" w:color="auto" w:sz="4" w:space="0"/>
              <w:left w:val="single" w:color="auto" w:sz="4" w:space="0"/>
              <w:bottom w:val="single" w:color="auto" w:sz="4" w:space="0"/>
              <w:right w:val="single" w:color="auto" w:sz="4" w:space="0"/>
            </w:tcBorders>
            <w:shd w:val="clear" w:color="auto" w:fill="EAF1DD"/>
            <w:vAlign w:val="center"/>
          </w:tcPr>
          <w:p w14:paraId="708C6BDA">
            <w:pPr>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No.</w:t>
            </w:r>
          </w:p>
        </w:tc>
        <w:tc>
          <w:tcPr>
            <w:tcW w:w="1559" w:type="dxa"/>
            <w:tcBorders>
              <w:top w:val="single" w:color="auto" w:sz="4" w:space="0"/>
              <w:left w:val="single" w:color="auto" w:sz="4" w:space="0"/>
              <w:bottom w:val="single" w:color="auto" w:sz="4" w:space="0"/>
              <w:right w:val="single" w:color="auto" w:sz="4" w:space="0"/>
            </w:tcBorders>
            <w:shd w:val="clear" w:color="auto" w:fill="EAF1DD"/>
            <w:vAlign w:val="center"/>
          </w:tcPr>
          <w:p w14:paraId="708C6BDB">
            <w:pPr>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Name</w:t>
            </w:r>
          </w:p>
        </w:tc>
        <w:tc>
          <w:tcPr>
            <w:tcW w:w="1276" w:type="dxa"/>
            <w:tcBorders>
              <w:top w:val="single" w:color="auto" w:sz="4" w:space="0"/>
              <w:left w:val="single" w:color="auto" w:sz="4" w:space="0"/>
              <w:bottom w:val="single" w:color="auto" w:sz="4" w:space="0"/>
              <w:right w:val="single" w:color="auto" w:sz="4" w:space="0"/>
            </w:tcBorders>
            <w:shd w:val="clear" w:color="auto" w:fill="EAF1DD"/>
            <w:vAlign w:val="center"/>
          </w:tcPr>
          <w:p w14:paraId="708C6BDC">
            <w:pPr>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Citizen ID/Passport</w:t>
            </w:r>
          </w:p>
        </w:tc>
        <w:tc>
          <w:tcPr>
            <w:tcW w:w="992" w:type="dxa"/>
            <w:gridSpan w:val="2"/>
            <w:tcBorders>
              <w:top w:val="single" w:color="auto" w:sz="4" w:space="0"/>
              <w:left w:val="single" w:color="auto" w:sz="4" w:space="0"/>
              <w:bottom w:val="single" w:color="000000" w:sz="4" w:space="0"/>
              <w:right w:val="single" w:color="auto" w:sz="4" w:space="0"/>
            </w:tcBorders>
            <w:shd w:val="clear" w:color="auto" w:fill="EAF1DD"/>
            <w:vAlign w:val="center"/>
          </w:tcPr>
          <w:p w14:paraId="708C6BDD">
            <w:pPr>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Position</w:t>
            </w:r>
          </w:p>
        </w:tc>
        <w:tc>
          <w:tcPr>
            <w:tcW w:w="1236" w:type="dxa"/>
            <w:tcBorders>
              <w:top w:val="single" w:color="auto" w:sz="4" w:space="0"/>
              <w:left w:val="single" w:color="auto" w:sz="4" w:space="0"/>
              <w:bottom w:val="single" w:color="auto" w:sz="4" w:space="0"/>
              <w:right w:val="single" w:color="auto" w:sz="4" w:space="0"/>
            </w:tcBorders>
            <w:shd w:val="clear" w:color="auto" w:fill="EAF1DD"/>
            <w:vAlign w:val="center"/>
          </w:tcPr>
          <w:p w14:paraId="708C6BDE">
            <w:pPr>
              <w:jc w:val="center"/>
              <w:rPr>
                <w:b/>
                <w:bCs/>
                <w:color w:val="000000" w:themeColor="text1"/>
                <w:sz w:val="24"/>
                <w:szCs w:val="24"/>
                <w14:textFill>
                  <w14:solidFill>
                    <w14:schemeClr w14:val="tx1"/>
                  </w14:solidFill>
                </w14:textFill>
              </w:rPr>
            </w:pPr>
            <w:r>
              <w:rPr>
                <w:rStyle w:val="180"/>
                <w:rFonts w:ascii="Times New Roman" w:hAnsi="Times New Roman"/>
                <w:b/>
                <w:color w:val="000000" w:themeColor="text1"/>
                <w:spacing w:val="-2"/>
                <w:sz w:val="24"/>
                <w:szCs w:val="24"/>
                <w14:textFill>
                  <w14:solidFill>
                    <w14:schemeClr w14:val="tx1"/>
                  </w14:solidFill>
                </w14:textFill>
              </w:rPr>
              <w:t>Birth day</w:t>
            </w:r>
          </w:p>
        </w:tc>
        <w:tc>
          <w:tcPr>
            <w:tcW w:w="1174" w:type="dxa"/>
            <w:tcBorders>
              <w:top w:val="single" w:color="auto" w:sz="4" w:space="0"/>
              <w:left w:val="single" w:color="auto" w:sz="4" w:space="0"/>
              <w:bottom w:val="single" w:color="auto" w:sz="4" w:space="0"/>
              <w:right w:val="single" w:color="auto" w:sz="4" w:space="0"/>
            </w:tcBorders>
            <w:shd w:val="clear" w:color="auto" w:fill="EAF1DD"/>
            <w:vAlign w:val="center"/>
          </w:tcPr>
          <w:p w14:paraId="708C6BDF">
            <w:pPr>
              <w:widowControl w:val="0"/>
              <w:spacing w:before="120" w:after="120" w:line="264" w:lineRule="auto"/>
              <w:jc w:val="center"/>
              <w:rPr>
                <w:b/>
                <w:bCs/>
                <w:color w:val="000000" w:themeColor="text1"/>
                <w:sz w:val="24"/>
                <w:szCs w:val="24"/>
                <w14:textFill>
                  <w14:solidFill>
                    <w14:schemeClr w14:val="tx1"/>
                  </w14:solidFill>
                </w14:textFill>
              </w:rPr>
            </w:pPr>
            <w:r>
              <w:rPr>
                <w:rStyle w:val="180"/>
                <w:rFonts w:ascii="Times New Roman" w:hAnsi="Times New Roman"/>
                <w:b/>
                <w:color w:val="000000" w:themeColor="text1"/>
                <w:spacing w:val="-2"/>
                <w:sz w:val="24"/>
                <w:szCs w:val="24"/>
                <w14:textFill>
                  <w14:solidFill>
                    <w14:schemeClr w14:val="tx1"/>
                  </w14:solidFill>
                </w14:textFill>
              </w:rPr>
              <w:t>Certificates/Qualifications</w:t>
            </w:r>
          </w:p>
        </w:tc>
        <w:tc>
          <w:tcPr>
            <w:tcW w:w="1261" w:type="dxa"/>
            <w:gridSpan w:val="2"/>
            <w:tcBorders>
              <w:top w:val="single" w:color="auto" w:sz="4" w:space="0"/>
              <w:left w:val="nil"/>
              <w:bottom w:val="single" w:color="auto" w:sz="4" w:space="0"/>
              <w:right w:val="single" w:color="auto" w:sz="4" w:space="0"/>
            </w:tcBorders>
            <w:shd w:val="clear" w:color="auto" w:fill="EAF1DD"/>
            <w:vAlign w:val="center"/>
          </w:tcPr>
          <w:p w14:paraId="708C6BE0">
            <w:pPr>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Employer's name</w:t>
            </w:r>
          </w:p>
        </w:tc>
        <w:tc>
          <w:tcPr>
            <w:tcW w:w="1115" w:type="dxa"/>
            <w:tcBorders>
              <w:top w:val="single" w:color="auto" w:sz="4" w:space="0"/>
              <w:left w:val="nil"/>
              <w:bottom w:val="single" w:color="auto" w:sz="4" w:space="0"/>
              <w:right w:val="single" w:color="auto" w:sz="4" w:space="0"/>
            </w:tcBorders>
            <w:shd w:val="clear" w:color="auto" w:fill="EAF1DD"/>
            <w:vAlign w:val="center"/>
          </w:tcPr>
          <w:p w14:paraId="708C6BE1">
            <w:pPr>
              <w:widowControl w:val="0"/>
              <w:spacing w:before="120" w:after="120" w:line="264" w:lineRule="auto"/>
              <w:jc w:val="center"/>
              <w:rPr>
                <w:b/>
                <w:bCs/>
                <w:color w:val="000000" w:themeColor="text1"/>
                <w:sz w:val="24"/>
                <w:szCs w:val="24"/>
                <w14:textFill>
                  <w14:solidFill>
                    <w14:schemeClr w14:val="tx1"/>
                  </w14:solidFill>
                </w14:textFill>
              </w:rPr>
            </w:pPr>
            <w:r>
              <w:rPr>
                <w:rStyle w:val="180"/>
                <w:rFonts w:ascii="Times New Roman" w:hAnsi="Times New Roman"/>
                <w:b/>
                <w:color w:val="000000" w:themeColor="text1"/>
                <w:spacing w:val="-2"/>
                <w:sz w:val="24"/>
                <w:szCs w:val="24"/>
                <w14:textFill>
                  <w14:solidFill>
                    <w14:schemeClr w14:val="tx1"/>
                  </w14:solidFill>
                </w14:textFill>
              </w:rPr>
              <w:t>Add.</w:t>
            </w:r>
          </w:p>
        </w:tc>
        <w:tc>
          <w:tcPr>
            <w:tcW w:w="992" w:type="dxa"/>
            <w:tcBorders>
              <w:top w:val="single" w:color="auto" w:sz="4" w:space="0"/>
              <w:left w:val="nil"/>
              <w:bottom w:val="single" w:color="auto" w:sz="4" w:space="0"/>
              <w:right w:val="single" w:color="auto" w:sz="4" w:space="0"/>
            </w:tcBorders>
            <w:shd w:val="clear" w:color="auto" w:fill="EAF1DD"/>
            <w:noWrap/>
            <w:vAlign w:val="center"/>
          </w:tcPr>
          <w:p w14:paraId="708C6BE2">
            <w:pPr>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Title</w:t>
            </w:r>
          </w:p>
        </w:tc>
        <w:tc>
          <w:tcPr>
            <w:tcW w:w="2000" w:type="dxa"/>
            <w:tcBorders>
              <w:top w:val="single" w:color="auto" w:sz="4" w:space="0"/>
              <w:left w:val="nil"/>
              <w:bottom w:val="single" w:color="auto" w:sz="4" w:space="0"/>
              <w:right w:val="single" w:color="auto" w:sz="4" w:space="0"/>
            </w:tcBorders>
            <w:shd w:val="clear" w:color="auto" w:fill="EAF1DD"/>
            <w:vAlign w:val="center"/>
          </w:tcPr>
          <w:p w14:paraId="708C6BE3">
            <w:pPr>
              <w:jc w:val="center"/>
              <w:rPr>
                <w:b/>
                <w:bCs/>
                <w:color w:val="000000" w:themeColor="text1"/>
                <w:sz w:val="24"/>
                <w:szCs w:val="24"/>
                <w14:textFill>
                  <w14:solidFill>
                    <w14:schemeClr w14:val="tx1"/>
                  </w14:solidFill>
                </w14:textFill>
              </w:rPr>
            </w:pPr>
            <w:r>
              <w:rPr>
                <w:rStyle w:val="180"/>
                <w:rFonts w:ascii="Times New Roman" w:hAnsi="Times New Roman"/>
                <w:b/>
                <w:color w:val="000000" w:themeColor="text1"/>
                <w:spacing w:val="-2"/>
                <w:sz w:val="24"/>
                <w:szCs w:val="24"/>
                <w14:textFill>
                  <w14:solidFill>
                    <w14:schemeClr w14:val="tx1"/>
                  </w14:solidFill>
                </w14:textFill>
              </w:rPr>
              <w:t>Number of years working for current employer</w:t>
            </w:r>
          </w:p>
        </w:tc>
        <w:tc>
          <w:tcPr>
            <w:tcW w:w="1828" w:type="dxa"/>
            <w:tcBorders>
              <w:top w:val="single" w:color="auto" w:sz="4" w:space="0"/>
              <w:left w:val="nil"/>
              <w:bottom w:val="single" w:color="auto" w:sz="4" w:space="0"/>
              <w:right w:val="single" w:color="auto" w:sz="4" w:space="0"/>
            </w:tcBorders>
            <w:shd w:val="clear" w:color="auto" w:fill="EAF1DD"/>
            <w:vAlign w:val="center"/>
          </w:tcPr>
          <w:p w14:paraId="708C6BE4">
            <w:pPr>
              <w:jc w:val="center"/>
              <w:rPr>
                <w:b/>
                <w:bCs/>
                <w:color w:val="000000" w:themeColor="text1"/>
                <w:sz w:val="24"/>
                <w:szCs w:val="24"/>
                <w14:textFill>
                  <w14:solidFill>
                    <w14:schemeClr w14:val="tx1"/>
                  </w14:solidFill>
                </w14:textFill>
              </w:rPr>
            </w:pPr>
            <w:r>
              <w:rPr>
                <w:rStyle w:val="180"/>
                <w:rFonts w:ascii="Times New Roman" w:hAnsi="Times New Roman"/>
                <w:b/>
                <w:color w:val="000000" w:themeColor="text1"/>
                <w:spacing w:val="-2"/>
                <w:sz w:val="24"/>
                <w:szCs w:val="24"/>
                <w14:textFill>
                  <w14:solidFill>
                    <w14:schemeClr w14:val="tx1"/>
                  </w14:solidFill>
                </w14:textFill>
              </w:rPr>
              <w:t>Contact person (head of department / officer in charge of human resources)</w:t>
            </w:r>
          </w:p>
        </w:tc>
        <w:tc>
          <w:tcPr>
            <w:tcW w:w="992" w:type="dxa"/>
            <w:tcBorders>
              <w:top w:val="single" w:color="auto" w:sz="4" w:space="0"/>
              <w:left w:val="single" w:color="auto" w:sz="4" w:space="0"/>
              <w:bottom w:val="single" w:color="auto" w:sz="4" w:space="0"/>
              <w:right w:val="single" w:color="auto" w:sz="4" w:space="0"/>
            </w:tcBorders>
            <w:shd w:val="clear" w:color="auto" w:fill="EAF1DD"/>
            <w:vAlign w:val="center"/>
          </w:tcPr>
          <w:p w14:paraId="708C6BE5">
            <w:pPr>
              <w:jc w:val="center"/>
              <w:rPr>
                <w:b/>
                <w:bCs/>
                <w:color w:val="000000" w:themeColor="text1"/>
                <w:sz w:val="24"/>
                <w:szCs w:val="24"/>
                <w14:textFill>
                  <w14:solidFill>
                    <w14:schemeClr w14:val="tx1"/>
                  </w14:solidFill>
                </w14:textFill>
              </w:rPr>
            </w:pPr>
            <w:r>
              <w:rPr>
                <w:rStyle w:val="180"/>
                <w:rFonts w:ascii="Times New Roman" w:hAnsi="Times New Roman"/>
                <w:b/>
                <w:color w:val="000000" w:themeColor="text1"/>
                <w:spacing w:val="-2"/>
                <w:sz w:val="24"/>
                <w:szCs w:val="24"/>
                <w14:textFill>
                  <w14:solidFill>
                    <w14:schemeClr w14:val="tx1"/>
                  </w14:solidFill>
                </w14:textFill>
              </w:rPr>
              <w:t>Tel/ Fax/ Email</w:t>
            </w:r>
          </w:p>
        </w:tc>
      </w:tr>
      <w:tr w14:paraId="708C6BF3">
        <w:tblPrEx>
          <w:tblCellMar>
            <w:top w:w="0" w:type="dxa"/>
            <w:left w:w="108" w:type="dxa"/>
            <w:bottom w:w="0" w:type="dxa"/>
            <w:right w:w="108" w:type="dxa"/>
          </w:tblCellMar>
        </w:tblPrEx>
        <w:trPr>
          <w:trHeight w:val="930" w:hRule="atLeast"/>
        </w:trPr>
        <w:tc>
          <w:tcPr>
            <w:tcW w:w="601" w:type="dxa"/>
            <w:tcBorders>
              <w:top w:val="nil"/>
              <w:left w:val="single" w:color="auto" w:sz="4" w:space="0"/>
              <w:bottom w:val="single" w:color="auto" w:sz="4" w:space="0"/>
              <w:right w:val="single" w:color="auto" w:sz="4" w:space="0"/>
            </w:tcBorders>
            <w:vAlign w:val="center"/>
          </w:tcPr>
          <w:p w14:paraId="708C6BE7">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w:t>
            </w:r>
          </w:p>
        </w:tc>
        <w:tc>
          <w:tcPr>
            <w:tcW w:w="1559" w:type="dxa"/>
            <w:tcBorders>
              <w:top w:val="nil"/>
              <w:left w:val="nil"/>
              <w:bottom w:val="single" w:color="auto" w:sz="4" w:space="0"/>
              <w:right w:val="single" w:color="auto" w:sz="4" w:space="0"/>
            </w:tcBorders>
            <w:vAlign w:val="center"/>
          </w:tcPr>
          <w:p w14:paraId="708C6BE8">
            <w:pPr>
              <w:rPr>
                <w:color w:val="000000" w:themeColor="text1"/>
                <w:sz w:val="24"/>
                <w:szCs w:val="24"/>
                <w14:textFill>
                  <w14:solidFill>
                    <w14:schemeClr w14:val="tx1"/>
                  </w14:solidFill>
                </w14:textFill>
              </w:rPr>
            </w:pPr>
          </w:p>
        </w:tc>
        <w:tc>
          <w:tcPr>
            <w:tcW w:w="1276" w:type="dxa"/>
            <w:tcBorders>
              <w:top w:val="nil"/>
              <w:left w:val="nil"/>
              <w:bottom w:val="single" w:color="auto" w:sz="4" w:space="0"/>
              <w:right w:val="single" w:color="auto" w:sz="4" w:space="0"/>
            </w:tcBorders>
            <w:vAlign w:val="center"/>
          </w:tcPr>
          <w:p w14:paraId="708C6BE9">
            <w:pPr>
              <w:rPr>
                <w:color w:val="000000" w:themeColor="text1"/>
                <w:sz w:val="24"/>
                <w:szCs w:val="24"/>
                <w14:textFill>
                  <w14:solidFill>
                    <w14:schemeClr w14:val="tx1"/>
                  </w14:solidFill>
                </w14:textFill>
              </w:rPr>
            </w:pPr>
          </w:p>
        </w:tc>
        <w:tc>
          <w:tcPr>
            <w:tcW w:w="992" w:type="dxa"/>
            <w:gridSpan w:val="2"/>
            <w:tcBorders>
              <w:top w:val="nil"/>
              <w:left w:val="nil"/>
              <w:bottom w:val="single" w:color="auto" w:sz="4" w:space="0"/>
              <w:right w:val="single" w:color="auto" w:sz="4" w:space="0"/>
            </w:tcBorders>
            <w:vAlign w:val="center"/>
          </w:tcPr>
          <w:p w14:paraId="708C6BEA">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1236" w:type="dxa"/>
            <w:tcBorders>
              <w:top w:val="nil"/>
              <w:left w:val="nil"/>
              <w:bottom w:val="single" w:color="auto" w:sz="4" w:space="0"/>
              <w:right w:val="single" w:color="auto" w:sz="4" w:space="0"/>
            </w:tcBorders>
            <w:vAlign w:val="center"/>
          </w:tcPr>
          <w:p w14:paraId="708C6BEB">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1174" w:type="dxa"/>
            <w:tcBorders>
              <w:top w:val="nil"/>
              <w:left w:val="nil"/>
              <w:bottom w:val="single" w:color="auto" w:sz="4" w:space="0"/>
              <w:right w:val="single" w:color="auto" w:sz="4" w:space="0"/>
            </w:tcBorders>
            <w:vAlign w:val="center"/>
          </w:tcPr>
          <w:p w14:paraId="708C6BEC">
            <w:pPr>
              <w:rPr>
                <w:i/>
                <w:iCs/>
                <w:color w:val="000000" w:themeColor="text1"/>
                <w:sz w:val="24"/>
                <w:szCs w:val="24"/>
                <w14:textFill>
                  <w14:solidFill>
                    <w14:schemeClr w14:val="tx1"/>
                  </w14:solidFill>
                </w14:textFill>
              </w:rPr>
            </w:pPr>
            <w:r>
              <w:rPr>
                <w:i/>
                <w:iCs/>
                <w:color w:val="000000" w:themeColor="text1"/>
                <w:sz w:val="24"/>
                <w:szCs w:val="24"/>
                <w14:textFill>
                  <w14:solidFill>
                    <w14:schemeClr w14:val="tx1"/>
                  </w14:solidFill>
                </w14:textFill>
              </w:rPr>
              <w:t> </w:t>
            </w:r>
          </w:p>
        </w:tc>
        <w:tc>
          <w:tcPr>
            <w:tcW w:w="1261" w:type="dxa"/>
            <w:gridSpan w:val="2"/>
            <w:tcBorders>
              <w:top w:val="nil"/>
              <w:left w:val="nil"/>
              <w:bottom w:val="single" w:color="auto" w:sz="4" w:space="0"/>
              <w:right w:val="single" w:color="auto" w:sz="4" w:space="0"/>
            </w:tcBorders>
            <w:noWrap/>
            <w:vAlign w:val="bottom"/>
          </w:tcPr>
          <w:p w14:paraId="708C6BED">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1115" w:type="dxa"/>
            <w:tcBorders>
              <w:top w:val="nil"/>
              <w:left w:val="nil"/>
              <w:bottom w:val="single" w:color="auto" w:sz="4" w:space="0"/>
              <w:right w:val="single" w:color="auto" w:sz="4" w:space="0"/>
            </w:tcBorders>
            <w:noWrap/>
            <w:vAlign w:val="bottom"/>
          </w:tcPr>
          <w:p w14:paraId="708C6BEE">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992" w:type="dxa"/>
            <w:tcBorders>
              <w:top w:val="nil"/>
              <w:left w:val="nil"/>
              <w:bottom w:val="single" w:color="auto" w:sz="4" w:space="0"/>
              <w:right w:val="single" w:color="auto" w:sz="4" w:space="0"/>
            </w:tcBorders>
            <w:noWrap/>
            <w:vAlign w:val="bottom"/>
          </w:tcPr>
          <w:p w14:paraId="708C6BEF">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2000" w:type="dxa"/>
            <w:tcBorders>
              <w:top w:val="nil"/>
              <w:left w:val="nil"/>
              <w:bottom w:val="single" w:color="auto" w:sz="4" w:space="0"/>
              <w:right w:val="single" w:color="auto" w:sz="4" w:space="0"/>
            </w:tcBorders>
            <w:noWrap/>
            <w:vAlign w:val="bottom"/>
          </w:tcPr>
          <w:p w14:paraId="708C6BF0">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1828" w:type="dxa"/>
            <w:tcBorders>
              <w:top w:val="single" w:color="auto" w:sz="4" w:space="0"/>
              <w:left w:val="nil"/>
              <w:bottom w:val="single" w:color="auto" w:sz="4" w:space="0"/>
              <w:right w:val="single" w:color="auto" w:sz="4" w:space="0"/>
            </w:tcBorders>
            <w:vAlign w:val="bottom"/>
          </w:tcPr>
          <w:p w14:paraId="708C6BF1">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992" w:type="dxa"/>
            <w:tcBorders>
              <w:top w:val="single" w:color="auto" w:sz="4" w:space="0"/>
              <w:left w:val="single" w:color="auto" w:sz="4" w:space="0"/>
              <w:bottom w:val="single" w:color="auto" w:sz="4" w:space="0"/>
              <w:right w:val="single" w:color="auto" w:sz="4" w:space="0"/>
            </w:tcBorders>
            <w:noWrap/>
            <w:vAlign w:val="bottom"/>
          </w:tcPr>
          <w:p w14:paraId="708C6BF2">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r>
      <w:tr w14:paraId="708C6C00">
        <w:tblPrEx>
          <w:tblCellMar>
            <w:top w:w="0" w:type="dxa"/>
            <w:left w:w="108" w:type="dxa"/>
            <w:bottom w:w="0" w:type="dxa"/>
            <w:right w:w="108" w:type="dxa"/>
          </w:tblCellMar>
        </w:tblPrEx>
        <w:trPr>
          <w:trHeight w:val="930" w:hRule="atLeast"/>
        </w:trPr>
        <w:tc>
          <w:tcPr>
            <w:tcW w:w="601" w:type="dxa"/>
            <w:tcBorders>
              <w:top w:val="nil"/>
              <w:left w:val="single" w:color="auto" w:sz="4" w:space="0"/>
              <w:bottom w:val="single" w:color="auto" w:sz="4" w:space="0"/>
              <w:right w:val="single" w:color="auto" w:sz="4" w:space="0"/>
            </w:tcBorders>
            <w:vAlign w:val="center"/>
          </w:tcPr>
          <w:p w14:paraId="708C6BF4">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w:t>
            </w:r>
          </w:p>
        </w:tc>
        <w:tc>
          <w:tcPr>
            <w:tcW w:w="1559" w:type="dxa"/>
            <w:tcBorders>
              <w:top w:val="nil"/>
              <w:left w:val="nil"/>
              <w:bottom w:val="single" w:color="auto" w:sz="4" w:space="0"/>
              <w:right w:val="single" w:color="auto" w:sz="4" w:space="0"/>
            </w:tcBorders>
            <w:vAlign w:val="center"/>
          </w:tcPr>
          <w:p w14:paraId="708C6BF5">
            <w:pPr>
              <w:rPr>
                <w:color w:val="000000" w:themeColor="text1"/>
                <w:sz w:val="24"/>
                <w:szCs w:val="24"/>
                <w14:textFill>
                  <w14:solidFill>
                    <w14:schemeClr w14:val="tx1"/>
                  </w14:solidFill>
                </w14:textFill>
              </w:rPr>
            </w:pPr>
          </w:p>
        </w:tc>
        <w:tc>
          <w:tcPr>
            <w:tcW w:w="1276" w:type="dxa"/>
            <w:tcBorders>
              <w:top w:val="nil"/>
              <w:left w:val="nil"/>
              <w:bottom w:val="single" w:color="auto" w:sz="4" w:space="0"/>
              <w:right w:val="single" w:color="auto" w:sz="4" w:space="0"/>
            </w:tcBorders>
            <w:vAlign w:val="center"/>
          </w:tcPr>
          <w:p w14:paraId="708C6BF6">
            <w:pPr>
              <w:rPr>
                <w:color w:val="000000" w:themeColor="text1"/>
                <w:sz w:val="24"/>
                <w:szCs w:val="24"/>
                <w14:textFill>
                  <w14:solidFill>
                    <w14:schemeClr w14:val="tx1"/>
                  </w14:solidFill>
                </w14:textFill>
              </w:rPr>
            </w:pPr>
          </w:p>
        </w:tc>
        <w:tc>
          <w:tcPr>
            <w:tcW w:w="992" w:type="dxa"/>
            <w:gridSpan w:val="2"/>
            <w:tcBorders>
              <w:top w:val="nil"/>
              <w:left w:val="nil"/>
              <w:bottom w:val="single" w:color="auto" w:sz="4" w:space="0"/>
              <w:right w:val="single" w:color="auto" w:sz="4" w:space="0"/>
            </w:tcBorders>
            <w:vAlign w:val="center"/>
          </w:tcPr>
          <w:p w14:paraId="708C6BF7">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1236" w:type="dxa"/>
            <w:tcBorders>
              <w:top w:val="nil"/>
              <w:left w:val="nil"/>
              <w:bottom w:val="single" w:color="auto" w:sz="4" w:space="0"/>
              <w:right w:val="single" w:color="auto" w:sz="4" w:space="0"/>
            </w:tcBorders>
            <w:vAlign w:val="center"/>
          </w:tcPr>
          <w:p w14:paraId="708C6BF8">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1174" w:type="dxa"/>
            <w:tcBorders>
              <w:top w:val="nil"/>
              <w:left w:val="nil"/>
              <w:bottom w:val="single" w:color="auto" w:sz="4" w:space="0"/>
              <w:right w:val="single" w:color="auto" w:sz="4" w:space="0"/>
            </w:tcBorders>
            <w:vAlign w:val="center"/>
          </w:tcPr>
          <w:p w14:paraId="708C6BF9">
            <w:pPr>
              <w:rPr>
                <w:i/>
                <w:iCs/>
                <w:color w:val="000000" w:themeColor="text1"/>
                <w:sz w:val="24"/>
                <w:szCs w:val="24"/>
                <w14:textFill>
                  <w14:solidFill>
                    <w14:schemeClr w14:val="tx1"/>
                  </w14:solidFill>
                </w14:textFill>
              </w:rPr>
            </w:pPr>
            <w:r>
              <w:rPr>
                <w:i/>
                <w:iCs/>
                <w:color w:val="000000" w:themeColor="text1"/>
                <w:sz w:val="24"/>
                <w:szCs w:val="24"/>
                <w14:textFill>
                  <w14:solidFill>
                    <w14:schemeClr w14:val="tx1"/>
                  </w14:solidFill>
                </w14:textFill>
              </w:rPr>
              <w:t> </w:t>
            </w:r>
          </w:p>
        </w:tc>
        <w:tc>
          <w:tcPr>
            <w:tcW w:w="1261" w:type="dxa"/>
            <w:gridSpan w:val="2"/>
            <w:tcBorders>
              <w:top w:val="nil"/>
              <w:left w:val="nil"/>
              <w:bottom w:val="single" w:color="auto" w:sz="4" w:space="0"/>
              <w:right w:val="single" w:color="auto" w:sz="4" w:space="0"/>
            </w:tcBorders>
            <w:noWrap/>
            <w:vAlign w:val="bottom"/>
          </w:tcPr>
          <w:p w14:paraId="708C6BFA">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1115" w:type="dxa"/>
            <w:tcBorders>
              <w:top w:val="nil"/>
              <w:left w:val="nil"/>
              <w:bottom w:val="single" w:color="auto" w:sz="4" w:space="0"/>
              <w:right w:val="single" w:color="auto" w:sz="4" w:space="0"/>
            </w:tcBorders>
            <w:noWrap/>
            <w:vAlign w:val="bottom"/>
          </w:tcPr>
          <w:p w14:paraId="708C6BFB">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992" w:type="dxa"/>
            <w:tcBorders>
              <w:top w:val="nil"/>
              <w:left w:val="nil"/>
              <w:bottom w:val="single" w:color="auto" w:sz="4" w:space="0"/>
              <w:right w:val="single" w:color="auto" w:sz="4" w:space="0"/>
            </w:tcBorders>
            <w:noWrap/>
            <w:vAlign w:val="bottom"/>
          </w:tcPr>
          <w:p w14:paraId="708C6BFC">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2000" w:type="dxa"/>
            <w:tcBorders>
              <w:top w:val="nil"/>
              <w:left w:val="nil"/>
              <w:bottom w:val="single" w:color="auto" w:sz="4" w:space="0"/>
              <w:right w:val="single" w:color="auto" w:sz="4" w:space="0"/>
            </w:tcBorders>
            <w:noWrap/>
            <w:vAlign w:val="bottom"/>
          </w:tcPr>
          <w:p w14:paraId="708C6BFD">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1828" w:type="dxa"/>
            <w:tcBorders>
              <w:top w:val="single" w:color="auto" w:sz="4" w:space="0"/>
              <w:left w:val="nil"/>
              <w:bottom w:val="single" w:color="auto" w:sz="4" w:space="0"/>
              <w:right w:val="single" w:color="auto" w:sz="4" w:space="0"/>
            </w:tcBorders>
            <w:vAlign w:val="bottom"/>
          </w:tcPr>
          <w:p w14:paraId="708C6BFE">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992" w:type="dxa"/>
            <w:tcBorders>
              <w:top w:val="single" w:color="auto" w:sz="4" w:space="0"/>
              <w:left w:val="single" w:color="auto" w:sz="4" w:space="0"/>
              <w:bottom w:val="single" w:color="auto" w:sz="4" w:space="0"/>
              <w:right w:val="single" w:color="auto" w:sz="4" w:space="0"/>
            </w:tcBorders>
            <w:noWrap/>
            <w:vAlign w:val="bottom"/>
          </w:tcPr>
          <w:p w14:paraId="708C6BFF">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r>
      <w:tr w14:paraId="708C6C0D">
        <w:tblPrEx>
          <w:tblCellMar>
            <w:top w:w="0" w:type="dxa"/>
            <w:left w:w="108" w:type="dxa"/>
            <w:bottom w:w="0" w:type="dxa"/>
            <w:right w:w="108" w:type="dxa"/>
          </w:tblCellMar>
        </w:tblPrEx>
        <w:trPr>
          <w:trHeight w:val="930" w:hRule="atLeast"/>
        </w:trPr>
        <w:tc>
          <w:tcPr>
            <w:tcW w:w="601" w:type="dxa"/>
            <w:tcBorders>
              <w:top w:val="nil"/>
              <w:left w:val="single" w:color="auto" w:sz="4" w:space="0"/>
              <w:bottom w:val="single" w:color="auto" w:sz="4" w:space="0"/>
              <w:right w:val="single" w:color="auto" w:sz="4" w:space="0"/>
            </w:tcBorders>
            <w:vAlign w:val="center"/>
          </w:tcPr>
          <w:p w14:paraId="708C6C01">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1559" w:type="dxa"/>
            <w:tcBorders>
              <w:top w:val="nil"/>
              <w:left w:val="nil"/>
              <w:bottom w:val="single" w:color="auto" w:sz="4" w:space="0"/>
              <w:right w:val="single" w:color="auto" w:sz="4" w:space="0"/>
            </w:tcBorders>
            <w:vAlign w:val="center"/>
          </w:tcPr>
          <w:p w14:paraId="708C6C02">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1297" w:type="dxa"/>
            <w:gridSpan w:val="2"/>
            <w:tcBorders>
              <w:top w:val="nil"/>
              <w:left w:val="nil"/>
              <w:bottom w:val="single" w:color="auto" w:sz="4" w:space="0"/>
              <w:right w:val="single" w:color="auto" w:sz="4" w:space="0"/>
            </w:tcBorders>
            <w:vAlign w:val="center"/>
          </w:tcPr>
          <w:p w14:paraId="708C6C03">
            <w:pPr>
              <w:rPr>
                <w:color w:val="000000" w:themeColor="text1"/>
                <w:sz w:val="24"/>
                <w:szCs w:val="24"/>
                <w14:textFill>
                  <w14:solidFill>
                    <w14:schemeClr w14:val="tx1"/>
                  </w14:solidFill>
                </w14:textFill>
              </w:rPr>
            </w:pPr>
          </w:p>
        </w:tc>
        <w:tc>
          <w:tcPr>
            <w:tcW w:w="971" w:type="dxa"/>
            <w:tcBorders>
              <w:top w:val="nil"/>
              <w:left w:val="nil"/>
              <w:bottom w:val="single" w:color="auto" w:sz="4" w:space="0"/>
              <w:right w:val="single" w:color="auto" w:sz="4" w:space="0"/>
            </w:tcBorders>
            <w:vAlign w:val="center"/>
          </w:tcPr>
          <w:p w14:paraId="708C6C04">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1236" w:type="dxa"/>
            <w:tcBorders>
              <w:top w:val="nil"/>
              <w:left w:val="nil"/>
              <w:bottom w:val="single" w:color="auto" w:sz="4" w:space="0"/>
              <w:right w:val="single" w:color="auto" w:sz="4" w:space="0"/>
            </w:tcBorders>
            <w:vAlign w:val="center"/>
          </w:tcPr>
          <w:p w14:paraId="708C6C05">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1174" w:type="dxa"/>
            <w:tcBorders>
              <w:top w:val="nil"/>
              <w:left w:val="nil"/>
              <w:bottom w:val="single" w:color="auto" w:sz="4" w:space="0"/>
              <w:right w:val="single" w:color="auto" w:sz="4" w:space="0"/>
            </w:tcBorders>
            <w:vAlign w:val="center"/>
          </w:tcPr>
          <w:p w14:paraId="708C6C06">
            <w:pPr>
              <w:rPr>
                <w:i/>
                <w:iCs/>
                <w:color w:val="000000" w:themeColor="text1"/>
                <w:sz w:val="24"/>
                <w:szCs w:val="24"/>
                <w14:textFill>
                  <w14:solidFill>
                    <w14:schemeClr w14:val="tx1"/>
                  </w14:solidFill>
                </w14:textFill>
              </w:rPr>
            </w:pPr>
            <w:r>
              <w:rPr>
                <w:i/>
                <w:iCs/>
                <w:color w:val="000000" w:themeColor="text1"/>
                <w:sz w:val="24"/>
                <w:szCs w:val="24"/>
                <w14:textFill>
                  <w14:solidFill>
                    <w14:schemeClr w14:val="tx1"/>
                  </w14:solidFill>
                </w14:textFill>
              </w:rPr>
              <w:t> </w:t>
            </w:r>
          </w:p>
        </w:tc>
        <w:tc>
          <w:tcPr>
            <w:tcW w:w="1261" w:type="dxa"/>
            <w:gridSpan w:val="2"/>
            <w:tcBorders>
              <w:top w:val="nil"/>
              <w:left w:val="nil"/>
              <w:bottom w:val="single" w:color="auto" w:sz="4" w:space="0"/>
              <w:right w:val="single" w:color="auto" w:sz="4" w:space="0"/>
            </w:tcBorders>
            <w:noWrap/>
            <w:vAlign w:val="bottom"/>
          </w:tcPr>
          <w:p w14:paraId="708C6C07">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1115" w:type="dxa"/>
            <w:tcBorders>
              <w:top w:val="nil"/>
              <w:left w:val="nil"/>
              <w:bottom w:val="single" w:color="auto" w:sz="4" w:space="0"/>
              <w:right w:val="single" w:color="auto" w:sz="4" w:space="0"/>
            </w:tcBorders>
            <w:noWrap/>
            <w:vAlign w:val="bottom"/>
          </w:tcPr>
          <w:p w14:paraId="708C6C08">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992" w:type="dxa"/>
            <w:tcBorders>
              <w:top w:val="nil"/>
              <w:left w:val="nil"/>
              <w:bottom w:val="single" w:color="auto" w:sz="4" w:space="0"/>
              <w:right w:val="single" w:color="auto" w:sz="4" w:space="0"/>
            </w:tcBorders>
            <w:noWrap/>
            <w:vAlign w:val="bottom"/>
          </w:tcPr>
          <w:p w14:paraId="708C6C09">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2000" w:type="dxa"/>
            <w:tcBorders>
              <w:top w:val="nil"/>
              <w:left w:val="nil"/>
              <w:bottom w:val="single" w:color="auto" w:sz="4" w:space="0"/>
              <w:right w:val="single" w:color="auto" w:sz="4" w:space="0"/>
            </w:tcBorders>
            <w:noWrap/>
            <w:vAlign w:val="bottom"/>
          </w:tcPr>
          <w:p w14:paraId="708C6C0A">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1828" w:type="dxa"/>
            <w:tcBorders>
              <w:top w:val="single" w:color="auto" w:sz="4" w:space="0"/>
              <w:left w:val="nil"/>
              <w:bottom w:val="single" w:color="auto" w:sz="4" w:space="0"/>
              <w:right w:val="single" w:color="auto" w:sz="4" w:space="0"/>
            </w:tcBorders>
          </w:tcPr>
          <w:p w14:paraId="708C6C0B">
            <w:pPr>
              <w:rPr>
                <w:color w:val="000000" w:themeColor="text1"/>
                <w:sz w:val="24"/>
                <w:szCs w:val="24"/>
                <w14:textFill>
                  <w14:solidFill>
                    <w14:schemeClr w14:val="tx1"/>
                  </w14:solidFill>
                </w14:textFill>
              </w:rPr>
            </w:pPr>
          </w:p>
        </w:tc>
        <w:tc>
          <w:tcPr>
            <w:tcW w:w="992" w:type="dxa"/>
            <w:tcBorders>
              <w:top w:val="single" w:color="auto" w:sz="4" w:space="0"/>
              <w:left w:val="single" w:color="auto" w:sz="4" w:space="0"/>
              <w:bottom w:val="single" w:color="auto" w:sz="4" w:space="0"/>
              <w:right w:val="single" w:color="auto" w:sz="4" w:space="0"/>
            </w:tcBorders>
            <w:noWrap/>
            <w:vAlign w:val="bottom"/>
          </w:tcPr>
          <w:p w14:paraId="708C6C0C">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r>
      <w:tr w14:paraId="708C6C1A">
        <w:tblPrEx>
          <w:tblCellMar>
            <w:top w:w="0" w:type="dxa"/>
            <w:left w:w="108" w:type="dxa"/>
            <w:bottom w:w="0" w:type="dxa"/>
            <w:right w:w="108" w:type="dxa"/>
          </w:tblCellMar>
        </w:tblPrEx>
        <w:trPr>
          <w:trHeight w:val="930" w:hRule="atLeast"/>
        </w:trPr>
        <w:tc>
          <w:tcPr>
            <w:tcW w:w="601" w:type="dxa"/>
            <w:tcBorders>
              <w:top w:val="nil"/>
              <w:left w:val="single" w:color="auto" w:sz="4" w:space="0"/>
              <w:bottom w:val="single" w:color="auto" w:sz="4" w:space="0"/>
              <w:right w:val="single" w:color="auto" w:sz="4" w:space="0"/>
            </w:tcBorders>
            <w:vAlign w:val="center"/>
          </w:tcPr>
          <w:p w14:paraId="708C6C0E">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n</w:t>
            </w:r>
          </w:p>
        </w:tc>
        <w:tc>
          <w:tcPr>
            <w:tcW w:w="1559" w:type="dxa"/>
            <w:tcBorders>
              <w:top w:val="nil"/>
              <w:left w:val="nil"/>
              <w:bottom w:val="single" w:color="auto" w:sz="4" w:space="0"/>
              <w:right w:val="single" w:color="auto" w:sz="4" w:space="0"/>
            </w:tcBorders>
            <w:vAlign w:val="center"/>
          </w:tcPr>
          <w:p w14:paraId="708C6C0F">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w:t>
            </w:r>
          </w:p>
        </w:tc>
        <w:tc>
          <w:tcPr>
            <w:tcW w:w="1297" w:type="dxa"/>
            <w:gridSpan w:val="2"/>
            <w:tcBorders>
              <w:top w:val="nil"/>
              <w:left w:val="nil"/>
              <w:bottom w:val="single" w:color="auto" w:sz="4" w:space="0"/>
              <w:right w:val="single" w:color="auto" w:sz="4" w:space="0"/>
            </w:tcBorders>
            <w:vAlign w:val="center"/>
          </w:tcPr>
          <w:p w14:paraId="708C6C10">
            <w:pPr>
              <w:rPr>
                <w:color w:val="000000" w:themeColor="text1"/>
                <w:sz w:val="24"/>
                <w:szCs w:val="24"/>
                <w14:textFill>
                  <w14:solidFill>
                    <w14:schemeClr w14:val="tx1"/>
                  </w14:solidFill>
                </w14:textFill>
              </w:rPr>
            </w:pPr>
          </w:p>
        </w:tc>
        <w:tc>
          <w:tcPr>
            <w:tcW w:w="971" w:type="dxa"/>
            <w:tcBorders>
              <w:top w:val="nil"/>
              <w:left w:val="nil"/>
              <w:bottom w:val="single" w:color="auto" w:sz="4" w:space="0"/>
              <w:right w:val="single" w:color="auto" w:sz="4" w:space="0"/>
            </w:tcBorders>
            <w:vAlign w:val="center"/>
          </w:tcPr>
          <w:p w14:paraId="708C6C11">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1236" w:type="dxa"/>
            <w:tcBorders>
              <w:top w:val="nil"/>
              <w:left w:val="nil"/>
              <w:bottom w:val="single" w:color="auto" w:sz="4" w:space="0"/>
              <w:right w:val="single" w:color="auto" w:sz="4" w:space="0"/>
            </w:tcBorders>
            <w:vAlign w:val="center"/>
          </w:tcPr>
          <w:p w14:paraId="708C6C12">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1174" w:type="dxa"/>
            <w:tcBorders>
              <w:top w:val="nil"/>
              <w:left w:val="nil"/>
              <w:bottom w:val="single" w:color="auto" w:sz="4" w:space="0"/>
              <w:right w:val="single" w:color="auto" w:sz="4" w:space="0"/>
            </w:tcBorders>
            <w:vAlign w:val="center"/>
          </w:tcPr>
          <w:p w14:paraId="708C6C13">
            <w:pPr>
              <w:rPr>
                <w:i/>
                <w:iCs/>
                <w:color w:val="000000" w:themeColor="text1"/>
                <w:sz w:val="24"/>
                <w:szCs w:val="24"/>
                <w14:textFill>
                  <w14:solidFill>
                    <w14:schemeClr w14:val="tx1"/>
                  </w14:solidFill>
                </w14:textFill>
              </w:rPr>
            </w:pPr>
            <w:r>
              <w:rPr>
                <w:i/>
                <w:iCs/>
                <w:color w:val="000000" w:themeColor="text1"/>
                <w:sz w:val="24"/>
                <w:szCs w:val="24"/>
                <w14:textFill>
                  <w14:solidFill>
                    <w14:schemeClr w14:val="tx1"/>
                  </w14:solidFill>
                </w14:textFill>
              </w:rPr>
              <w:t> </w:t>
            </w:r>
          </w:p>
        </w:tc>
        <w:tc>
          <w:tcPr>
            <w:tcW w:w="1261" w:type="dxa"/>
            <w:gridSpan w:val="2"/>
            <w:tcBorders>
              <w:top w:val="nil"/>
              <w:left w:val="nil"/>
              <w:bottom w:val="single" w:color="auto" w:sz="4" w:space="0"/>
              <w:right w:val="single" w:color="auto" w:sz="4" w:space="0"/>
            </w:tcBorders>
            <w:noWrap/>
            <w:vAlign w:val="bottom"/>
          </w:tcPr>
          <w:p w14:paraId="708C6C14">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1115" w:type="dxa"/>
            <w:tcBorders>
              <w:top w:val="nil"/>
              <w:left w:val="nil"/>
              <w:bottom w:val="single" w:color="auto" w:sz="4" w:space="0"/>
              <w:right w:val="single" w:color="auto" w:sz="4" w:space="0"/>
            </w:tcBorders>
            <w:noWrap/>
            <w:vAlign w:val="bottom"/>
          </w:tcPr>
          <w:p w14:paraId="708C6C15">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992" w:type="dxa"/>
            <w:tcBorders>
              <w:top w:val="nil"/>
              <w:left w:val="nil"/>
              <w:bottom w:val="single" w:color="auto" w:sz="4" w:space="0"/>
              <w:right w:val="single" w:color="auto" w:sz="4" w:space="0"/>
            </w:tcBorders>
            <w:noWrap/>
            <w:vAlign w:val="bottom"/>
          </w:tcPr>
          <w:p w14:paraId="708C6C16">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2000" w:type="dxa"/>
            <w:tcBorders>
              <w:top w:val="nil"/>
              <w:left w:val="nil"/>
              <w:bottom w:val="single" w:color="auto" w:sz="4" w:space="0"/>
              <w:right w:val="single" w:color="auto" w:sz="4" w:space="0"/>
            </w:tcBorders>
            <w:noWrap/>
            <w:vAlign w:val="bottom"/>
          </w:tcPr>
          <w:p w14:paraId="708C6C17">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1828" w:type="dxa"/>
            <w:tcBorders>
              <w:top w:val="single" w:color="auto" w:sz="4" w:space="0"/>
              <w:left w:val="nil"/>
              <w:bottom w:val="single" w:color="auto" w:sz="4" w:space="0"/>
              <w:right w:val="single" w:color="auto" w:sz="4" w:space="0"/>
            </w:tcBorders>
          </w:tcPr>
          <w:p w14:paraId="708C6C18">
            <w:pPr>
              <w:rPr>
                <w:color w:val="000000" w:themeColor="text1"/>
                <w:sz w:val="24"/>
                <w:szCs w:val="24"/>
                <w14:textFill>
                  <w14:solidFill>
                    <w14:schemeClr w14:val="tx1"/>
                  </w14:solidFill>
                </w14:textFill>
              </w:rPr>
            </w:pPr>
          </w:p>
        </w:tc>
        <w:tc>
          <w:tcPr>
            <w:tcW w:w="992" w:type="dxa"/>
            <w:tcBorders>
              <w:top w:val="single" w:color="auto" w:sz="4" w:space="0"/>
              <w:left w:val="single" w:color="auto" w:sz="4" w:space="0"/>
              <w:bottom w:val="single" w:color="auto" w:sz="4" w:space="0"/>
              <w:right w:val="single" w:color="auto" w:sz="4" w:space="0"/>
            </w:tcBorders>
            <w:noWrap/>
            <w:vAlign w:val="bottom"/>
          </w:tcPr>
          <w:p w14:paraId="708C6C19">
            <w:pP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r>
    </w:tbl>
    <w:p w14:paraId="708C6C1B">
      <w:pPr>
        <w:pStyle w:val="347"/>
        <w:widowControl w:val="0"/>
        <w:shd w:val="clear" w:color="auto" w:fill="FFFFFF"/>
        <w:spacing w:after="120" w:line="264" w:lineRule="auto"/>
        <w:ind w:firstLine="567"/>
        <w:jc w:val="both"/>
        <w:rPr>
          <w:b w:val="0"/>
          <w:i/>
          <w:color w:val="000000" w:themeColor="text1"/>
          <w:sz w:val="26"/>
          <w:szCs w:val="26"/>
          <w14:textFill>
            <w14:solidFill>
              <w14:schemeClr w14:val="tx1"/>
            </w14:solidFill>
          </w14:textFill>
        </w:rPr>
      </w:pPr>
      <w:r>
        <w:rPr>
          <w:b w:val="0"/>
          <w:i/>
          <w:color w:val="000000" w:themeColor="text1"/>
          <w:sz w:val="26"/>
          <w:szCs w:val="26"/>
          <w14:textFill>
            <w14:solidFill>
              <w14:schemeClr w14:val="tx1"/>
            </w14:solidFill>
          </w14:textFill>
        </w:rPr>
        <w:t>The Bidders must attach certified copies of relevant diplomas and certificates.</w:t>
      </w:r>
    </w:p>
    <w:p w14:paraId="708C6C1C">
      <w:pPr>
        <w:pStyle w:val="347"/>
        <w:widowControl w:val="0"/>
        <w:shd w:val="clear" w:color="auto" w:fill="FFFFFF"/>
        <w:spacing w:after="120" w:line="264" w:lineRule="auto"/>
        <w:ind w:firstLine="567"/>
        <w:jc w:val="both"/>
        <w:rPr>
          <w:b w:val="0"/>
          <w:i/>
          <w:color w:val="000000" w:themeColor="text1"/>
          <w:sz w:val="26"/>
          <w:szCs w:val="26"/>
          <w14:textFill>
            <w14:solidFill>
              <w14:schemeClr w14:val="tx1"/>
            </w14:solidFill>
          </w14:textFill>
        </w:rPr>
      </w:pPr>
    </w:p>
    <w:p w14:paraId="708C6C1D">
      <w:pPr>
        <w:pStyle w:val="347"/>
        <w:widowControl w:val="0"/>
        <w:shd w:val="clear" w:color="auto" w:fill="FFFFFF"/>
        <w:spacing w:after="120" w:line="264" w:lineRule="auto"/>
        <w:ind w:firstLine="567"/>
        <w:jc w:val="both"/>
        <w:rPr>
          <w:b w:val="0"/>
          <w:i/>
          <w:color w:val="000000" w:themeColor="text1"/>
          <w:sz w:val="26"/>
          <w:szCs w:val="26"/>
          <w14:textFill>
            <w14:solidFill>
              <w14:schemeClr w14:val="tx1"/>
            </w14:solidFill>
          </w14:textFill>
        </w:rPr>
      </w:pPr>
    </w:p>
    <w:p w14:paraId="708C6C1E">
      <w:pPr>
        <w:pStyle w:val="18"/>
        <w:widowControl w:val="0"/>
        <w:shd w:val="clear" w:color="auto" w:fill="FFFFFF"/>
        <w:spacing w:before="120" w:line="264" w:lineRule="auto"/>
        <w:ind w:left="0" w:firstLine="567"/>
        <w:jc w:val="right"/>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Form 10(b)</w:t>
      </w:r>
    </w:p>
    <w:p w14:paraId="708C6C1F">
      <w:pPr>
        <w:widowControl w:val="0"/>
        <w:shd w:val="clear" w:color="auto" w:fill="FFFFFF"/>
        <w:spacing w:before="120" w:after="120" w:line="264" w:lineRule="auto"/>
        <w:ind w:firstLine="567"/>
        <w:jc w:val="center"/>
        <w:outlineLvl w:val="3"/>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SPECIFIC EXPERIENCE OF PROPOSED PERSONNEL</w:t>
      </w:r>
    </w:p>
    <w:tbl>
      <w:tblPr>
        <w:tblStyle w:val="12"/>
        <w:tblW w:w="14601" w:type="dxa"/>
        <w:tblInd w:w="108" w:type="dxa"/>
        <w:tblLayout w:type="autofit"/>
        <w:tblCellMar>
          <w:top w:w="0" w:type="dxa"/>
          <w:left w:w="108" w:type="dxa"/>
          <w:bottom w:w="0" w:type="dxa"/>
          <w:right w:w="108" w:type="dxa"/>
        </w:tblCellMar>
      </w:tblPr>
      <w:tblGrid>
        <w:gridCol w:w="775"/>
        <w:gridCol w:w="3418"/>
        <w:gridCol w:w="2092"/>
        <w:gridCol w:w="2079"/>
        <w:gridCol w:w="6237"/>
      </w:tblGrid>
      <w:tr w14:paraId="708C6C27">
        <w:tblPrEx>
          <w:tblCellMar>
            <w:top w:w="0" w:type="dxa"/>
            <w:left w:w="108" w:type="dxa"/>
            <w:bottom w:w="0" w:type="dxa"/>
            <w:right w:w="108" w:type="dxa"/>
          </w:tblCellMar>
        </w:tblPrEx>
        <w:trPr>
          <w:trHeight w:val="1785" w:hRule="atLeast"/>
        </w:trPr>
        <w:tc>
          <w:tcPr>
            <w:tcW w:w="775" w:type="dxa"/>
            <w:tcBorders>
              <w:top w:val="single" w:color="auto" w:sz="4" w:space="0"/>
              <w:left w:val="single" w:color="auto" w:sz="4" w:space="0"/>
              <w:bottom w:val="nil"/>
              <w:right w:val="single" w:color="auto" w:sz="4" w:space="0"/>
            </w:tcBorders>
            <w:shd w:val="clear" w:color="000000" w:fill="C6EFCE"/>
            <w:noWrap/>
            <w:vAlign w:val="center"/>
          </w:tcPr>
          <w:p w14:paraId="708C6C20">
            <w:pPr>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No.</w:t>
            </w:r>
          </w:p>
        </w:tc>
        <w:tc>
          <w:tcPr>
            <w:tcW w:w="3418" w:type="dxa"/>
            <w:tcBorders>
              <w:top w:val="single" w:color="auto" w:sz="4" w:space="0"/>
              <w:left w:val="nil"/>
              <w:bottom w:val="nil"/>
              <w:right w:val="single" w:color="auto" w:sz="4" w:space="0"/>
            </w:tcBorders>
            <w:shd w:val="clear" w:color="000000" w:fill="C6EFCE"/>
            <w:vAlign w:val="center"/>
          </w:tcPr>
          <w:p w14:paraId="708C6C21">
            <w:pPr>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Name of Key Personel</w:t>
            </w:r>
          </w:p>
        </w:tc>
        <w:tc>
          <w:tcPr>
            <w:tcW w:w="2092" w:type="dxa"/>
            <w:tcBorders>
              <w:top w:val="single" w:color="auto" w:sz="4" w:space="0"/>
              <w:left w:val="nil"/>
              <w:bottom w:val="nil"/>
              <w:right w:val="single" w:color="auto" w:sz="4" w:space="0"/>
            </w:tcBorders>
            <w:shd w:val="clear" w:color="000000" w:fill="C6EFCE"/>
            <w:vAlign w:val="center"/>
          </w:tcPr>
          <w:p w14:paraId="708C6C22">
            <w:pPr>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From …day</w:t>
            </w:r>
          </w:p>
        </w:tc>
        <w:tc>
          <w:tcPr>
            <w:tcW w:w="2079" w:type="dxa"/>
            <w:tcBorders>
              <w:top w:val="single" w:color="auto" w:sz="4" w:space="0"/>
              <w:left w:val="nil"/>
              <w:bottom w:val="nil"/>
              <w:right w:val="single" w:color="auto" w:sz="4" w:space="0"/>
            </w:tcBorders>
            <w:shd w:val="clear" w:color="000000" w:fill="C6EFCE"/>
            <w:vAlign w:val="center"/>
          </w:tcPr>
          <w:p w14:paraId="708C6C23">
            <w:pPr>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To…. day</w:t>
            </w:r>
          </w:p>
        </w:tc>
        <w:tc>
          <w:tcPr>
            <w:tcW w:w="6237" w:type="dxa"/>
            <w:tcBorders>
              <w:top w:val="single" w:color="auto" w:sz="4" w:space="0"/>
              <w:left w:val="nil"/>
              <w:bottom w:val="nil"/>
              <w:right w:val="single" w:color="auto" w:sz="4" w:space="0"/>
            </w:tcBorders>
            <w:shd w:val="clear" w:color="000000" w:fill="C6EFCE"/>
            <w:vAlign w:val="center"/>
          </w:tcPr>
          <w:p w14:paraId="708C6C24">
            <w:pPr>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Company/Project/Position/</w:t>
            </w:r>
          </w:p>
          <w:p w14:paraId="708C6C25">
            <w:pPr>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Professional experience and</w:t>
            </w:r>
          </w:p>
          <w:p w14:paraId="708C6C26">
            <w:pPr>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relevant management</w:t>
            </w:r>
          </w:p>
        </w:tc>
      </w:tr>
      <w:tr w14:paraId="708C6C2E">
        <w:tblPrEx>
          <w:tblCellMar>
            <w:top w:w="0" w:type="dxa"/>
            <w:left w:w="108" w:type="dxa"/>
            <w:bottom w:w="0" w:type="dxa"/>
            <w:right w:w="108" w:type="dxa"/>
          </w:tblCellMar>
        </w:tblPrEx>
        <w:trPr>
          <w:trHeight w:val="585" w:hRule="atLeast"/>
        </w:trPr>
        <w:tc>
          <w:tcPr>
            <w:tcW w:w="775" w:type="dxa"/>
            <w:vMerge w:val="restart"/>
            <w:tcBorders>
              <w:top w:val="single" w:color="auto" w:sz="4" w:space="0"/>
              <w:left w:val="single" w:color="auto" w:sz="4" w:space="0"/>
              <w:right w:val="single" w:color="auto" w:sz="4" w:space="0"/>
            </w:tcBorders>
            <w:noWrap/>
            <w:vAlign w:val="center"/>
          </w:tcPr>
          <w:p w14:paraId="708C6C28">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w:t>
            </w:r>
          </w:p>
        </w:tc>
        <w:tc>
          <w:tcPr>
            <w:tcW w:w="3418" w:type="dxa"/>
            <w:vMerge w:val="restart"/>
            <w:tcBorders>
              <w:top w:val="single" w:color="auto" w:sz="4" w:space="0"/>
              <w:left w:val="nil"/>
              <w:right w:val="single" w:color="auto" w:sz="4" w:space="0"/>
            </w:tcBorders>
            <w:noWrap/>
            <w:vAlign w:val="bottom"/>
          </w:tcPr>
          <w:p w14:paraId="708C6C29">
            <w:pPr>
              <w:jc w:val="center"/>
              <w:rPr>
                <w:color w:val="000000" w:themeColor="text1"/>
                <w:sz w:val="24"/>
                <w:szCs w:val="24"/>
                <w14:textFill>
                  <w14:solidFill>
                    <w14:schemeClr w14:val="tx1"/>
                  </w14:solidFill>
                </w14:textFill>
              </w:rPr>
            </w:pPr>
          </w:p>
          <w:p w14:paraId="708C6C2A">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2092" w:type="dxa"/>
            <w:tcBorders>
              <w:top w:val="single" w:color="auto" w:sz="4" w:space="0"/>
              <w:left w:val="nil"/>
              <w:bottom w:val="single" w:color="auto" w:sz="4" w:space="0"/>
              <w:right w:val="single" w:color="auto" w:sz="4" w:space="0"/>
            </w:tcBorders>
            <w:vAlign w:val="center"/>
          </w:tcPr>
          <w:p w14:paraId="708C6C2B">
            <w:pPr>
              <w:rPr>
                <w:i/>
                <w:iCs/>
                <w:color w:val="000000" w:themeColor="text1"/>
                <w:sz w:val="24"/>
                <w:szCs w:val="24"/>
                <w14:textFill>
                  <w14:solidFill>
                    <w14:schemeClr w14:val="tx1"/>
                  </w14:solidFill>
                </w14:textFill>
              </w:rPr>
            </w:pPr>
            <w:r>
              <w:rPr>
                <w:i/>
                <w:iCs/>
                <w:color w:val="000000" w:themeColor="text1"/>
                <w:sz w:val="24"/>
                <w:szCs w:val="24"/>
                <w14:textFill>
                  <w14:solidFill>
                    <w14:schemeClr w14:val="tx1"/>
                  </w14:solidFill>
                </w14:textFill>
              </w:rPr>
              <w:t> …</w:t>
            </w:r>
          </w:p>
        </w:tc>
        <w:tc>
          <w:tcPr>
            <w:tcW w:w="2079" w:type="dxa"/>
            <w:tcBorders>
              <w:top w:val="single" w:color="auto" w:sz="4" w:space="0"/>
              <w:left w:val="nil"/>
              <w:bottom w:val="single" w:color="auto" w:sz="4" w:space="0"/>
              <w:right w:val="single" w:color="auto" w:sz="4" w:space="0"/>
            </w:tcBorders>
            <w:vAlign w:val="center"/>
          </w:tcPr>
          <w:p w14:paraId="708C6C2C">
            <w:pPr>
              <w:rPr>
                <w:i/>
                <w:iCs/>
                <w:color w:val="000000" w:themeColor="text1"/>
                <w:sz w:val="24"/>
                <w:szCs w:val="24"/>
                <w14:textFill>
                  <w14:solidFill>
                    <w14:schemeClr w14:val="tx1"/>
                  </w14:solidFill>
                </w14:textFill>
              </w:rPr>
            </w:pPr>
            <w:r>
              <w:rPr>
                <w:i/>
                <w:iCs/>
                <w:color w:val="000000" w:themeColor="text1"/>
                <w:sz w:val="24"/>
                <w:szCs w:val="24"/>
                <w14:textFill>
                  <w14:solidFill>
                    <w14:schemeClr w14:val="tx1"/>
                  </w14:solidFill>
                </w14:textFill>
              </w:rPr>
              <w:t> …</w:t>
            </w:r>
          </w:p>
        </w:tc>
        <w:tc>
          <w:tcPr>
            <w:tcW w:w="6237" w:type="dxa"/>
            <w:tcBorders>
              <w:top w:val="single" w:color="auto" w:sz="4" w:space="0"/>
              <w:left w:val="nil"/>
              <w:bottom w:val="single" w:color="auto" w:sz="4" w:space="0"/>
              <w:right w:val="single" w:color="auto" w:sz="4" w:space="0"/>
            </w:tcBorders>
            <w:vAlign w:val="center"/>
          </w:tcPr>
          <w:p w14:paraId="708C6C2D">
            <w:pPr>
              <w:rPr>
                <w:i/>
                <w:iCs/>
                <w:color w:val="000000" w:themeColor="text1"/>
                <w:sz w:val="24"/>
                <w:szCs w:val="24"/>
                <w14:textFill>
                  <w14:solidFill>
                    <w14:schemeClr w14:val="tx1"/>
                  </w14:solidFill>
                </w14:textFill>
              </w:rPr>
            </w:pPr>
            <w:r>
              <w:rPr>
                <w:i/>
                <w:iCs/>
                <w:color w:val="000000" w:themeColor="text1"/>
                <w:sz w:val="24"/>
                <w:szCs w:val="24"/>
                <w14:textFill>
                  <w14:solidFill>
                    <w14:schemeClr w14:val="tx1"/>
                  </w14:solidFill>
                </w14:textFill>
              </w:rPr>
              <w:t> …</w:t>
            </w:r>
          </w:p>
        </w:tc>
      </w:tr>
      <w:tr w14:paraId="708C6C34">
        <w:tblPrEx>
          <w:tblCellMar>
            <w:top w:w="0" w:type="dxa"/>
            <w:left w:w="108" w:type="dxa"/>
            <w:bottom w:w="0" w:type="dxa"/>
            <w:right w:w="108" w:type="dxa"/>
          </w:tblCellMar>
        </w:tblPrEx>
        <w:trPr>
          <w:trHeight w:val="585" w:hRule="atLeast"/>
        </w:trPr>
        <w:tc>
          <w:tcPr>
            <w:tcW w:w="775" w:type="dxa"/>
            <w:vMerge w:val="continue"/>
            <w:tcBorders>
              <w:left w:val="single" w:color="auto" w:sz="4" w:space="0"/>
              <w:right w:val="single" w:color="auto" w:sz="4" w:space="0"/>
            </w:tcBorders>
            <w:noWrap/>
            <w:vAlign w:val="center"/>
          </w:tcPr>
          <w:p w14:paraId="708C6C2F">
            <w:pPr>
              <w:jc w:val="center"/>
              <w:rPr>
                <w:color w:val="000000" w:themeColor="text1"/>
                <w:sz w:val="24"/>
                <w:szCs w:val="24"/>
                <w14:textFill>
                  <w14:solidFill>
                    <w14:schemeClr w14:val="tx1"/>
                  </w14:solidFill>
                </w14:textFill>
              </w:rPr>
            </w:pPr>
          </w:p>
        </w:tc>
        <w:tc>
          <w:tcPr>
            <w:tcW w:w="3418" w:type="dxa"/>
            <w:vMerge w:val="continue"/>
            <w:tcBorders>
              <w:left w:val="nil"/>
              <w:right w:val="single" w:color="auto" w:sz="4" w:space="0"/>
            </w:tcBorders>
            <w:noWrap/>
            <w:vAlign w:val="bottom"/>
          </w:tcPr>
          <w:p w14:paraId="708C6C30">
            <w:pPr>
              <w:jc w:val="center"/>
              <w:rPr>
                <w:color w:val="000000" w:themeColor="text1"/>
                <w:sz w:val="24"/>
                <w:szCs w:val="24"/>
                <w14:textFill>
                  <w14:solidFill>
                    <w14:schemeClr w14:val="tx1"/>
                  </w14:solidFill>
                </w14:textFill>
              </w:rPr>
            </w:pPr>
          </w:p>
        </w:tc>
        <w:tc>
          <w:tcPr>
            <w:tcW w:w="2092" w:type="dxa"/>
            <w:tcBorders>
              <w:top w:val="nil"/>
              <w:left w:val="nil"/>
              <w:bottom w:val="single" w:color="auto" w:sz="4" w:space="0"/>
              <w:right w:val="single" w:color="auto" w:sz="4" w:space="0"/>
            </w:tcBorders>
            <w:vAlign w:val="center"/>
          </w:tcPr>
          <w:p w14:paraId="708C6C31">
            <w:pPr>
              <w:rPr>
                <w:i/>
                <w:iCs/>
                <w:color w:val="000000" w:themeColor="text1"/>
                <w:sz w:val="24"/>
                <w:szCs w:val="24"/>
                <w14:textFill>
                  <w14:solidFill>
                    <w14:schemeClr w14:val="tx1"/>
                  </w14:solidFill>
                </w14:textFill>
              </w:rPr>
            </w:pPr>
            <w:r>
              <w:rPr>
                <w:i/>
                <w:iCs/>
                <w:color w:val="000000" w:themeColor="text1"/>
                <w:sz w:val="24"/>
                <w:szCs w:val="24"/>
                <w14:textFill>
                  <w14:solidFill>
                    <w14:schemeClr w14:val="tx1"/>
                  </w14:solidFill>
                </w14:textFill>
              </w:rPr>
              <w:t> </w:t>
            </w:r>
          </w:p>
        </w:tc>
        <w:tc>
          <w:tcPr>
            <w:tcW w:w="2079" w:type="dxa"/>
            <w:tcBorders>
              <w:top w:val="nil"/>
              <w:left w:val="nil"/>
              <w:bottom w:val="single" w:color="auto" w:sz="4" w:space="0"/>
              <w:right w:val="single" w:color="auto" w:sz="4" w:space="0"/>
            </w:tcBorders>
            <w:vAlign w:val="center"/>
          </w:tcPr>
          <w:p w14:paraId="708C6C32">
            <w:pPr>
              <w:rPr>
                <w:i/>
                <w:iCs/>
                <w:color w:val="000000" w:themeColor="text1"/>
                <w:sz w:val="24"/>
                <w:szCs w:val="24"/>
                <w14:textFill>
                  <w14:solidFill>
                    <w14:schemeClr w14:val="tx1"/>
                  </w14:solidFill>
                </w14:textFill>
              </w:rPr>
            </w:pPr>
            <w:r>
              <w:rPr>
                <w:i/>
                <w:iCs/>
                <w:color w:val="000000" w:themeColor="text1"/>
                <w:sz w:val="24"/>
                <w:szCs w:val="24"/>
                <w14:textFill>
                  <w14:solidFill>
                    <w14:schemeClr w14:val="tx1"/>
                  </w14:solidFill>
                </w14:textFill>
              </w:rPr>
              <w:t> </w:t>
            </w:r>
          </w:p>
        </w:tc>
        <w:tc>
          <w:tcPr>
            <w:tcW w:w="6237" w:type="dxa"/>
            <w:tcBorders>
              <w:top w:val="nil"/>
              <w:left w:val="nil"/>
              <w:bottom w:val="single" w:color="auto" w:sz="4" w:space="0"/>
              <w:right w:val="single" w:color="auto" w:sz="4" w:space="0"/>
            </w:tcBorders>
            <w:vAlign w:val="center"/>
          </w:tcPr>
          <w:p w14:paraId="708C6C33">
            <w:pPr>
              <w:rPr>
                <w:i/>
                <w:iCs/>
                <w:color w:val="000000" w:themeColor="text1"/>
                <w:sz w:val="24"/>
                <w:szCs w:val="24"/>
                <w14:textFill>
                  <w14:solidFill>
                    <w14:schemeClr w14:val="tx1"/>
                  </w14:solidFill>
                </w14:textFill>
              </w:rPr>
            </w:pPr>
            <w:r>
              <w:rPr>
                <w:i/>
                <w:iCs/>
                <w:color w:val="000000" w:themeColor="text1"/>
                <w:sz w:val="24"/>
                <w:szCs w:val="24"/>
                <w14:textFill>
                  <w14:solidFill>
                    <w14:schemeClr w14:val="tx1"/>
                  </w14:solidFill>
                </w14:textFill>
              </w:rPr>
              <w:t> </w:t>
            </w:r>
          </w:p>
        </w:tc>
      </w:tr>
      <w:tr w14:paraId="708C6C3A">
        <w:tblPrEx>
          <w:tblCellMar>
            <w:top w:w="0" w:type="dxa"/>
            <w:left w:w="108" w:type="dxa"/>
            <w:bottom w:w="0" w:type="dxa"/>
            <w:right w:w="108" w:type="dxa"/>
          </w:tblCellMar>
        </w:tblPrEx>
        <w:trPr>
          <w:trHeight w:val="585" w:hRule="atLeast"/>
        </w:trPr>
        <w:tc>
          <w:tcPr>
            <w:tcW w:w="775" w:type="dxa"/>
            <w:vMerge w:val="continue"/>
            <w:tcBorders>
              <w:left w:val="single" w:color="auto" w:sz="4" w:space="0"/>
              <w:bottom w:val="single" w:color="auto" w:sz="4" w:space="0"/>
              <w:right w:val="single" w:color="auto" w:sz="4" w:space="0"/>
            </w:tcBorders>
            <w:noWrap/>
            <w:vAlign w:val="center"/>
          </w:tcPr>
          <w:p w14:paraId="708C6C35">
            <w:pPr>
              <w:jc w:val="center"/>
              <w:rPr>
                <w:color w:val="000000" w:themeColor="text1"/>
                <w:sz w:val="24"/>
                <w:szCs w:val="24"/>
                <w14:textFill>
                  <w14:solidFill>
                    <w14:schemeClr w14:val="tx1"/>
                  </w14:solidFill>
                </w14:textFill>
              </w:rPr>
            </w:pPr>
          </w:p>
        </w:tc>
        <w:tc>
          <w:tcPr>
            <w:tcW w:w="3418" w:type="dxa"/>
            <w:vMerge w:val="continue"/>
            <w:tcBorders>
              <w:left w:val="nil"/>
              <w:bottom w:val="single" w:color="auto" w:sz="4" w:space="0"/>
              <w:right w:val="single" w:color="auto" w:sz="4" w:space="0"/>
            </w:tcBorders>
            <w:noWrap/>
            <w:vAlign w:val="bottom"/>
          </w:tcPr>
          <w:p w14:paraId="708C6C36">
            <w:pPr>
              <w:jc w:val="center"/>
              <w:rPr>
                <w:color w:val="000000" w:themeColor="text1"/>
                <w:sz w:val="24"/>
                <w:szCs w:val="24"/>
                <w14:textFill>
                  <w14:solidFill>
                    <w14:schemeClr w14:val="tx1"/>
                  </w14:solidFill>
                </w14:textFill>
              </w:rPr>
            </w:pPr>
          </w:p>
        </w:tc>
        <w:tc>
          <w:tcPr>
            <w:tcW w:w="2092" w:type="dxa"/>
            <w:tcBorders>
              <w:top w:val="nil"/>
              <w:left w:val="nil"/>
              <w:bottom w:val="single" w:color="auto" w:sz="4" w:space="0"/>
              <w:right w:val="single" w:color="auto" w:sz="4" w:space="0"/>
            </w:tcBorders>
            <w:vAlign w:val="center"/>
          </w:tcPr>
          <w:p w14:paraId="708C6C37">
            <w:pPr>
              <w:rPr>
                <w:i/>
                <w:iCs/>
                <w:color w:val="000000" w:themeColor="text1"/>
                <w:sz w:val="24"/>
                <w:szCs w:val="24"/>
                <w14:textFill>
                  <w14:solidFill>
                    <w14:schemeClr w14:val="tx1"/>
                  </w14:solidFill>
                </w14:textFill>
              </w:rPr>
            </w:pPr>
            <w:r>
              <w:rPr>
                <w:i/>
                <w:iCs/>
                <w:color w:val="000000" w:themeColor="text1"/>
                <w:sz w:val="24"/>
                <w:szCs w:val="24"/>
                <w14:textFill>
                  <w14:solidFill>
                    <w14:schemeClr w14:val="tx1"/>
                  </w14:solidFill>
                </w14:textFill>
              </w:rPr>
              <w:t> </w:t>
            </w:r>
          </w:p>
        </w:tc>
        <w:tc>
          <w:tcPr>
            <w:tcW w:w="2079" w:type="dxa"/>
            <w:tcBorders>
              <w:top w:val="nil"/>
              <w:left w:val="nil"/>
              <w:bottom w:val="single" w:color="auto" w:sz="4" w:space="0"/>
              <w:right w:val="single" w:color="auto" w:sz="4" w:space="0"/>
            </w:tcBorders>
            <w:vAlign w:val="center"/>
          </w:tcPr>
          <w:p w14:paraId="708C6C38">
            <w:pPr>
              <w:rPr>
                <w:i/>
                <w:iCs/>
                <w:color w:val="000000" w:themeColor="text1"/>
                <w:sz w:val="24"/>
                <w:szCs w:val="24"/>
                <w14:textFill>
                  <w14:solidFill>
                    <w14:schemeClr w14:val="tx1"/>
                  </w14:solidFill>
                </w14:textFill>
              </w:rPr>
            </w:pPr>
            <w:r>
              <w:rPr>
                <w:i/>
                <w:iCs/>
                <w:color w:val="000000" w:themeColor="text1"/>
                <w:sz w:val="24"/>
                <w:szCs w:val="24"/>
                <w14:textFill>
                  <w14:solidFill>
                    <w14:schemeClr w14:val="tx1"/>
                  </w14:solidFill>
                </w14:textFill>
              </w:rPr>
              <w:t> </w:t>
            </w:r>
          </w:p>
        </w:tc>
        <w:tc>
          <w:tcPr>
            <w:tcW w:w="6237" w:type="dxa"/>
            <w:tcBorders>
              <w:top w:val="nil"/>
              <w:left w:val="nil"/>
              <w:bottom w:val="single" w:color="auto" w:sz="4" w:space="0"/>
              <w:right w:val="single" w:color="auto" w:sz="4" w:space="0"/>
            </w:tcBorders>
            <w:vAlign w:val="center"/>
          </w:tcPr>
          <w:p w14:paraId="708C6C39">
            <w:pPr>
              <w:rPr>
                <w:i/>
                <w:iCs/>
                <w:color w:val="000000" w:themeColor="text1"/>
                <w:sz w:val="24"/>
                <w:szCs w:val="24"/>
                <w14:textFill>
                  <w14:solidFill>
                    <w14:schemeClr w14:val="tx1"/>
                  </w14:solidFill>
                </w14:textFill>
              </w:rPr>
            </w:pPr>
            <w:r>
              <w:rPr>
                <w:i/>
                <w:iCs/>
                <w:color w:val="000000" w:themeColor="text1"/>
                <w:sz w:val="24"/>
                <w:szCs w:val="24"/>
                <w14:textFill>
                  <w14:solidFill>
                    <w14:schemeClr w14:val="tx1"/>
                  </w14:solidFill>
                </w14:textFill>
              </w:rPr>
              <w:t> </w:t>
            </w:r>
          </w:p>
        </w:tc>
      </w:tr>
      <w:tr w14:paraId="708C6C40">
        <w:tblPrEx>
          <w:tblCellMar>
            <w:top w:w="0" w:type="dxa"/>
            <w:left w:w="108" w:type="dxa"/>
            <w:bottom w:w="0" w:type="dxa"/>
            <w:right w:w="108" w:type="dxa"/>
          </w:tblCellMar>
        </w:tblPrEx>
        <w:trPr>
          <w:trHeight w:val="585" w:hRule="atLeast"/>
        </w:trPr>
        <w:tc>
          <w:tcPr>
            <w:tcW w:w="775" w:type="dxa"/>
            <w:vMerge w:val="restart"/>
            <w:tcBorders>
              <w:top w:val="single" w:color="auto" w:sz="4" w:space="0"/>
              <w:left w:val="single" w:color="auto" w:sz="4" w:space="0"/>
              <w:right w:val="single" w:color="auto" w:sz="4" w:space="0"/>
            </w:tcBorders>
            <w:noWrap/>
            <w:vAlign w:val="center"/>
          </w:tcPr>
          <w:p w14:paraId="708C6C3B">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w:t>
            </w:r>
          </w:p>
        </w:tc>
        <w:tc>
          <w:tcPr>
            <w:tcW w:w="3418" w:type="dxa"/>
            <w:vMerge w:val="restart"/>
            <w:tcBorders>
              <w:top w:val="single" w:color="auto" w:sz="4" w:space="0"/>
              <w:left w:val="nil"/>
              <w:right w:val="single" w:color="auto" w:sz="4" w:space="0"/>
            </w:tcBorders>
            <w:noWrap/>
            <w:vAlign w:val="bottom"/>
          </w:tcPr>
          <w:p w14:paraId="708C6C3C">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w:t>
            </w:r>
          </w:p>
        </w:tc>
        <w:tc>
          <w:tcPr>
            <w:tcW w:w="2092" w:type="dxa"/>
            <w:tcBorders>
              <w:top w:val="single" w:color="auto" w:sz="4" w:space="0"/>
              <w:left w:val="nil"/>
              <w:bottom w:val="single" w:color="auto" w:sz="4" w:space="0"/>
              <w:right w:val="single" w:color="auto" w:sz="4" w:space="0"/>
            </w:tcBorders>
            <w:vAlign w:val="center"/>
          </w:tcPr>
          <w:p w14:paraId="708C6C3D">
            <w:pPr>
              <w:rPr>
                <w:i/>
                <w:iCs/>
                <w:color w:val="000000" w:themeColor="text1"/>
                <w:sz w:val="24"/>
                <w:szCs w:val="24"/>
                <w14:textFill>
                  <w14:solidFill>
                    <w14:schemeClr w14:val="tx1"/>
                  </w14:solidFill>
                </w14:textFill>
              </w:rPr>
            </w:pPr>
            <w:r>
              <w:rPr>
                <w:i/>
                <w:iCs/>
                <w:color w:val="000000" w:themeColor="text1"/>
                <w:sz w:val="24"/>
                <w:szCs w:val="24"/>
                <w14:textFill>
                  <w14:solidFill>
                    <w14:schemeClr w14:val="tx1"/>
                  </w14:solidFill>
                </w14:textFill>
              </w:rPr>
              <w:t> </w:t>
            </w:r>
          </w:p>
        </w:tc>
        <w:tc>
          <w:tcPr>
            <w:tcW w:w="2079" w:type="dxa"/>
            <w:tcBorders>
              <w:top w:val="single" w:color="auto" w:sz="4" w:space="0"/>
              <w:left w:val="nil"/>
              <w:bottom w:val="single" w:color="auto" w:sz="4" w:space="0"/>
              <w:right w:val="single" w:color="auto" w:sz="4" w:space="0"/>
            </w:tcBorders>
            <w:vAlign w:val="center"/>
          </w:tcPr>
          <w:p w14:paraId="708C6C3E">
            <w:pPr>
              <w:rPr>
                <w:i/>
                <w:iCs/>
                <w:color w:val="000000" w:themeColor="text1"/>
                <w:sz w:val="24"/>
                <w:szCs w:val="24"/>
                <w14:textFill>
                  <w14:solidFill>
                    <w14:schemeClr w14:val="tx1"/>
                  </w14:solidFill>
                </w14:textFill>
              </w:rPr>
            </w:pPr>
            <w:r>
              <w:rPr>
                <w:i/>
                <w:iCs/>
                <w:color w:val="000000" w:themeColor="text1"/>
                <w:sz w:val="24"/>
                <w:szCs w:val="24"/>
                <w14:textFill>
                  <w14:solidFill>
                    <w14:schemeClr w14:val="tx1"/>
                  </w14:solidFill>
                </w14:textFill>
              </w:rPr>
              <w:t> </w:t>
            </w:r>
          </w:p>
        </w:tc>
        <w:tc>
          <w:tcPr>
            <w:tcW w:w="6237" w:type="dxa"/>
            <w:tcBorders>
              <w:top w:val="single" w:color="auto" w:sz="4" w:space="0"/>
              <w:left w:val="nil"/>
              <w:bottom w:val="single" w:color="auto" w:sz="4" w:space="0"/>
              <w:right w:val="single" w:color="auto" w:sz="4" w:space="0"/>
            </w:tcBorders>
            <w:vAlign w:val="center"/>
          </w:tcPr>
          <w:p w14:paraId="708C6C3F">
            <w:pPr>
              <w:rPr>
                <w:i/>
                <w:iCs/>
                <w:color w:val="000000" w:themeColor="text1"/>
                <w:sz w:val="24"/>
                <w:szCs w:val="24"/>
                <w14:textFill>
                  <w14:solidFill>
                    <w14:schemeClr w14:val="tx1"/>
                  </w14:solidFill>
                </w14:textFill>
              </w:rPr>
            </w:pPr>
            <w:r>
              <w:rPr>
                <w:i/>
                <w:iCs/>
                <w:color w:val="000000" w:themeColor="text1"/>
                <w:sz w:val="24"/>
                <w:szCs w:val="24"/>
                <w14:textFill>
                  <w14:solidFill>
                    <w14:schemeClr w14:val="tx1"/>
                  </w14:solidFill>
                </w14:textFill>
              </w:rPr>
              <w:t> </w:t>
            </w:r>
          </w:p>
        </w:tc>
      </w:tr>
      <w:tr w14:paraId="708C6C46">
        <w:tblPrEx>
          <w:tblCellMar>
            <w:top w:w="0" w:type="dxa"/>
            <w:left w:w="108" w:type="dxa"/>
            <w:bottom w:w="0" w:type="dxa"/>
            <w:right w:w="108" w:type="dxa"/>
          </w:tblCellMar>
        </w:tblPrEx>
        <w:trPr>
          <w:trHeight w:val="585" w:hRule="atLeast"/>
        </w:trPr>
        <w:tc>
          <w:tcPr>
            <w:tcW w:w="775" w:type="dxa"/>
            <w:vMerge w:val="continue"/>
            <w:tcBorders>
              <w:left w:val="single" w:color="auto" w:sz="4" w:space="0"/>
              <w:right w:val="single" w:color="auto" w:sz="4" w:space="0"/>
            </w:tcBorders>
            <w:noWrap/>
            <w:vAlign w:val="bottom"/>
          </w:tcPr>
          <w:p w14:paraId="708C6C41">
            <w:pPr>
              <w:jc w:val="center"/>
              <w:rPr>
                <w:color w:val="000000" w:themeColor="text1"/>
                <w:sz w:val="24"/>
                <w:szCs w:val="24"/>
                <w14:textFill>
                  <w14:solidFill>
                    <w14:schemeClr w14:val="tx1"/>
                  </w14:solidFill>
                </w14:textFill>
              </w:rPr>
            </w:pPr>
          </w:p>
        </w:tc>
        <w:tc>
          <w:tcPr>
            <w:tcW w:w="3418" w:type="dxa"/>
            <w:vMerge w:val="continue"/>
            <w:tcBorders>
              <w:left w:val="nil"/>
              <w:right w:val="single" w:color="auto" w:sz="4" w:space="0"/>
            </w:tcBorders>
            <w:noWrap/>
            <w:vAlign w:val="bottom"/>
          </w:tcPr>
          <w:p w14:paraId="708C6C42">
            <w:pPr>
              <w:jc w:val="center"/>
              <w:rPr>
                <w:color w:val="000000" w:themeColor="text1"/>
                <w:sz w:val="24"/>
                <w:szCs w:val="24"/>
                <w14:textFill>
                  <w14:solidFill>
                    <w14:schemeClr w14:val="tx1"/>
                  </w14:solidFill>
                </w14:textFill>
              </w:rPr>
            </w:pPr>
          </w:p>
        </w:tc>
        <w:tc>
          <w:tcPr>
            <w:tcW w:w="2092" w:type="dxa"/>
            <w:tcBorders>
              <w:top w:val="single" w:color="auto" w:sz="4" w:space="0"/>
              <w:left w:val="nil"/>
              <w:bottom w:val="single" w:color="auto" w:sz="4" w:space="0"/>
              <w:right w:val="single" w:color="auto" w:sz="4" w:space="0"/>
            </w:tcBorders>
            <w:vAlign w:val="center"/>
          </w:tcPr>
          <w:p w14:paraId="708C6C43">
            <w:pPr>
              <w:rPr>
                <w:i/>
                <w:iCs/>
                <w:color w:val="000000" w:themeColor="text1"/>
                <w:sz w:val="24"/>
                <w:szCs w:val="24"/>
                <w14:textFill>
                  <w14:solidFill>
                    <w14:schemeClr w14:val="tx1"/>
                  </w14:solidFill>
                </w14:textFill>
              </w:rPr>
            </w:pPr>
          </w:p>
        </w:tc>
        <w:tc>
          <w:tcPr>
            <w:tcW w:w="2079" w:type="dxa"/>
            <w:tcBorders>
              <w:top w:val="single" w:color="auto" w:sz="4" w:space="0"/>
              <w:left w:val="nil"/>
              <w:bottom w:val="single" w:color="auto" w:sz="4" w:space="0"/>
              <w:right w:val="single" w:color="auto" w:sz="4" w:space="0"/>
            </w:tcBorders>
            <w:vAlign w:val="center"/>
          </w:tcPr>
          <w:p w14:paraId="708C6C44">
            <w:pPr>
              <w:rPr>
                <w:i/>
                <w:iCs/>
                <w:color w:val="000000" w:themeColor="text1"/>
                <w:sz w:val="24"/>
                <w:szCs w:val="24"/>
                <w14:textFill>
                  <w14:solidFill>
                    <w14:schemeClr w14:val="tx1"/>
                  </w14:solidFill>
                </w14:textFill>
              </w:rPr>
            </w:pPr>
          </w:p>
        </w:tc>
        <w:tc>
          <w:tcPr>
            <w:tcW w:w="6237" w:type="dxa"/>
            <w:tcBorders>
              <w:top w:val="single" w:color="auto" w:sz="4" w:space="0"/>
              <w:left w:val="nil"/>
              <w:bottom w:val="single" w:color="auto" w:sz="4" w:space="0"/>
              <w:right w:val="single" w:color="auto" w:sz="4" w:space="0"/>
            </w:tcBorders>
            <w:vAlign w:val="center"/>
          </w:tcPr>
          <w:p w14:paraId="708C6C45">
            <w:pPr>
              <w:rPr>
                <w:i/>
                <w:iCs/>
                <w:color w:val="000000" w:themeColor="text1"/>
                <w:sz w:val="24"/>
                <w:szCs w:val="24"/>
                <w14:textFill>
                  <w14:solidFill>
                    <w14:schemeClr w14:val="tx1"/>
                  </w14:solidFill>
                </w14:textFill>
              </w:rPr>
            </w:pPr>
          </w:p>
        </w:tc>
      </w:tr>
      <w:tr w14:paraId="708C6C4C">
        <w:tblPrEx>
          <w:tblCellMar>
            <w:top w:w="0" w:type="dxa"/>
            <w:left w:w="108" w:type="dxa"/>
            <w:bottom w:w="0" w:type="dxa"/>
            <w:right w:w="108" w:type="dxa"/>
          </w:tblCellMar>
        </w:tblPrEx>
        <w:trPr>
          <w:trHeight w:val="585" w:hRule="atLeast"/>
        </w:trPr>
        <w:tc>
          <w:tcPr>
            <w:tcW w:w="775" w:type="dxa"/>
            <w:vMerge w:val="continue"/>
            <w:tcBorders>
              <w:left w:val="single" w:color="auto" w:sz="4" w:space="0"/>
              <w:bottom w:val="single" w:color="auto" w:sz="4" w:space="0"/>
              <w:right w:val="single" w:color="auto" w:sz="4" w:space="0"/>
            </w:tcBorders>
            <w:noWrap/>
            <w:vAlign w:val="bottom"/>
          </w:tcPr>
          <w:p w14:paraId="708C6C47">
            <w:pPr>
              <w:jc w:val="center"/>
              <w:rPr>
                <w:color w:val="000000" w:themeColor="text1"/>
                <w:sz w:val="24"/>
                <w:szCs w:val="24"/>
                <w14:textFill>
                  <w14:solidFill>
                    <w14:schemeClr w14:val="tx1"/>
                  </w14:solidFill>
                </w14:textFill>
              </w:rPr>
            </w:pPr>
          </w:p>
        </w:tc>
        <w:tc>
          <w:tcPr>
            <w:tcW w:w="3418" w:type="dxa"/>
            <w:vMerge w:val="continue"/>
            <w:tcBorders>
              <w:left w:val="nil"/>
              <w:bottom w:val="single" w:color="auto" w:sz="4" w:space="0"/>
              <w:right w:val="single" w:color="auto" w:sz="4" w:space="0"/>
            </w:tcBorders>
            <w:noWrap/>
            <w:vAlign w:val="bottom"/>
          </w:tcPr>
          <w:p w14:paraId="708C6C48">
            <w:pPr>
              <w:jc w:val="center"/>
              <w:rPr>
                <w:color w:val="000000" w:themeColor="text1"/>
                <w:sz w:val="24"/>
                <w:szCs w:val="24"/>
                <w14:textFill>
                  <w14:solidFill>
                    <w14:schemeClr w14:val="tx1"/>
                  </w14:solidFill>
                </w14:textFill>
              </w:rPr>
            </w:pPr>
          </w:p>
        </w:tc>
        <w:tc>
          <w:tcPr>
            <w:tcW w:w="2092" w:type="dxa"/>
            <w:tcBorders>
              <w:top w:val="single" w:color="auto" w:sz="4" w:space="0"/>
              <w:left w:val="nil"/>
              <w:bottom w:val="single" w:color="auto" w:sz="4" w:space="0"/>
              <w:right w:val="single" w:color="auto" w:sz="4" w:space="0"/>
            </w:tcBorders>
            <w:vAlign w:val="center"/>
          </w:tcPr>
          <w:p w14:paraId="708C6C49">
            <w:pPr>
              <w:rPr>
                <w:i/>
                <w:iCs/>
                <w:color w:val="000000" w:themeColor="text1"/>
                <w:sz w:val="24"/>
                <w:szCs w:val="24"/>
                <w14:textFill>
                  <w14:solidFill>
                    <w14:schemeClr w14:val="tx1"/>
                  </w14:solidFill>
                </w14:textFill>
              </w:rPr>
            </w:pPr>
          </w:p>
        </w:tc>
        <w:tc>
          <w:tcPr>
            <w:tcW w:w="2079" w:type="dxa"/>
            <w:tcBorders>
              <w:top w:val="single" w:color="auto" w:sz="4" w:space="0"/>
              <w:left w:val="nil"/>
              <w:bottom w:val="single" w:color="auto" w:sz="4" w:space="0"/>
              <w:right w:val="single" w:color="auto" w:sz="4" w:space="0"/>
            </w:tcBorders>
            <w:vAlign w:val="center"/>
          </w:tcPr>
          <w:p w14:paraId="708C6C4A">
            <w:pPr>
              <w:rPr>
                <w:i/>
                <w:iCs/>
                <w:color w:val="000000" w:themeColor="text1"/>
                <w:sz w:val="24"/>
                <w:szCs w:val="24"/>
                <w14:textFill>
                  <w14:solidFill>
                    <w14:schemeClr w14:val="tx1"/>
                  </w14:solidFill>
                </w14:textFill>
              </w:rPr>
            </w:pPr>
          </w:p>
        </w:tc>
        <w:tc>
          <w:tcPr>
            <w:tcW w:w="6237" w:type="dxa"/>
            <w:tcBorders>
              <w:top w:val="single" w:color="auto" w:sz="4" w:space="0"/>
              <w:left w:val="nil"/>
              <w:bottom w:val="single" w:color="auto" w:sz="4" w:space="0"/>
              <w:right w:val="single" w:color="auto" w:sz="4" w:space="0"/>
            </w:tcBorders>
            <w:vAlign w:val="center"/>
          </w:tcPr>
          <w:p w14:paraId="708C6C4B">
            <w:pPr>
              <w:rPr>
                <w:i/>
                <w:iCs/>
                <w:color w:val="000000" w:themeColor="text1"/>
                <w:sz w:val="24"/>
                <w:szCs w:val="24"/>
                <w14:textFill>
                  <w14:solidFill>
                    <w14:schemeClr w14:val="tx1"/>
                  </w14:solidFill>
                </w14:textFill>
              </w:rPr>
            </w:pPr>
          </w:p>
        </w:tc>
      </w:tr>
      <w:tr w14:paraId="708C6C52">
        <w:tblPrEx>
          <w:tblCellMar>
            <w:top w:w="0" w:type="dxa"/>
            <w:left w:w="108" w:type="dxa"/>
            <w:bottom w:w="0" w:type="dxa"/>
            <w:right w:w="108" w:type="dxa"/>
          </w:tblCellMar>
        </w:tblPrEx>
        <w:trPr>
          <w:trHeight w:val="585" w:hRule="atLeast"/>
        </w:trPr>
        <w:tc>
          <w:tcPr>
            <w:tcW w:w="775" w:type="dxa"/>
            <w:tcBorders>
              <w:left w:val="single" w:color="auto" w:sz="4" w:space="0"/>
              <w:bottom w:val="single" w:color="auto" w:sz="4" w:space="0"/>
              <w:right w:val="single" w:color="auto" w:sz="4" w:space="0"/>
            </w:tcBorders>
            <w:noWrap/>
            <w:vAlign w:val="bottom"/>
          </w:tcPr>
          <w:p w14:paraId="708C6C4D">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3418" w:type="dxa"/>
            <w:tcBorders>
              <w:left w:val="nil"/>
              <w:bottom w:val="single" w:color="auto" w:sz="4" w:space="0"/>
              <w:right w:val="single" w:color="auto" w:sz="4" w:space="0"/>
            </w:tcBorders>
            <w:noWrap/>
            <w:vAlign w:val="bottom"/>
          </w:tcPr>
          <w:p w14:paraId="708C6C4E">
            <w:pPr>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2092" w:type="dxa"/>
            <w:tcBorders>
              <w:top w:val="single" w:color="auto" w:sz="4" w:space="0"/>
              <w:left w:val="nil"/>
              <w:bottom w:val="single" w:color="auto" w:sz="4" w:space="0"/>
              <w:right w:val="single" w:color="auto" w:sz="4" w:space="0"/>
            </w:tcBorders>
            <w:vAlign w:val="center"/>
          </w:tcPr>
          <w:p w14:paraId="708C6C4F">
            <w:pPr>
              <w:rPr>
                <w:i/>
                <w:iCs/>
                <w:color w:val="000000" w:themeColor="text1"/>
                <w:sz w:val="24"/>
                <w:szCs w:val="24"/>
                <w14:textFill>
                  <w14:solidFill>
                    <w14:schemeClr w14:val="tx1"/>
                  </w14:solidFill>
                </w14:textFill>
              </w:rPr>
            </w:pPr>
          </w:p>
        </w:tc>
        <w:tc>
          <w:tcPr>
            <w:tcW w:w="2079" w:type="dxa"/>
            <w:tcBorders>
              <w:top w:val="single" w:color="auto" w:sz="4" w:space="0"/>
              <w:left w:val="nil"/>
              <w:bottom w:val="single" w:color="auto" w:sz="4" w:space="0"/>
              <w:right w:val="single" w:color="auto" w:sz="4" w:space="0"/>
            </w:tcBorders>
            <w:vAlign w:val="center"/>
          </w:tcPr>
          <w:p w14:paraId="708C6C50">
            <w:pPr>
              <w:rPr>
                <w:i/>
                <w:iCs/>
                <w:color w:val="000000" w:themeColor="text1"/>
                <w:sz w:val="24"/>
                <w:szCs w:val="24"/>
                <w14:textFill>
                  <w14:solidFill>
                    <w14:schemeClr w14:val="tx1"/>
                  </w14:solidFill>
                </w14:textFill>
              </w:rPr>
            </w:pPr>
          </w:p>
        </w:tc>
        <w:tc>
          <w:tcPr>
            <w:tcW w:w="6237" w:type="dxa"/>
            <w:tcBorders>
              <w:top w:val="single" w:color="auto" w:sz="4" w:space="0"/>
              <w:left w:val="nil"/>
              <w:bottom w:val="single" w:color="auto" w:sz="4" w:space="0"/>
              <w:right w:val="single" w:color="auto" w:sz="4" w:space="0"/>
            </w:tcBorders>
            <w:vAlign w:val="center"/>
          </w:tcPr>
          <w:p w14:paraId="708C6C51">
            <w:pPr>
              <w:rPr>
                <w:i/>
                <w:iCs/>
                <w:color w:val="000000" w:themeColor="text1"/>
                <w:sz w:val="24"/>
                <w:szCs w:val="24"/>
                <w14:textFill>
                  <w14:solidFill>
                    <w14:schemeClr w14:val="tx1"/>
                  </w14:solidFill>
                </w14:textFill>
              </w:rPr>
            </w:pPr>
          </w:p>
        </w:tc>
      </w:tr>
    </w:tbl>
    <w:p w14:paraId="708C6C53">
      <w:pPr>
        <w:spacing w:after="0" w:line="240" w:lineRule="auto"/>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br w:type="page"/>
      </w:r>
    </w:p>
    <w:p w14:paraId="708C6C54">
      <w:pPr>
        <w:pStyle w:val="347"/>
        <w:widowControl w:val="0"/>
        <w:shd w:val="clear" w:color="auto" w:fill="FFFFFF"/>
        <w:spacing w:after="120" w:line="264" w:lineRule="auto"/>
        <w:ind w:firstLine="567"/>
        <w:jc w:val="both"/>
        <w:rPr>
          <w:b w:val="0"/>
          <w:i/>
          <w:color w:val="000000" w:themeColor="text1"/>
          <w:sz w:val="26"/>
          <w:szCs w:val="26"/>
          <w14:textFill>
            <w14:solidFill>
              <w14:schemeClr w14:val="tx1"/>
            </w14:solidFill>
          </w14:textFill>
        </w:rPr>
        <w:sectPr>
          <w:headerReference r:id="rId20" w:type="default"/>
          <w:footerReference r:id="rId21" w:type="default"/>
          <w:footnotePr>
            <w:numRestart w:val="eachPage"/>
          </w:footnotePr>
          <w:pgSz w:w="16840" w:h="11907" w:orient="landscape"/>
          <w:pgMar w:top="1701" w:right="1134" w:bottom="1134" w:left="1134" w:header="567" w:footer="567" w:gutter="0"/>
          <w:pgNumType w:chapStyle="1"/>
          <w:cols w:space="720" w:num="1"/>
          <w:docGrid w:linePitch="381" w:charSpace="0"/>
        </w:sectPr>
      </w:pPr>
    </w:p>
    <w:p w14:paraId="708C6C55">
      <w:pPr>
        <w:pStyle w:val="18"/>
        <w:widowControl w:val="0"/>
        <w:shd w:val="clear" w:color="auto" w:fill="FFFFFF"/>
        <w:spacing w:before="120" w:line="264" w:lineRule="auto"/>
        <w:ind w:left="0"/>
        <w:rPr>
          <w:b/>
          <w:bCs/>
          <w:color w:val="000000" w:themeColor="text1"/>
          <w:sz w:val="26"/>
          <w:szCs w:val="26"/>
          <w14:textFill>
            <w14:solidFill>
              <w14:schemeClr w14:val="tx1"/>
            </w14:solidFill>
          </w14:textFill>
        </w:rPr>
      </w:pPr>
    </w:p>
    <w:p w14:paraId="708C6C56">
      <w:pPr>
        <w:pStyle w:val="347"/>
        <w:widowControl w:val="0"/>
        <w:shd w:val="clear" w:color="auto" w:fill="FFFFFF"/>
        <w:spacing w:after="120" w:line="264" w:lineRule="auto"/>
        <w:ind w:firstLine="567"/>
        <w:jc w:val="right"/>
        <w:outlineLvl w:val="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Form 11</w:t>
      </w:r>
    </w:p>
    <w:p w14:paraId="708C6C57">
      <w:pPr>
        <w:pStyle w:val="347"/>
        <w:widowControl w:val="0"/>
        <w:shd w:val="clear" w:color="auto" w:fill="FFFFFF"/>
        <w:spacing w:after="120" w:line="264" w:lineRule="auto"/>
        <w:ind w:firstLine="567"/>
        <w:outlineLvl w:val="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NON-COMPLETED CONTRACTS FOR SUPPLY OF GOODS OR EPC/ EP/ PC/TURNKEY CONTARCTS DUE TO BIDDER’S FAULT </w:t>
      </w:r>
    </w:p>
    <w:p w14:paraId="708C6C58">
      <w:pPr>
        <w:pStyle w:val="347"/>
        <w:widowControl w:val="0"/>
        <w:shd w:val="clear" w:color="auto" w:fill="FFFFFF"/>
        <w:spacing w:after="120" w:line="264" w:lineRule="auto"/>
        <w:ind w:firstLine="567"/>
        <w:outlineLvl w:val="2"/>
        <w:rPr>
          <w:color w:val="000000" w:themeColor="text1"/>
          <w:sz w:val="26"/>
          <w:szCs w:val="26"/>
          <w:vertAlign w:val="superscript"/>
          <w14:textFill>
            <w14:solidFill>
              <w14:schemeClr w14:val="tx1"/>
            </w14:solidFill>
          </w14:textFill>
        </w:rPr>
      </w:pPr>
      <w:r>
        <w:rPr>
          <w:color w:val="000000" w:themeColor="text1"/>
          <w:sz w:val="26"/>
          <w:szCs w:val="26"/>
          <w14:textFill>
            <w14:solidFill>
              <w14:schemeClr w14:val="tx1"/>
            </w14:solidFill>
          </w14:textFill>
        </w:rPr>
        <w:t xml:space="preserve">IN THE PAST </w:t>
      </w:r>
      <w:r>
        <w:rPr>
          <w:b w:val="0"/>
          <w:color w:val="000000" w:themeColor="text1"/>
          <w:sz w:val="26"/>
          <w:szCs w:val="26"/>
          <w:vertAlign w:val="superscript"/>
          <w14:textFill>
            <w14:solidFill>
              <w14:schemeClr w14:val="tx1"/>
            </w14:solidFill>
          </w14:textFill>
        </w:rPr>
        <w:t>(1)</w:t>
      </w:r>
    </w:p>
    <w:p w14:paraId="708C6C59">
      <w:pPr>
        <w:widowControl w:val="0"/>
        <w:shd w:val="clear" w:color="auto" w:fill="FFFFFF"/>
        <w:spacing w:before="120" w:after="120" w:line="264" w:lineRule="auto"/>
        <w:ind w:firstLine="567"/>
        <w:jc w:val="right"/>
        <w:rPr>
          <w:color w:val="000000" w:themeColor="text1"/>
          <w:sz w:val="26"/>
          <w:szCs w:val="26"/>
          <w14:textFill>
            <w14:solidFill>
              <w14:schemeClr w14:val="tx1"/>
            </w14:solidFill>
          </w14:textFill>
        </w:rPr>
      </w:pPr>
    </w:p>
    <w:p w14:paraId="708C6C5A">
      <w:pPr>
        <w:widowControl w:val="0"/>
        <w:shd w:val="clear" w:color="auto" w:fill="FFFFFF"/>
        <w:spacing w:before="120" w:after="120" w:line="264" w:lineRule="auto"/>
        <w:ind w:firstLine="567"/>
        <w:jc w:val="right"/>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Name of bidder: </w:t>
      </w:r>
      <w:r>
        <w:rPr>
          <w:i/>
          <w:iCs/>
          <w:color w:val="000000" w:themeColor="text1"/>
          <w:sz w:val="26"/>
          <w:szCs w:val="26"/>
          <w14:textFill>
            <w14:solidFill>
              <w14:schemeClr w14:val="tx1"/>
            </w14:solidFill>
          </w14:textFill>
        </w:rPr>
        <w:t>________________</w:t>
      </w:r>
      <w:r>
        <w:rPr>
          <w:color w:val="000000" w:themeColor="text1"/>
          <w:sz w:val="26"/>
          <w:szCs w:val="26"/>
          <w14:textFill>
            <w14:solidFill>
              <w14:schemeClr w14:val="tx1"/>
            </w14:solidFill>
          </w14:textFill>
        </w:rPr>
        <w:br w:type="textWrapping"/>
      </w:r>
      <w:r>
        <w:rPr>
          <w:color w:val="000000" w:themeColor="text1"/>
          <w:sz w:val="26"/>
          <w:szCs w:val="26"/>
          <w14:textFill>
            <w14:solidFill>
              <w14:schemeClr w14:val="tx1"/>
            </w14:solidFill>
          </w14:textFill>
        </w:rPr>
        <w:t xml:space="preserve">Date: </w:t>
      </w:r>
      <w:r>
        <w:rPr>
          <w:i/>
          <w:iCs/>
          <w:color w:val="000000" w:themeColor="text1"/>
          <w:sz w:val="26"/>
          <w:szCs w:val="26"/>
          <w14:textFill>
            <w14:solidFill>
              <w14:schemeClr w14:val="tx1"/>
            </w14:solidFill>
          </w14:textFill>
        </w:rPr>
        <w:t>______________________</w:t>
      </w:r>
      <w:r>
        <w:rPr>
          <w:i/>
          <w:iCs/>
          <w:color w:val="000000" w:themeColor="text1"/>
          <w:sz w:val="26"/>
          <w:szCs w:val="26"/>
          <w14:textFill>
            <w14:solidFill>
              <w14:schemeClr w14:val="tx1"/>
            </w14:solidFill>
          </w14:textFill>
        </w:rPr>
        <w:br w:type="textWrapping"/>
      </w:r>
      <w:r>
        <w:rPr>
          <w:color w:val="000000" w:themeColor="text1"/>
          <w:sz w:val="26"/>
          <w:szCs w:val="26"/>
          <w14:textFill>
            <w14:solidFill>
              <w14:schemeClr w14:val="tx1"/>
            </w14:solidFill>
          </w14:textFill>
        </w:rPr>
        <w:t>Name of Consortium member (if any):_________________________</w:t>
      </w:r>
      <w:r>
        <w:rPr>
          <w:i/>
          <w:iCs/>
          <w:color w:val="000000" w:themeColor="text1"/>
          <w:sz w:val="26"/>
          <w:szCs w:val="26"/>
          <w14:textFill>
            <w14:solidFill>
              <w14:schemeClr w14:val="tx1"/>
            </w14:solidFill>
          </w14:textFill>
        </w:rPr>
        <w:br w:type="textWrapping"/>
      </w:r>
    </w:p>
    <w:tbl>
      <w:tblPr>
        <w:tblStyle w:val="12"/>
        <w:tblW w:w="9639" w:type="dxa"/>
        <w:jc w:val="center"/>
        <w:tblLayout w:type="fixed"/>
        <w:tblCellMar>
          <w:top w:w="0" w:type="dxa"/>
          <w:left w:w="0" w:type="dxa"/>
          <w:bottom w:w="0" w:type="dxa"/>
          <w:right w:w="0" w:type="dxa"/>
        </w:tblCellMar>
      </w:tblPr>
      <w:tblGrid>
        <w:gridCol w:w="968"/>
        <w:gridCol w:w="1720"/>
        <w:gridCol w:w="3550"/>
        <w:gridCol w:w="3401"/>
      </w:tblGrid>
      <w:tr w14:paraId="708C6C5C">
        <w:tblPrEx>
          <w:tblCellMar>
            <w:top w:w="0" w:type="dxa"/>
            <w:left w:w="0" w:type="dxa"/>
            <w:bottom w:w="0" w:type="dxa"/>
            <w:right w:w="0" w:type="dxa"/>
          </w:tblCellMar>
        </w:tblPrEx>
        <w:trPr>
          <w:jc w:val="center"/>
        </w:trPr>
        <w:tc>
          <w:tcPr>
            <w:tcW w:w="9639" w:type="dxa"/>
            <w:gridSpan w:val="4"/>
            <w:tcBorders>
              <w:top w:val="single" w:color="auto" w:sz="2" w:space="0"/>
              <w:left w:val="single" w:color="auto" w:sz="2" w:space="0"/>
              <w:bottom w:val="single" w:color="auto" w:sz="2" w:space="0"/>
              <w:right w:val="single" w:color="auto" w:sz="2" w:space="0"/>
            </w:tcBorders>
          </w:tcPr>
          <w:p w14:paraId="708C6C5B">
            <w:pPr>
              <w:widowControl w:val="0"/>
              <w:shd w:val="clear" w:color="auto" w:fill="FFFFFF"/>
              <w:spacing w:before="120" w:after="120" w:line="264" w:lineRule="auto"/>
              <w:ind w:left="142"/>
              <w:jc w:val="both"/>
              <w:rPr>
                <w:color w:val="000000" w:themeColor="text1"/>
                <w:sz w:val="26"/>
                <w:szCs w:val="26"/>
                <w14:textFill>
                  <w14:solidFill>
                    <w14:schemeClr w14:val="tx1"/>
                  </w14:solidFill>
                </w14:textFill>
              </w:rPr>
            </w:pPr>
            <w:r>
              <w:rPr>
                <w:sz w:val="26"/>
                <w:szCs w:val="26"/>
              </w:rPr>
              <w:t xml:space="preserve">Non-completed contracts due to Bidder’s fault in the past according to Clause 2.1 Section III – Evaluation Criteria of Bid </w:t>
            </w:r>
          </w:p>
        </w:tc>
      </w:tr>
      <w:tr w14:paraId="708C6C5F">
        <w:tblPrEx>
          <w:tblCellMar>
            <w:top w:w="0" w:type="dxa"/>
            <w:left w:w="0" w:type="dxa"/>
            <w:bottom w:w="0" w:type="dxa"/>
            <w:right w:w="0" w:type="dxa"/>
          </w:tblCellMar>
        </w:tblPrEx>
        <w:trPr>
          <w:jc w:val="center"/>
        </w:trPr>
        <w:tc>
          <w:tcPr>
            <w:tcW w:w="9639" w:type="dxa"/>
            <w:gridSpan w:val="4"/>
            <w:tcBorders>
              <w:top w:val="single" w:color="auto" w:sz="2" w:space="0"/>
              <w:left w:val="single" w:color="auto" w:sz="2" w:space="0"/>
              <w:bottom w:val="single" w:color="auto" w:sz="2" w:space="0"/>
              <w:right w:val="single" w:color="auto" w:sz="2" w:space="0"/>
            </w:tcBorders>
          </w:tcPr>
          <w:p w14:paraId="708C6C5D">
            <w:pPr>
              <w:widowControl w:val="0"/>
              <w:shd w:val="clear" w:color="auto" w:fill="FFFFFF"/>
              <w:spacing w:before="120" w:after="120" w:line="264" w:lineRule="auto"/>
              <w:ind w:left="142" w:right="141"/>
              <w:jc w:val="both"/>
              <w:rPr>
                <w:sz w:val="26"/>
                <w:szCs w:val="26"/>
              </w:rPr>
            </w:pPr>
            <w:r>
              <w:rPr>
                <w:rFonts w:eastAsia="MS Mincho"/>
                <w:sz w:val="26"/>
                <w:szCs w:val="26"/>
              </w:rPr>
              <w:sym w:font="Wingdings" w:char="F0A8"/>
            </w:r>
            <w:r>
              <w:rPr>
                <w:rFonts w:eastAsia="MS Mincho"/>
                <w:sz w:val="26"/>
                <w:szCs w:val="26"/>
              </w:rPr>
              <w:tab/>
            </w:r>
            <w:r>
              <w:rPr>
                <w:rFonts w:eastAsia="MS Mincho"/>
                <w:sz w:val="26"/>
                <w:szCs w:val="26"/>
              </w:rPr>
              <w:t>No n</w:t>
            </w:r>
            <w:r>
              <w:rPr>
                <w:sz w:val="26"/>
                <w:szCs w:val="26"/>
              </w:rPr>
              <w:t xml:space="preserve">on-completion of the signed contract due to Bidder’s fault since 01/01/….. according to the Table of evaluation criteria for qualification and experience, Clause 2.1 Section III – Evaluation Criteria of Bid.    </w:t>
            </w:r>
          </w:p>
          <w:p w14:paraId="708C6C5E">
            <w:pPr>
              <w:widowControl w:val="0"/>
              <w:shd w:val="clear" w:color="auto" w:fill="FFFFFF"/>
              <w:spacing w:before="120" w:after="120" w:line="264" w:lineRule="auto"/>
              <w:ind w:left="142" w:right="141"/>
              <w:jc w:val="both"/>
              <w:rPr>
                <w:color w:val="000000" w:themeColor="text1"/>
                <w:sz w:val="26"/>
                <w:szCs w:val="26"/>
                <w14:textFill>
                  <w14:solidFill>
                    <w14:schemeClr w14:val="tx1"/>
                  </w14:solidFill>
                </w14:textFill>
              </w:rPr>
            </w:pPr>
            <w:r>
              <w:rPr>
                <w:rFonts w:eastAsia="MS Mincho"/>
                <w:sz w:val="26"/>
                <w:szCs w:val="26"/>
              </w:rPr>
              <w:sym w:font="Wingdings" w:char="F0A8"/>
            </w:r>
            <w:r>
              <w:rPr>
                <w:sz w:val="26"/>
                <w:szCs w:val="26"/>
              </w:rPr>
              <w:tab/>
            </w:r>
            <w:r>
              <w:rPr>
                <w:sz w:val="26"/>
                <w:szCs w:val="26"/>
              </w:rPr>
              <w:t>Having</w:t>
            </w:r>
            <w:r>
              <w:rPr>
                <w:rFonts w:eastAsia="MS Mincho"/>
                <w:sz w:val="26"/>
                <w:szCs w:val="26"/>
              </w:rPr>
              <w:t xml:space="preserve"> n</w:t>
            </w:r>
            <w:r>
              <w:rPr>
                <w:sz w:val="26"/>
                <w:szCs w:val="26"/>
              </w:rPr>
              <w:t xml:space="preserve">on- completion of the signed contract due to Bidder’s fault since 01/01/… according to the Table of evaluation criteria for qualification and experience, Clause 2.1 Section III – Evaluation Criteria of Bid. </w:t>
            </w:r>
          </w:p>
        </w:tc>
      </w:tr>
      <w:tr w14:paraId="708C6C64">
        <w:tblPrEx>
          <w:tblCellMar>
            <w:top w:w="0" w:type="dxa"/>
            <w:left w:w="0" w:type="dxa"/>
            <w:bottom w:w="0" w:type="dxa"/>
            <w:right w:w="0" w:type="dxa"/>
          </w:tblCellMar>
        </w:tblPrEx>
        <w:trPr>
          <w:jc w:val="center"/>
        </w:trPr>
        <w:tc>
          <w:tcPr>
            <w:tcW w:w="968" w:type="dxa"/>
            <w:tcBorders>
              <w:top w:val="single" w:color="auto" w:sz="2" w:space="0"/>
              <w:left w:val="single" w:color="auto" w:sz="2" w:space="0"/>
              <w:bottom w:val="single" w:color="auto" w:sz="2" w:space="0"/>
              <w:right w:val="single" w:color="auto" w:sz="2" w:space="0"/>
            </w:tcBorders>
            <w:vAlign w:val="center"/>
          </w:tcPr>
          <w:p w14:paraId="708C6C60">
            <w:pPr>
              <w:widowControl w:val="0"/>
              <w:shd w:val="clear" w:color="auto" w:fill="FFFFFF"/>
              <w:spacing w:before="120" w:after="120" w:line="264" w:lineRule="auto"/>
              <w:ind w:left="142"/>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Year</w:t>
            </w:r>
          </w:p>
        </w:tc>
        <w:tc>
          <w:tcPr>
            <w:tcW w:w="1720" w:type="dxa"/>
            <w:tcBorders>
              <w:top w:val="single" w:color="auto" w:sz="2" w:space="0"/>
              <w:left w:val="single" w:color="auto" w:sz="2" w:space="0"/>
              <w:bottom w:val="single" w:color="auto" w:sz="2" w:space="0"/>
              <w:right w:val="single" w:color="auto" w:sz="2" w:space="0"/>
            </w:tcBorders>
            <w:vAlign w:val="center"/>
          </w:tcPr>
          <w:p w14:paraId="708C6C61">
            <w:pPr>
              <w:widowControl w:val="0"/>
              <w:shd w:val="clear" w:color="auto" w:fill="FFFFFF"/>
              <w:spacing w:before="120" w:after="120" w:line="264" w:lineRule="auto"/>
              <w:ind w:left="142" w:right="57"/>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Non-performance of work’s scope</w:t>
            </w:r>
          </w:p>
        </w:tc>
        <w:tc>
          <w:tcPr>
            <w:tcW w:w="3550" w:type="dxa"/>
            <w:tcBorders>
              <w:top w:val="single" w:color="auto" w:sz="2" w:space="0"/>
              <w:left w:val="single" w:color="auto" w:sz="2" w:space="0"/>
              <w:bottom w:val="single" w:color="auto" w:sz="2" w:space="0"/>
              <w:right w:val="single" w:color="auto" w:sz="2" w:space="0"/>
            </w:tcBorders>
            <w:vAlign w:val="center"/>
          </w:tcPr>
          <w:p w14:paraId="708C6C62">
            <w:pPr>
              <w:widowControl w:val="0"/>
              <w:shd w:val="clear" w:color="auto" w:fill="FFFFFF"/>
              <w:spacing w:before="120" w:after="120" w:line="264" w:lineRule="auto"/>
              <w:jc w:val="center"/>
              <w:rPr>
                <w:i/>
                <w:i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Contract descriptions</w:t>
            </w:r>
          </w:p>
        </w:tc>
        <w:tc>
          <w:tcPr>
            <w:tcW w:w="3401" w:type="dxa"/>
            <w:tcBorders>
              <w:top w:val="single" w:color="auto" w:sz="2" w:space="0"/>
              <w:left w:val="single" w:color="auto" w:sz="2" w:space="0"/>
              <w:bottom w:val="single" w:color="auto" w:sz="2" w:space="0"/>
              <w:right w:val="single" w:color="auto" w:sz="2" w:space="0"/>
            </w:tcBorders>
            <w:vAlign w:val="center"/>
          </w:tcPr>
          <w:p w14:paraId="708C6C63">
            <w:pPr>
              <w:widowControl w:val="0"/>
              <w:shd w:val="clear" w:color="auto" w:fill="FFFFFF"/>
              <w:spacing w:before="120" w:after="120" w:line="264" w:lineRule="auto"/>
              <w:ind w:left="171" w:right="57"/>
              <w:jc w:val="center"/>
              <w:rPr>
                <w:i/>
                <w:i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Total of contract value (current value, currency, exchange rates, value equivalent to VND)</w:t>
            </w:r>
          </w:p>
        </w:tc>
      </w:tr>
      <w:tr w14:paraId="708C6C6C">
        <w:tblPrEx>
          <w:tblCellMar>
            <w:top w:w="0" w:type="dxa"/>
            <w:left w:w="0" w:type="dxa"/>
            <w:bottom w:w="0" w:type="dxa"/>
            <w:right w:w="0" w:type="dxa"/>
          </w:tblCellMar>
        </w:tblPrEx>
        <w:trPr>
          <w:jc w:val="center"/>
        </w:trPr>
        <w:tc>
          <w:tcPr>
            <w:tcW w:w="968" w:type="dxa"/>
            <w:tcBorders>
              <w:top w:val="single" w:color="auto" w:sz="2" w:space="0"/>
              <w:left w:val="single" w:color="auto" w:sz="2" w:space="0"/>
              <w:bottom w:val="single" w:color="auto" w:sz="2" w:space="0"/>
              <w:right w:val="single" w:color="auto" w:sz="2" w:space="0"/>
            </w:tcBorders>
          </w:tcPr>
          <w:p w14:paraId="708C6C65">
            <w:pPr>
              <w:widowControl w:val="0"/>
              <w:shd w:val="clear" w:color="auto" w:fill="FFFFFF"/>
              <w:spacing w:before="120" w:after="120" w:line="264" w:lineRule="auto"/>
              <w:outlineLvl w:val="0"/>
              <w:rPr>
                <w:color w:val="000000" w:themeColor="text1"/>
                <w:sz w:val="26"/>
                <w:szCs w:val="26"/>
                <w14:textFill>
                  <w14:solidFill>
                    <w14:schemeClr w14:val="tx1"/>
                  </w14:solidFill>
                </w14:textFill>
              </w:rPr>
            </w:pPr>
          </w:p>
        </w:tc>
        <w:tc>
          <w:tcPr>
            <w:tcW w:w="1720" w:type="dxa"/>
            <w:tcBorders>
              <w:top w:val="single" w:color="auto" w:sz="2" w:space="0"/>
              <w:left w:val="single" w:color="auto" w:sz="2" w:space="0"/>
              <w:bottom w:val="single" w:color="auto" w:sz="2" w:space="0"/>
              <w:right w:val="single" w:color="auto" w:sz="2" w:space="0"/>
            </w:tcBorders>
          </w:tcPr>
          <w:p w14:paraId="708C6C66">
            <w:pPr>
              <w:widowControl w:val="0"/>
              <w:shd w:val="clear" w:color="auto" w:fill="FFFFFF"/>
              <w:spacing w:before="120" w:after="120" w:line="264" w:lineRule="auto"/>
              <w:ind w:right="113"/>
              <w:outlineLvl w:val="0"/>
              <w:rPr>
                <w:color w:val="000000" w:themeColor="text1"/>
                <w:sz w:val="26"/>
                <w:szCs w:val="26"/>
                <w14:textFill>
                  <w14:solidFill>
                    <w14:schemeClr w14:val="tx1"/>
                  </w14:solidFill>
                </w14:textFill>
              </w:rPr>
            </w:pPr>
          </w:p>
        </w:tc>
        <w:tc>
          <w:tcPr>
            <w:tcW w:w="3550" w:type="dxa"/>
            <w:tcBorders>
              <w:top w:val="single" w:color="auto" w:sz="2" w:space="0"/>
              <w:left w:val="single" w:color="auto" w:sz="2" w:space="0"/>
              <w:bottom w:val="single" w:color="auto" w:sz="2" w:space="0"/>
              <w:right w:val="single" w:color="auto" w:sz="2" w:space="0"/>
            </w:tcBorders>
          </w:tcPr>
          <w:p w14:paraId="708C6C67">
            <w:pPr>
              <w:widowControl w:val="0"/>
              <w:shd w:val="clear" w:color="auto" w:fill="FFFFFF"/>
              <w:spacing w:before="120" w:after="120" w:line="264" w:lineRule="auto"/>
              <w:ind w:left="196" w:right="17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Contract descriptions: </w:t>
            </w:r>
          </w:p>
          <w:p w14:paraId="708C6C68">
            <w:pPr>
              <w:widowControl w:val="0"/>
              <w:shd w:val="clear" w:color="auto" w:fill="FFFFFF"/>
              <w:spacing w:before="120" w:after="120" w:line="264" w:lineRule="auto"/>
              <w:ind w:left="196" w:right="17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Name of the Purchaser: </w:t>
            </w:r>
          </w:p>
          <w:p w14:paraId="708C6C69">
            <w:pPr>
              <w:widowControl w:val="0"/>
              <w:shd w:val="clear" w:color="auto" w:fill="FFFFFF"/>
              <w:spacing w:before="120" w:after="120" w:line="264" w:lineRule="auto"/>
              <w:ind w:left="196" w:right="17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Address: </w:t>
            </w:r>
          </w:p>
          <w:p w14:paraId="708C6C6A">
            <w:pPr>
              <w:widowControl w:val="0"/>
              <w:shd w:val="clear" w:color="auto" w:fill="FFFFFF"/>
              <w:spacing w:before="120" w:after="120" w:line="264" w:lineRule="auto"/>
              <w:ind w:left="196" w:right="17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Cause of </w:t>
            </w:r>
            <w:r>
              <w:rPr>
                <w:rFonts w:eastAsia="MS Mincho"/>
                <w:color w:val="000000" w:themeColor="text1"/>
                <w:sz w:val="26"/>
                <w:szCs w:val="26"/>
                <w14:textFill>
                  <w14:solidFill>
                    <w14:schemeClr w14:val="tx1"/>
                  </w14:solidFill>
                </w14:textFill>
              </w:rPr>
              <w:t>n</w:t>
            </w:r>
            <w:r>
              <w:rPr>
                <w:color w:val="000000" w:themeColor="text1"/>
                <w:sz w:val="26"/>
                <w:szCs w:val="26"/>
                <w14:textFill>
                  <w14:solidFill>
                    <w14:schemeClr w14:val="tx1"/>
                  </w14:solidFill>
                </w14:textFill>
              </w:rPr>
              <w:t>on-perfo</w:t>
            </w:r>
            <w:r>
              <w:rPr>
                <w:color w:val="000000" w:themeColor="text1"/>
                <w:sz w:val="26"/>
                <w:szCs w:val="26"/>
                <w:lang w:eastAsia="ja-JP"/>
                <w14:textFill>
                  <w14:solidFill>
                    <w14:schemeClr w14:val="tx1"/>
                  </w14:solidFill>
                </w14:textFill>
              </w:rPr>
              <w:t>rmance</w:t>
            </w:r>
            <w:r>
              <w:rPr>
                <w:color w:val="000000" w:themeColor="text1"/>
                <w:sz w:val="26"/>
                <w:szCs w:val="26"/>
                <w14:textFill>
                  <w14:solidFill>
                    <w14:schemeClr w14:val="tx1"/>
                  </w14:solidFill>
                </w14:textFill>
              </w:rPr>
              <w:t xml:space="preserve"> of the contract: </w:t>
            </w:r>
          </w:p>
        </w:tc>
        <w:tc>
          <w:tcPr>
            <w:tcW w:w="3401" w:type="dxa"/>
            <w:tcBorders>
              <w:top w:val="single" w:color="auto" w:sz="2" w:space="0"/>
              <w:left w:val="single" w:color="auto" w:sz="2" w:space="0"/>
              <w:bottom w:val="single" w:color="auto" w:sz="2" w:space="0"/>
              <w:right w:val="single" w:color="auto" w:sz="2" w:space="0"/>
            </w:tcBorders>
          </w:tcPr>
          <w:p w14:paraId="708C6C6B">
            <w:pPr>
              <w:widowControl w:val="0"/>
              <w:shd w:val="clear" w:color="auto" w:fill="FFFFFF"/>
              <w:spacing w:before="120" w:after="120" w:line="264" w:lineRule="auto"/>
              <w:outlineLvl w:val="2"/>
              <w:rPr>
                <w:color w:val="000000" w:themeColor="text1"/>
                <w:sz w:val="26"/>
                <w:szCs w:val="26"/>
                <w14:textFill>
                  <w14:solidFill>
                    <w14:schemeClr w14:val="tx1"/>
                  </w14:solidFill>
                </w14:textFill>
              </w:rPr>
            </w:pPr>
          </w:p>
        </w:tc>
      </w:tr>
    </w:tbl>
    <w:p w14:paraId="708C6C6D">
      <w:pPr>
        <w:pStyle w:val="347"/>
        <w:widowControl w:val="0"/>
        <w:shd w:val="clear" w:color="auto" w:fill="FFFFFF"/>
        <w:spacing w:after="120" w:line="264" w:lineRule="auto"/>
        <w:ind w:firstLine="567"/>
        <w:jc w:val="both"/>
        <w:outlineLvl w:val="2"/>
        <w:rPr>
          <w:b w:val="0"/>
          <w:bCs/>
          <w:color w:val="000000" w:themeColor="text1"/>
          <w:sz w:val="26"/>
          <w:szCs w:val="26"/>
          <w14:textFill>
            <w14:solidFill>
              <w14:schemeClr w14:val="tx1"/>
            </w14:solidFill>
          </w14:textFill>
        </w:rPr>
      </w:pPr>
      <w:r>
        <w:rPr>
          <w:b w:val="0"/>
          <w:bCs/>
          <w:color w:val="000000" w:themeColor="text1"/>
          <w:sz w:val="26"/>
          <w:szCs w:val="26"/>
          <w14:textFill>
            <w14:solidFill>
              <w14:schemeClr w14:val="tx1"/>
            </w14:solidFill>
          </w14:textFill>
        </w:rPr>
        <w:t>Notes:</w:t>
      </w:r>
    </w:p>
    <w:p w14:paraId="708C6C6E">
      <w:pPr>
        <w:spacing w:after="0" w:line="240" w:lineRule="auto"/>
        <w:jc w:val="both"/>
        <w:rPr>
          <w:bCs/>
          <w:color w:val="000000" w:themeColor="text1"/>
          <w:sz w:val="26"/>
          <w:szCs w:val="26"/>
          <w14:textFill>
            <w14:solidFill>
              <w14:schemeClr w14:val="tx1"/>
            </w14:solidFill>
          </w14:textFill>
        </w:rPr>
      </w:pPr>
      <w:r>
        <w:rPr>
          <w:bCs/>
          <w:sz w:val="26"/>
          <w:szCs w:val="26"/>
        </w:rPr>
        <w:t>(1) The Bidder must declare accurate and truthful contracts which were not completed in the past; if the Purchaser detects any bidder having non-completion of a contract in the past that without declaration, it is considered as fraudulent practice and the bid shall be rejected. In case of Consortium, the form shall be filled in for each member</w:t>
      </w:r>
      <w:r>
        <w:rPr>
          <w:bCs/>
          <w:color w:val="000000" w:themeColor="text1"/>
          <w:sz w:val="26"/>
          <w:szCs w:val="26"/>
          <w14:textFill>
            <w14:solidFill>
              <w14:schemeClr w14:val="tx1"/>
            </w14:solidFill>
          </w14:textFill>
        </w:rPr>
        <w:br w:type="page"/>
      </w:r>
    </w:p>
    <w:p w14:paraId="708C6C6F">
      <w:pPr>
        <w:shd w:val="clear" w:color="auto" w:fill="FFFFFF"/>
        <w:spacing w:before="120" w:after="120" w:line="264" w:lineRule="auto"/>
        <w:ind w:firstLine="567"/>
        <w:jc w:val="right"/>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Form 12 </w:t>
      </w:r>
    </w:p>
    <w:p w14:paraId="708C6C70">
      <w:pPr>
        <w:shd w:val="clear" w:color="auto" w:fill="FFFFFF"/>
        <w:jc w:val="center"/>
        <w:outlineLvl w:val="3"/>
        <w:rPr>
          <w:b/>
          <w:color w:val="000000" w:themeColor="text1"/>
          <w:sz w:val="26"/>
          <w:szCs w:val="26"/>
          <w:vertAlign w:val="superscript"/>
          <w14:textFill>
            <w14:solidFill>
              <w14:schemeClr w14:val="tx1"/>
            </w14:solidFill>
          </w14:textFill>
        </w:rPr>
      </w:pPr>
      <w:r>
        <w:rPr>
          <w:b/>
          <w:color w:val="000000" w:themeColor="text1"/>
          <w:sz w:val="26"/>
          <w:szCs w:val="26"/>
          <w14:textFill>
            <w14:solidFill>
              <w14:schemeClr w14:val="tx1"/>
            </w14:solidFill>
          </w14:textFill>
        </w:rPr>
        <w:t>HISTORICAL FINANCIAL PERFORMANCE</w:t>
      </w:r>
      <w:r>
        <w:rPr>
          <w:b/>
          <w:color w:val="000000" w:themeColor="text1"/>
          <w:sz w:val="26"/>
          <w:szCs w:val="26"/>
          <w:vertAlign w:val="superscript"/>
          <w14:textFill>
            <w14:solidFill>
              <w14:schemeClr w14:val="tx1"/>
            </w14:solidFill>
          </w14:textFill>
        </w:rPr>
        <w:t>(1)</w:t>
      </w:r>
    </w:p>
    <w:p w14:paraId="708C6C71">
      <w:pPr>
        <w:shd w:val="clear" w:color="auto" w:fill="FFFFFF"/>
        <w:jc w:val="center"/>
        <w:outlineLvl w:val="3"/>
        <w:rPr>
          <w:color w:val="000000" w:themeColor="text1"/>
          <w:sz w:val="26"/>
          <w:szCs w:val="26"/>
          <w:vertAlign w:val="superscript"/>
          <w14:textFill>
            <w14:solidFill>
              <w14:schemeClr w14:val="tx1"/>
            </w14:solidFill>
          </w14:textFill>
        </w:rPr>
      </w:pPr>
    </w:p>
    <w:p w14:paraId="708C6C72">
      <w:pPr>
        <w:pStyle w:val="168"/>
        <w:widowControl w:val="0"/>
        <w:shd w:val="clear" w:color="auto" w:fill="FFFFFF"/>
        <w:suppressAutoHyphens w:val="0"/>
        <w:spacing w:before="120" w:after="120" w:line="264" w:lineRule="auto"/>
        <w:ind w:firstLine="567"/>
        <w:jc w:val="right"/>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xml:space="preserve">Name of bidder: </w:t>
      </w:r>
      <w:r>
        <w:rPr>
          <w:rFonts w:ascii="Times New Roman" w:hAnsi="Times New Roman"/>
          <w:i/>
          <w:iCs/>
          <w:color w:val="000000" w:themeColor="text1"/>
          <w:sz w:val="26"/>
          <w:szCs w:val="26"/>
          <w14:textFill>
            <w14:solidFill>
              <w14:schemeClr w14:val="tx1"/>
            </w14:solidFill>
          </w14:textFill>
        </w:rPr>
        <w:t>________________</w:t>
      </w:r>
      <w:r>
        <w:rPr>
          <w:rFonts w:ascii="Times New Roman" w:hAnsi="Times New Roman"/>
          <w:color w:val="000000" w:themeColor="text1"/>
          <w:sz w:val="26"/>
          <w:szCs w:val="26"/>
          <w14:textFill>
            <w14:solidFill>
              <w14:schemeClr w14:val="tx1"/>
            </w14:solidFill>
          </w14:textFill>
        </w:rPr>
        <w:br w:type="textWrapping"/>
      </w:r>
      <w:r>
        <w:rPr>
          <w:rFonts w:ascii="Times New Roman" w:hAnsi="Times New Roman"/>
          <w:color w:val="000000" w:themeColor="text1"/>
          <w:sz w:val="26"/>
          <w:szCs w:val="26"/>
          <w14:textFill>
            <w14:solidFill>
              <w14:schemeClr w14:val="tx1"/>
            </w14:solidFill>
          </w14:textFill>
        </w:rPr>
        <w:t xml:space="preserve">Date: </w:t>
      </w:r>
      <w:r>
        <w:rPr>
          <w:rFonts w:ascii="Times New Roman" w:hAnsi="Times New Roman"/>
          <w:i/>
          <w:iCs/>
          <w:color w:val="000000" w:themeColor="text1"/>
          <w:sz w:val="26"/>
          <w:szCs w:val="26"/>
          <w14:textFill>
            <w14:solidFill>
              <w14:schemeClr w14:val="tx1"/>
            </w14:solidFill>
          </w14:textFill>
        </w:rPr>
        <w:t>______________________</w:t>
      </w:r>
      <w:r>
        <w:rPr>
          <w:rFonts w:ascii="Times New Roman" w:hAnsi="Times New Roman"/>
          <w:i/>
          <w:iCs/>
          <w:color w:val="000000" w:themeColor="text1"/>
          <w:sz w:val="26"/>
          <w:szCs w:val="26"/>
          <w14:textFill>
            <w14:solidFill>
              <w14:schemeClr w14:val="tx1"/>
            </w14:solidFill>
          </w14:textFill>
        </w:rPr>
        <w:br w:type="textWrapping"/>
      </w:r>
      <w:r>
        <w:rPr>
          <w:rFonts w:ascii="Times New Roman" w:hAnsi="Times New Roman"/>
          <w:color w:val="000000" w:themeColor="text1"/>
          <w:sz w:val="26"/>
          <w:szCs w:val="26"/>
          <w14:textFill>
            <w14:solidFill>
              <w14:schemeClr w14:val="tx1"/>
            </w14:solidFill>
          </w14:textFill>
        </w:rPr>
        <w:t>Name of Consortium member (if any):_________________________</w:t>
      </w:r>
    </w:p>
    <w:tbl>
      <w:tblPr>
        <w:tblStyle w:val="12"/>
        <w:tblW w:w="9467" w:type="dxa"/>
        <w:tblInd w:w="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2957"/>
        <w:gridCol w:w="2121"/>
        <w:gridCol w:w="2121"/>
        <w:gridCol w:w="2268"/>
      </w:tblGrid>
      <w:tr w14:paraId="708C6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tcBorders>
              <w:top w:val="nil"/>
              <w:left w:val="nil"/>
              <w:bottom w:val="nil"/>
            </w:tcBorders>
            <w:vAlign w:val="center"/>
          </w:tcPr>
          <w:p w14:paraId="708C6C73">
            <w:pPr>
              <w:widowControl w:val="0"/>
              <w:spacing w:before="120" w:after="120" w:line="264" w:lineRule="auto"/>
              <w:ind w:firstLine="29"/>
              <w:rPr>
                <w:color w:val="000000" w:themeColor="text1"/>
                <w:sz w:val="26"/>
                <w:szCs w:val="26"/>
                <w14:textFill>
                  <w14:solidFill>
                    <w14:schemeClr w14:val="tx1"/>
                  </w14:solidFill>
                </w14:textFill>
              </w:rPr>
            </w:pPr>
          </w:p>
        </w:tc>
        <w:tc>
          <w:tcPr>
            <w:tcW w:w="6510" w:type="dxa"/>
            <w:gridSpan w:val="3"/>
            <w:shd w:val="clear" w:color="auto" w:fill="E2EFD9"/>
            <w:vAlign w:val="center"/>
          </w:tcPr>
          <w:p w14:paraId="708C6C74">
            <w:pPr>
              <w:widowControl w:val="0"/>
              <w:tabs>
                <w:tab w:val="right" w:leader="underscore" w:pos="9504"/>
              </w:tabs>
              <w:spacing w:before="120" w:after="120" w:line="264" w:lineRule="auto"/>
              <w:ind w:firstLine="29"/>
              <w:rPr>
                <w:b/>
                <w:i/>
                <w:iCs/>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Fiscal years of the bidders from ___ day ___ month to day___ month ____(The bidders fill in this) </w:t>
            </w:r>
          </w:p>
        </w:tc>
      </w:tr>
      <w:tr w14:paraId="708C6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tcBorders>
              <w:top w:val="nil"/>
              <w:left w:val="nil"/>
              <w:bottom w:val="nil"/>
            </w:tcBorders>
            <w:vAlign w:val="center"/>
          </w:tcPr>
          <w:p w14:paraId="708C6C76">
            <w:pPr>
              <w:widowControl w:val="0"/>
              <w:spacing w:before="120" w:after="120" w:line="264" w:lineRule="auto"/>
              <w:ind w:firstLine="29"/>
              <w:rPr>
                <w:color w:val="000000" w:themeColor="text1"/>
                <w:sz w:val="26"/>
                <w:szCs w:val="26"/>
                <w14:textFill>
                  <w14:solidFill>
                    <w14:schemeClr w14:val="tx1"/>
                  </w14:solidFill>
                </w14:textFill>
              </w:rPr>
            </w:pPr>
          </w:p>
        </w:tc>
        <w:tc>
          <w:tcPr>
            <w:tcW w:w="6510" w:type="dxa"/>
            <w:gridSpan w:val="3"/>
            <w:shd w:val="clear" w:color="auto" w:fill="E2EFD9"/>
            <w:vAlign w:val="center"/>
          </w:tcPr>
          <w:p w14:paraId="708C6C77">
            <w:pPr>
              <w:widowControl w:val="0"/>
              <w:tabs>
                <w:tab w:val="right" w:leader="underscore" w:pos="9504"/>
              </w:tabs>
              <w:spacing w:before="120" w:after="120" w:line="264" w:lineRule="auto"/>
              <w:ind w:firstLine="29"/>
              <w:rPr>
                <w:b/>
                <w:color w:val="000000" w:themeColor="text1"/>
                <w:sz w:val="26"/>
                <w:szCs w:val="26"/>
                <w:vertAlign w:val="superscript"/>
                <w14:textFill>
                  <w14:solidFill>
                    <w14:schemeClr w14:val="tx1"/>
                  </w14:solidFill>
                </w14:textFill>
              </w:rPr>
            </w:pPr>
            <w:r>
              <w:rPr>
                <w:color w:val="000000" w:themeColor="text1"/>
                <w:sz w:val="26"/>
                <w:szCs w:val="26"/>
                <w14:textFill>
                  <w14:solidFill>
                    <w14:schemeClr w14:val="tx1"/>
                  </w14:solidFill>
                </w14:textFill>
              </w:rPr>
              <w:t>Financial data for the most recent years as required by the BDs</w:t>
            </w:r>
            <w:r>
              <w:rPr>
                <w:color w:val="000000" w:themeColor="text1"/>
                <w:sz w:val="26"/>
                <w:szCs w:val="26"/>
                <w:vertAlign w:val="superscript"/>
                <w14:textFill>
                  <w14:solidFill>
                    <w14:schemeClr w14:val="tx1"/>
                  </w14:solidFill>
                </w14:textFill>
              </w:rPr>
              <w:t>(2)</w:t>
            </w:r>
          </w:p>
        </w:tc>
      </w:tr>
      <w:tr w14:paraId="708C6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tcBorders>
              <w:top w:val="nil"/>
              <w:left w:val="nil"/>
            </w:tcBorders>
            <w:vAlign w:val="center"/>
          </w:tcPr>
          <w:p w14:paraId="708C6C79">
            <w:pPr>
              <w:widowControl w:val="0"/>
              <w:spacing w:before="120" w:after="120" w:line="264" w:lineRule="auto"/>
              <w:ind w:firstLine="29"/>
              <w:rPr>
                <w:b/>
                <w:color w:val="000000" w:themeColor="text1"/>
                <w:sz w:val="26"/>
                <w:szCs w:val="26"/>
                <w14:textFill>
                  <w14:solidFill>
                    <w14:schemeClr w14:val="tx1"/>
                  </w14:solidFill>
                </w14:textFill>
              </w:rPr>
            </w:pPr>
          </w:p>
        </w:tc>
        <w:tc>
          <w:tcPr>
            <w:tcW w:w="2121" w:type="dxa"/>
            <w:shd w:val="clear" w:color="auto" w:fill="E2EFD9"/>
            <w:vAlign w:val="center"/>
          </w:tcPr>
          <w:p w14:paraId="708C6C7A">
            <w:pPr>
              <w:widowControl w:val="0"/>
              <w:tabs>
                <w:tab w:val="right" w:leader="underscore" w:pos="9504"/>
              </w:tabs>
              <w:spacing w:before="120" w:after="120" w:line="264" w:lineRule="auto"/>
              <w:ind w:firstLine="29"/>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Year 1:</w:t>
            </w:r>
          </w:p>
        </w:tc>
        <w:tc>
          <w:tcPr>
            <w:tcW w:w="2121" w:type="dxa"/>
            <w:shd w:val="clear" w:color="auto" w:fill="E2EFD9"/>
            <w:vAlign w:val="center"/>
          </w:tcPr>
          <w:p w14:paraId="708C6C7B">
            <w:pPr>
              <w:widowControl w:val="0"/>
              <w:tabs>
                <w:tab w:val="right" w:leader="underscore" w:pos="9504"/>
              </w:tabs>
              <w:spacing w:before="120" w:after="120" w:line="264" w:lineRule="auto"/>
              <w:ind w:firstLine="29"/>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Year 2:</w:t>
            </w:r>
          </w:p>
        </w:tc>
        <w:tc>
          <w:tcPr>
            <w:tcW w:w="2268" w:type="dxa"/>
            <w:shd w:val="clear" w:color="auto" w:fill="E2EFD9"/>
            <w:vAlign w:val="center"/>
          </w:tcPr>
          <w:p w14:paraId="708C6C7C">
            <w:pPr>
              <w:widowControl w:val="0"/>
              <w:tabs>
                <w:tab w:val="right" w:leader="underscore" w:pos="9504"/>
              </w:tabs>
              <w:spacing w:before="120" w:after="120" w:line="264" w:lineRule="auto"/>
              <w:ind w:firstLine="29"/>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Year 3:</w:t>
            </w:r>
          </w:p>
        </w:tc>
      </w:tr>
      <w:tr w14:paraId="708C6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vAlign w:val="center"/>
          </w:tcPr>
          <w:p w14:paraId="708C6C7E">
            <w:pPr>
              <w:widowControl w:val="0"/>
              <w:spacing w:before="120" w:after="120" w:line="264" w:lineRule="auto"/>
              <w:ind w:firstLine="29"/>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Total Assets </w:t>
            </w:r>
          </w:p>
        </w:tc>
        <w:tc>
          <w:tcPr>
            <w:tcW w:w="2121" w:type="dxa"/>
            <w:vAlign w:val="center"/>
          </w:tcPr>
          <w:p w14:paraId="708C6C7F">
            <w:pPr>
              <w:widowControl w:val="0"/>
              <w:tabs>
                <w:tab w:val="right" w:leader="underscore" w:pos="9504"/>
              </w:tabs>
              <w:spacing w:before="120" w:after="120" w:line="264" w:lineRule="auto"/>
              <w:ind w:firstLine="29"/>
              <w:outlineLvl w:val="1"/>
              <w:rPr>
                <w:color w:val="000000" w:themeColor="text1"/>
                <w:sz w:val="26"/>
                <w:szCs w:val="26"/>
                <w14:textFill>
                  <w14:solidFill>
                    <w14:schemeClr w14:val="tx1"/>
                  </w14:solidFill>
                </w14:textFill>
              </w:rPr>
            </w:pPr>
          </w:p>
        </w:tc>
        <w:tc>
          <w:tcPr>
            <w:tcW w:w="2121" w:type="dxa"/>
            <w:vAlign w:val="center"/>
          </w:tcPr>
          <w:p w14:paraId="708C6C80">
            <w:pPr>
              <w:widowControl w:val="0"/>
              <w:tabs>
                <w:tab w:val="right" w:leader="underscore" w:pos="9504"/>
              </w:tabs>
              <w:spacing w:before="120" w:after="120" w:line="264" w:lineRule="auto"/>
              <w:ind w:firstLine="29"/>
              <w:outlineLvl w:val="1"/>
              <w:rPr>
                <w:color w:val="000000" w:themeColor="text1"/>
                <w:sz w:val="26"/>
                <w:szCs w:val="26"/>
                <w14:textFill>
                  <w14:solidFill>
                    <w14:schemeClr w14:val="tx1"/>
                  </w14:solidFill>
                </w14:textFill>
              </w:rPr>
            </w:pPr>
          </w:p>
        </w:tc>
        <w:tc>
          <w:tcPr>
            <w:tcW w:w="2268" w:type="dxa"/>
            <w:vAlign w:val="center"/>
          </w:tcPr>
          <w:p w14:paraId="708C6C81">
            <w:pPr>
              <w:widowControl w:val="0"/>
              <w:tabs>
                <w:tab w:val="right" w:leader="underscore" w:pos="9504"/>
              </w:tabs>
              <w:spacing w:before="120" w:after="120" w:line="264" w:lineRule="auto"/>
              <w:ind w:firstLine="29"/>
              <w:outlineLvl w:val="1"/>
              <w:rPr>
                <w:color w:val="000000" w:themeColor="text1"/>
                <w:sz w:val="26"/>
                <w:szCs w:val="26"/>
                <w14:textFill>
                  <w14:solidFill>
                    <w14:schemeClr w14:val="tx1"/>
                  </w14:solidFill>
                </w14:textFill>
              </w:rPr>
            </w:pPr>
          </w:p>
        </w:tc>
      </w:tr>
      <w:tr w14:paraId="708C6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vAlign w:val="center"/>
          </w:tcPr>
          <w:p w14:paraId="708C6C83">
            <w:pPr>
              <w:widowControl w:val="0"/>
              <w:spacing w:before="120" w:after="120" w:line="264" w:lineRule="auto"/>
              <w:ind w:firstLine="29"/>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Total Liabilities </w:t>
            </w:r>
          </w:p>
        </w:tc>
        <w:tc>
          <w:tcPr>
            <w:tcW w:w="2121" w:type="dxa"/>
            <w:vAlign w:val="center"/>
          </w:tcPr>
          <w:p w14:paraId="708C6C84">
            <w:pPr>
              <w:widowControl w:val="0"/>
              <w:tabs>
                <w:tab w:val="right" w:leader="underscore" w:pos="9504"/>
              </w:tabs>
              <w:spacing w:before="120" w:after="120" w:line="264" w:lineRule="auto"/>
              <w:ind w:firstLine="29"/>
              <w:outlineLvl w:val="1"/>
              <w:rPr>
                <w:color w:val="000000" w:themeColor="text1"/>
                <w:sz w:val="26"/>
                <w:szCs w:val="26"/>
                <w14:textFill>
                  <w14:solidFill>
                    <w14:schemeClr w14:val="tx1"/>
                  </w14:solidFill>
                </w14:textFill>
              </w:rPr>
            </w:pPr>
          </w:p>
        </w:tc>
        <w:tc>
          <w:tcPr>
            <w:tcW w:w="2121" w:type="dxa"/>
            <w:vAlign w:val="center"/>
          </w:tcPr>
          <w:p w14:paraId="708C6C85">
            <w:pPr>
              <w:widowControl w:val="0"/>
              <w:tabs>
                <w:tab w:val="right" w:leader="underscore" w:pos="9504"/>
              </w:tabs>
              <w:spacing w:before="120" w:after="120" w:line="264" w:lineRule="auto"/>
              <w:ind w:firstLine="29"/>
              <w:outlineLvl w:val="1"/>
              <w:rPr>
                <w:color w:val="000000" w:themeColor="text1"/>
                <w:sz w:val="26"/>
                <w:szCs w:val="26"/>
                <w14:textFill>
                  <w14:solidFill>
                    <w14:schemeClr w14:val="tx1"/>
                  </w14:solidFill>
                </w14:textFill>
              </w:rPr>
            </w:pPr>
          </w:p>
        </w:tc>
        <w:tc>
          <w:tcPr>
            <w:tcW w:w="2268" w:type="dxa"/>
            <w:vAlign w:val="center"/>
          </w:tcPr>
          <w:p w14:paraId="708C6C86">
            <w:pPr>
              <w:widowControl w:val="0"/>
              <w:tabs>
                <w:tab w:val="right" w:leader="underscore" w:pos="9504"/>
              </w:tabs>
              <w:spacing w:before="120" w:after="120" w:line="264" w:lineRule="auto"/>
              <w:ind w:firstLine="29"/>
              <w:outlineLvl w:val="1"/>
              <w:rPr>
                <w:color w:val="000000" w:themeColor="text1"/>
                <w:sz w:val="26"/>
                <w:szCs w:val="26"/>
                <w14:textFill>
                  <w14:solidFill>
                    <w14:schemeClr w14:val="tx1"/>
                  </w14:solidFill>
                </w14:textFill>
              </w:rPr>
            </w:pPr>
          </w:p>
        </w:tc>
      </w:tr>
      <w:tr w14:paraId="708C6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vAlign w:val="center"/>
          </w:tcPr>
          <w:p w14:paraId="708C6C88">
            <w:pPr>
              <w:widowControl w:val="0"/>
              <w:spacing w:before="120" w:after="120" w:line="264" w:lineRule="auto"/>
              <w:ind w:firstLine="29"/>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Net Worth </w:t>
            </w:r>
          </w:p>
        </w:tc>
        <w:tc>
          <w:tcPr>
            <w:tcW w:w="2121" w:type="dxa"/>
            <w:vAlign w:val="center"/>
          </w:tcPr>
          <w:p w14:paraId="708C6C89">
            <w:pPr>
              <w:widowControl w:val="0"/>
              <w:tabs>
                <w:tab w:val="right" w:leader="underscore" w:pos="9504"/>
              </w:tabs>
              <w:spacing w:before="120" w:after="120" w:line="264" w:lineRule="auto"/>
              <w:ind w:firstLine="29"/>
              <w:outlineLvl w:val="1"/>
              <w:rPr>
                <w:color w:val="000000" w:themeColor="text1"/>
                <w:sz w:val="26"/>
                <w:szCs w:val="26"/>
                <w14:textFill>
                  <w14:solidFill>
                    <w14:schemeClr w14:val="tx1"/>
                  </w14:solidFill>
                </w14:textFill>
              </w:rPr>
            </w:pPr>
          </w:p>
        </w:tc>
        <w:tc>
          <w:tcPr>
            <w:tcW w:w="2121" w:type="dxa"/>
            <w:vAlign w:val="center"/>
          </w:tcPr>
          <w:p w14:paraId="708C6C8A">
            <w:pPr>
              <w:widowControl w:val="0"/>
              <w:tabs>
                <w:tab w:val="right" w:leader="underscore" w:pos="9504"/>
              </w:tabs>
              <w:spacing w:before="120" w:after="120" w:line="264" w:lineRule="auto"/>
              <w:ind w:firstLine="29"/>
              <w:outlineLvl w:val="1"/>
              <w:rPr>
                <w:color w:val="000000" w:themeColor="text1"/>
                <w:sz w:val="26"/>
                <w:szCs w:val="26"/>
                <w14:textFill>
                  <w14:solidFill>
                    <w14:schemeClr w14:val="tx1"/>
                  </w14:solidFill>
                </w14:textFill>
              </w:rPr>
            </w:pPr>
          </w:p>
        </w:tc>
        <w:tc>
          <w:tcPr>
            <w:tcW w:w="2268" w:type="dxa"/>
            <w:vAlign w:val="center"/>
          </w:tcPr>
          <w:p w14:paraId="708C6C8B">
            <w:pPr>
              <w:widowControl w:val="0"/>
              <w:tabs>
                <w:tab w:val="right" w:leader="underscore" w:pos="9504"/>
              </w:tabs>
              <w:spacing w:before="120" w:after="120" w:line="264" w:lineRule="auto"/>
              <w:ind w:firstLine="29"/>
              <w:outlineLvl w:val="1"/>
              <w:rPr>
                <w:color w:val="000000" w:themeColor="text1"/>
                <w:sz w:val="26"/>
                <w:szCs w:val="26"/>
                <w14:textFill>
                  <w14:solidFill>
                    <w14:schemeClr w14:val="tx1"/>
                  </w14:solidFill>
                </w14:textFill>
              </w:rPr>
            </w:pPr>
          </w:p>
        </w:tc>
      </w:tr>
      <w:tr w14:paraId="708C6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vAlign w:val="center"/>
          </w:tcPr>
          <w:p w14:paraId="708C6C8D">
            <w:pPr>
              <w:widowControl w:val="0"/>
              <w:spacing w:before="120" w:after="120" w:line="264" w:lineRule="auto"/>
              <w:ind w:firstLine="29"/>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Annual Revenue (excluding VAT) </w:t>
            </w:r>
          </w:p>
        </w:tc>
        <w:tc>
          <w:tcPr>
            <w:tcW w:w="2121" w:type="dxa"/>
            <w:vAlign w:val="center"/>
          </w:tcPr>
          <w:p w14:paraId="708C6C8E">
            <w:pPr>
              <w:widowControl w:val="0"/>
              <w:tabs>
                <w:tab w:val="right" w:leader="underscore" w:pos="9504"/>
              </w:tabs>
              <w:spacing w:before="120" w:after="120" w:line="264" w:lineRule="auto"/>
              <w:ind w:firstLine="29"/>
              <w:outlineLvl w:val="1"/>
              <w:rPr>
                <w:color w:val="000000" w:themeColor="text1"/>
                <w:sz w:val="26"/>
                <w:szCs w:val="26"/>
                <w14:textFill>
                  <w14:solidFill>
                    <w14:schemeClr w14:val="tx1"/>
                  </w14:solidFill>
                </w14:textFill>
              </w:rPr>
            </w:pPr>
          </w:p>
        </w:tc>
        <w:tc>
          <w:tcPr>
            <w:tcW w:w="2121" w:type="dxa"/>
            <w:vAlign w:val="center"/>
          </w:tcPr>
          <w:p w14:paraId="708C6C8F">
            <w:pPr>
              <w:widowControl w:val="0"/>
              <w:tabs>
                <w:tab w:val="right" w:leader="underscore" w:pos="9504"/>
              </w:tabs>
              <w:spacing w:before="120" w:after="120" w:line="264" w:lineRule="auto"/>
              <w:ind w:firstLine="29"/>
              <w:outlineLvl w:val="1"/>
              <w:rPr>
                <w:color w:val="000000" w:themeColor="text1"/>
                <w:sz w:val="26"/>
                <w:szCs w:val="26"/>
                <w14:textFill>
                  <w14:solidFill>
                    <w14:schemeClr w14:val="tx1"/>
                  </w14:solidFill>
                </w14:textFill>
              </w:rPr>
            </w:pPr>
          </w:p>
        </w:tc>
        <w:tc>
          <w:tcPr>
            <w:tcW w:w="2268" w:type="dxa"/>
            <w:vAlign w:val="center"/>
          </w:tcPr>
          <w:p w14:paraId="708C6C90">
            <w:pPr>
              <w:widowControl w:val="0"/>
              <w:tabs>
                <w:tab w:val="right" w:leader="underscore" w:pos="9504"/>
              </w:tabs>
              <w:spacing w:before="120" w:after="120" w:line="264" w:lineRule="auto"/>
              <w:ind w:firstLine="29"/>
              <w:outlineLvl w:val="1"/>
              <w:rPr>
                <w:color w:val="000000" w:themeColor="text1"/>
                <w:sz w:val="26"/>
                <w:szCs w:val="26"/>
                <w14:textFill>
                  <w14:solidFill>
                    <w14:schemeClr w14:val="tx1"/>
                  </w14:solidFill>
                </w14:textFill>
              </w:rPr>
            </w:pPr>
          </w:p>
        </w:tc>
      </w:tr>
      <w:tr w14:paraId="708C6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vAlign w:val="center"/>
          </w:tcPr>
          <w:p w14:paraId="708C6C92">
            <w:pPr>
              <w:widowControl w:val="0"/>
              <w:spacing w:before="120" w:after="120" w:line="264" w:lineRule="auto"/>
              <w:ind w:firstLine="29"/>
              <w:rPr>
                <w:b/>
                <w:color w:val="000000" w:themeColor="text1"/>
                <w:sz w:val="26"/>
                <w:szCs w:val="26"/>
                <w:vertAlign w:val="superscript"/>
                <w14:textFill>
                  <w14:solidFill>
                    <w14:schemeClr w14:val="tx1"/>
                  </w14:solidFill>
                </w14:textFill>
              </w:rPr>
            </w:pPr>
            <w:r>
              <w:rPr>
                <w:color w:val="000000" w:themeColor="text1"/>
                <w:sz w:val="26"/>
                <w:szCs w:val="26"/>
                <w14:textFill>
                  <w14:solidFill>
                    <w14:schemeClr w14:val="tx1"/>
                  </w14:solidFill>
                </w14:textFill>
              </w:rPr>
              <w:t>Annual average revenue (excluding VAT)</w:t>
            </w:r>
            <w:r>
              <w:rPr>
                <w:color w:val="000000" w:themeColor="text1"/>
                <w:sz w:val="26"/>
                <w:szCs w:val="26"/>
                <w:vertAlign w:val="superscript"/>
                <w14:textFill>
                  <w14:solidFill>
                    <w14:schemeClr w14:val="tx1"/>
                  </w14:solidFill>
                </w14:textFill>
              </w:rPr>
              <w:t>(2)</w:t>
            </w:r>
          </w:p>
        </w:tc>
        <w:tc>
          <w:tcPr>
            <w:tcW w:w="6510" w:type="dxa"/>
            <w:gridSpan w:val="3"/>
            <w:vAlign w:val="center"/>
          </w:tcPr>
          <w:p w14:paraId="708C6C93">
            <w:pPr>
              <w:widowControl w:val="0"/>
              <w:tabs>
                <w:tab w:val="right" w:leader="underscore" w:pos="9504"/>
              </w:tabs>
              <w:spacing w:before="120" w:after="120" w:line="264" w:lineRule="auto"/>
              <w:ind w:firstLine="29"/>
              <w:outlineLvl w:val="1"/>
              <w:rPr>
                <w:i/>
                <w:iCs/>
                <w:color w:val="000000" w:themeColor="text1"/>
                <w:sz w:val="26"/>
                <w:szCs w:val="26"/>
                <w14:textFill>
                  <w14:solidFill>
                    <w14:schemeClr w14:val="tx1"/>
                  </w14:solidFill>
                </w14:textFill>
              </w:rPr>
            </w:pPr>
          </w:p>
        </w:tc>
      </w:tr>
      <w:tr w14:paraId="708C6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vAlign w:val="center"/>
          </w:tcPr>
          <w:p w14:paraId="708C6C95">
            <w:pPr>
              <w:widowControl w:val="0"/>
              <w:spacing w:before="120" w:after="120" w:line="264" w:lineRule="auto"/>
              <w:ind w:firstLine="29"/>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Profit before taxes </w:t>
            </w:r>
          </w:p>
        </w:tc>
        <w:tc>
          <w:tcPr>
            <w:tcW w:w="2121" w:type="dxa"/>
            <w:vAlign w:val="center"/>
          </w:tcPr>
          <w:p w14:paraId="708C6C96">
            <w:pPr>
              <w:widowControl w:val="0"/>
              <w:tabs>
                <w:tab w:val="right" w:leader="underscore" w:pos="9504"/>
              </w:tabs>
              <w:spacing w:before="120" w:after="120" w:line="264" w:lineRule="auto"/>
              <w:ind w:firstLine="29"/>
              <w:outlineLvl w:val="1"/>
              <w:rPr>
                <w:color w:val="000000" w:themeColor="text1"/>
                <w:sz w:val="26"/>
                <w:szCs w:val="26"/>
                <w14:textFill>
                  <w14:solidFill>
                    <w14:schemeClr w14:val="tx1"/>
                  </w14:solidFill>
                </w14:textFill>
              </w:rPr>
            </w:pPr>
          </w:p>
        </w:tc>
        <w:tc>
          <w:tcPr>
            <w:tcW w:w="2121" w:type="dxa"/>
            <w:vAlign w:val="center"/>
          </w:tcPr>
          <w:p w14:paraId="708C6C97">
            <w:pPr>
              <w:widowControl w:val="0"/>
              <w:tabs>
                <w:tab w:val="right" w:leader="underscore" w:pos="9504"/>
              </w:tabs>
              <w:spacing w:before="120" w:after="120" w:line="264" w:lineRule="auto"/>
              <w:ind w:firstLine="29"/>
              <w:outlineLvl w:val="1"/>
              <w:rPr>
                <w:color w:val="000000" w:themeColor="text1"/>
                <w:sz w:val="26"/>
                <w:szCs w:val="26"/>
                <w14:textFill>
                  <w14:solidFill>
                    <w14:schemeClr w14:val="tx1"/>
                  </w14:solidFill>
                </w14:textFill>
              </w:rPr>
            </w:pPr>
          </w:p>
        </w:tc>
        <w:tc>
          <w:tcPr>
            <w:tcW w:w="2268" w:type="dxa"/>
            <w:vAlign w:val="center"/>
          </w:tcPr>
          <w:p w14:paraId="708C6C98">
            <w:pPr>
              <w:widowControl w:val="0"/>
              <w:tabs>
                <w:tab w:val="right" w:leader="underscore" w:pos="9504"/>
              </w:tabs>
              <w:spacing w:before="120" w:after="120" w:line="264" w:lineRule="auto"/>
              <w:ind w:firstLine="29"/>
              <w:outlineLvl w:val="1"/>
              <w:rPr>
                <w:color w:val="000000" w:themeColor="text1"/>
                <w:sz w:val="26"/>
                <w:szCs w:val="26"/>
                <w14:textFill>
                  <w14:solidFill>
                    <w14:schemeClr w14:val="tx1"/>
                  </w14:solidFill>
                </w14:textFill>
              </w:rPr>
            </w:pPr>
          </w:p>
        </w:tc>
      </w:tr>
      <w:tr w14:paraId="708C6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vAlign w:val="center"/>
          </w:tcPr>
          <w:p w14:paraId="708C6C9A">
            <w:pPr>
              <w:widowControl w:val="0"/>
              <w:spacing w:before="120" w:after="120" w:line="264" w:lineRule="auto"/>
              <w:ind w:firstLine="29"/>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Profit after taxes </w:t>
            </w:r>
          </w:p>
        </w:tc>
        <w:tc>
          <w:tcPr>
            <w:tcW w:w="2121" w:type="dxa"/>
            <w:vAlign w:val="center"/>
          </w:tcPr>
          <w:p w14:paraId="708C6C9B">
            <w:pPr>
              <w:widowControl w:val="0"/>
              <w:tabs>
                <w:tab w:val="right" w:leader="underscore" w:pos="9504"/>
              </w:tabs>
              <w:spacing w:before="120" w:after="120" w:line="264" w:lineRule="auto"/>
              <w:ind w:firstLine="29"/>
              <w:outlineLvl w:val="1"/>
              <w:rPr>
                <w:color w:val="000000" w:themeColor="text1"/>
                <w:sz w:val="26"/>
                <w:szCs w:val="26"/>
                <w14:textFill>
                  <w14:solidFill>
                    <w14:schemeClr w14:val="tx1"/>
                  </w14:solidFill>
                </w14:textFill>
              </w:rPr>
            </w:pPr>
          </w:p>
        </w:tc>
        <w:tc>
          <w:tcPr>
            <w:tcW w:w="2121" w:type="dxa"/>
            <w:vAlign w:val="center"/>
          </w:tcPr>
          <w:p w14:paraId="708C6C9C">
            <w:pPr>
              <w:widowControl w:val="0"/>
              <w:tabs>
                <w:tab w:val="right" w:leader="underscore" w:pos="9504"/>
              </w:tabs>
              <w:spacing w:before="120" w:after="120" w:line="264" w:lineRule="auto"/>
              <w:ind w:firstLine="29"/>
              <w:outlineLvl w:val="1"/>
              <w:rPr>
                <w:color w:val="000000" w:themeColor="text1"/>
                <w:sz w:val="26"/>
                <w:szCs w:val="26"/>
                <w14:textFill>
                  <w14:solidFill>
                    <w14:schemeClr w14:val="tx1"/>
                  </w14:solidFill>
                </w14:textFill>
              </w:rPr>
            </w:pPr>
          </w:p>
        </w:tc>
        <w:tc>
          <w:tcPr>
            <w:tcW w:w="2268" w:type="dxa"/>
            <w:vAlign w:val="center"/>
          </w:tcPr>
          <w:p w14:paraId="708C6C9D">
            <w:pPr>
              <w:widowControl w:val="0"/>
              <w:tabs>
                <w:tab w:val="right" w:leader="underscore" w:pos="9504"/>
              </w:tabs>
              <w:spacing w:before="120" w:after="120" w:line="264" w:lineRule="auto"/>
              <w:ind w:firstLine="29"/>
              <w:outlineLvl w:val="1"/>
              <w:rPr>
                <w:color w:val="000000" w:themeColor="text1"/>
                <w:sz w:val="26"/>
                <w:szCs w:val="26"/>
                <w14:textFill>
                  <w14:solidFill>
                    <w14:schemeClr w14:val="tx1"/>
                  </w14:solidFill>
                </w14:textFill>
              </w:rPr>
            </w:pPr>
          </w:p>
        </w:tc>
      </w:tr>
      <w:tr w14:paraId="708C6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9467" w:type="dxa"/>
            <w:gridSpan w:val="4"/>
            <w:vAlign w:val="center"/>
          </w:tcPr>
          <w:p w14:paraId="708C6C9F">
            <w:pPr>
              <w:pStyle w:val="168"/>
              <w:widowControl w:val="0"/>
              <w:shd w:val="clear" w:color="auto" w:fill="FFFFFF"/>
              <w:spacing w:before="120" w:after="120" w:line="264" w:lineRule="auto"/>
              <w:rPr>
                <w:rFonts w:ascii="Times New Roman" w:hAnsi="Times New Roman" w:eastAsia="Calibri"/>
                <w:color w:val="000000" w:themeColor="text1"/>
                <w:sz w:val="26"/>
                <w:szCs w:val="26"/>
                <w:lang w:val="en"/>
                <w14:textFill>
                  <w14:solidFill>
                    <w14:schemeClr w14:val="tx1"/>
                  </w14:solidFill>
                </w14:textFill>
              </w:rPr>
            </w:pPr>
            <w:r>
              <w:rPr>
                <w:rFonts w:ascii="Times New Roman" w:hAnsi="Times New Roman" w:eastAsia="Calibri"/>
                <w:color w:val="000000" w:themeColor="text1"/>
                <w:sz w:val="26"/>
                <w:szCs w:val="26"/>
                <w:lang w:val="en"/>
                <w14:textFill>
                  <w14:solidFill>
                    <w14:schemeClr w14:val="tx1"/>
                  </w14:solidFill>
                </w14:textFill>
              </w:rPr>
              <w:t>The copies of the financial statements for the years as listed above, comply with the following conditions:</w:t>
            </w:r>
          </w:p>
          <w:p w14:paraId="708C6CA0">
            <w:pPr>
              <w:pStyle w:val="168"/>
              <w:widowControl w:val="0"/>
              <w:numPr>
                <w:ilvl w:val="0"/>
                <w:numId w:val="62"/>
              </w:numPr>
              <w:shd w:val="clear" w:color="auto" w:fill="FFFFFF"/>
              <w:spacing w:before="120" w:after="120" w:line="264" w:lineRule="auto"/>
              <w:ind w:left="286" w:hanging="286"/>
              <w:rPr>
                <w:rFonts w:ascii="Times New Roman" w:hAnsi="Times New Roman" w:eastAsia="Calibri"/>
                <w:color w:val="000000" w:themeColor="text1"/>
                <w:sz w:val="26"/>
                <w:szCs w:val="26"/>
                <w:lang w:val="en"/>
                <w14:textFill>
                  <w14:solidFill>
                    <w14:schemeClr w14:val="tx1"/>
                  </w14:solidFill>
                </w14:textFill>
              </w:rPr>
            </w:pPr>
            <w:r>
              <w:rPr>
                <w:rFonts w:ascii="Times New Roman" w:hAnsi="Times New Roman" w:eastAsia="Calibri"/>
                <w:color w:val="000000" w:themeColor="text1"/>
                <w:sz w:val="26"/>
                <w:szCs w:val="26"/>
                <w:lang w:val="en"/>
                <w14:textFill>
                  <w14:solidFill>
                    <w14:schemeClr w14:val="tx1"/>
                  </w14:solidFill>
                </w14:textFill>
              </w:rPr>
              <w:t>Reflecting the financial situation of the Bidder or consortium member (if the Bidder is a consortium), not the financial situation of an affiliated entity such as parent company or subsidiary or affiliated company of the bidder or consortium member.</w:t>
            </w:r>
          </w:p>
          <w:p w14:paraId="708C6CA1">
            <w:pPr>
              <w:pStyle w:val="168"/>
              <w:widowControl w:val="0"/>
              <w:numPr>
                <w:ilvl w:val="0"/>
                <w:numId w:val="62"/>
              </w:numPr>
              <w:shd w:val="clear" w:color="auto" w:fill="FFFFFF"/>
              <w:spacing w:before="120" w:after="120" w:line="264" w:lineRule="auto"/>
              <w:ind w:left="286" w:hanging="286"/>
              <w:rPr>
                <w:rFonts w:ascii="Times New Roman" w:hAnsi="Times New Roman" w:eastAsia="Calibri"/>
                <w:color w:val="000000" w:themeColor="text1"/>
                <w:sz w:val="26"/>
                <w:szCs w:val="26"/>
                <w:lang w:val="en"/>
                <w14:textFill>
                  <w14:solidFill>
                    <w14:schemeClr w14:val="tx1"/>
                  </w14:solidFill>
                </w14:textFill>
              </w:rPr>
            </w:pPr>
            <w:r>
              <w:rPr>
                <w:rFonts w:ascii="Times New Roman" w:hAnsi="Times New Roman" w:eastAsia="Calibri"/>
                <w:color w:val="000000" w:themeColor="text1"/>
                <w:sz w:val="26"/>
                <w:szCs w:val="26"/>
                <w:lang w:val="en"/>
                <w14:textFill>
                  <w14:solidFill>
                    <w14:schemeClr w14:val="tx1"/>
                  </w14:solidFill>
                </w14:textFill>
              </w:rPr>
              <w:t xml:space="preserve">Financial statements must be completed, including all notes to the financial statements in accordance with the regulations. </w:t>
            </w:r>
          </w:p>
          <w:p w14:paraId="708C6CA2">
            <w:pPr>
              <w:pStyle w:val="168"/>
              <w:widowControl w:val="0"/>
              <w:numPr>
                <w:ilvl w:val="0"/>
                <w:numId w:val="62"/>
              </w:numPr>
              <w:shd w:val="clear" w:color="auto" w:fill="FFFFFF"/>
              <w:spacing w:before="120" w:after="120" w:line="264" w:lineRule="auto"/>
              <w:ind w:left="286" w:hanging="286"/>
              <w:rPr>
                <w:rFonts w:ascii="Times New Roman" w:hAnsi="Times New Roman" w:eastAsia="Calibri"/>
                <w:color w:val="000000" w:themeColor="text1"/>
                <w:sz w:val="26"/>
                <w:szCs w:val="26"/>
                <w:lang w:val="en"/>
                <w14:textFill>
                  <w14:solidFill>
                    <w14:schemeClr w14:val="tx1"/>
                  </w14:solidFill>
                </w14:textFill>
              </w:rPr>
            </w:pPr>
            <w:r>
              <w:rPr>
                <w:rFonts w:ascii="Times New Roman" w:hAnsi="Times New Roman" w:eastAsia="Calibri"/>
                <w:color w:val="000000" w:themeColor="text1"/>
                <w:sz w:val="26"/>
                <w:szCs w:val="26"/>
                <w:lang w:val="en"/>
                <w14:textFill>
                  <w14:solidFill>
                    <w14:schemeClr w14:val="tx1"/>
                  </w14:solidFill>
                </w14:textFill>
              </w:rPr>
              <w:t>For foreign bidders, financial statements must be audited. For domestic bidders, the financial statements must correspond to the completed accounting periods and enclosed with the notarized copies of one of the following documents:</w:t>
            </w:r>
          </w:p>
          <w:p w14:paraId="708C6CA3">
            <w:pPr>
              <w:pStyle w:val="168"/>
              <w:widowControl w:val="0"/>
              <w:shd w:val="clear" w:color="auto" w:fill="FFFFFF"/>
              <w:spacing w:before="120" w:after="120" w:line="264" w:lineRule="auto"/>
              <w:ind w:left="286"/>
              <w:rPr>
                <w:rFonts w:ascii="Times New Roman" w:hAnsi="Times New Roman" w:eastAsia="Calibri"/>
                <w:color w:val="000000" w:themeColor="text1"/>
                <w:sz w:val="26"/>
                <w:szCs w:val="26"/>
                <w:lang w:val="en"/>
                <w14:textFill>
                  <w14:solidFill>
                    <w14:schemeClr w14:val="tx1"/>
                  </w14:solidFill>
                </w14:textFill>
              </w:rPr>
            </w:pPr>
            <w:r>
              <w:rPr>
                <w:rFonts w:ascii="Times New Roman" w:hAnsi="Times New Roman" w:eastAsia="Calibri"/>
                <w:color w:val="000000" w:themeColor="text1"/>
                <w:sz w:val="26"/>
                <w:szCs w:val="26"/>
                <w:lang w:val="en"/>
                <w14:textFill>
                  <w14:solidFill>
                    <w14:schemeClr w14:val="tx1"/>
                  </w14:solidFill>
                </w14:textFill>
              </w:rPr>
              <w:t>- Minutes of tax inspection and finalization;</w:t>
            </w:r>
          </w:p>
          <w:p w14:paraId="708C6CA4">
            <w:pPr>
              <w:pStyle w:val="168"/>
              <w:widowControl w:val="0"/>
              <w:shd w:val="clear" w:color="auto" w:fill="FFFFFF"/>
              <w:spacing w:before="120" w:after="120" w:line="264" w:lineRule="auto"/>
              <w:ind w:left="286"/>
              <w:rPr>
                <w:rFonts w:ascii="Times New Roman" w:hAnsi="Times New Roman" w:eastAsia="Calibri"/>
                <w:color w:val="000000" w:themeColor="text1"/>
                <w:sz w:val="26"/>
                <w:szCs w:val="26"/>
                <w:lang w:val="en"/>
                <w14:textFill>
                  <w14:solidFill>
                    <w14:schemeClr w14:val="tx1"/>
                  </w14:solidFill>
                </w14:textFill>
              </w:rPr>
            </w:pPr>
            <w:r>
              <w:rPr>
                <w:rFonts w:ascii="Times New Roman" w:hAnsi="Times New Roman" w:eastAsia="Calibri"/>
                <w:color w:val="000000" w:themeColor="text1"/>
                <w:sz w:val="26"/>
                <w:szCs w:val="26"/>
                <w:lang w:val="en"/>
                <w14:textFill>
                  <w14:solidFill>
                    <w14:schemeClr w14:val="tx1"/>
                  </w14:solidFill>
                </w14:textFill>
              </w:rPr>
              <w:t>- A tax self-settlement/ finalization declaration (value added tax and Profit tax) certified by the tax authority about the time of submission of the declaration;</w:t>
            </w:r>
          </w:p>
          <w:p w14:paraId="708C6CA5">
            <w:pPr>
              <w:pStyle w:val="168"/>
              <w:widowControl w:val="0"/>
              <w:shd w:val="clear" w:color="auto" w:fill="FFFFFF"/>
              <w:spacing w:before="120" w:after="120" w:line="264" w:lineRule="auto"/>
              <w:ind w:left="286"/>
              <w:rPr>
                <w:rFonts w:ascii="Times New Roman" w:hAnsi="Times New Roman" w:eastAsia="Calibri"/>
                <w:color w:val="000000" w:themeColor="text1"/>
                <w:sz w:val="26"/>
                <w:szCs w:val="26"/>
                <w:lang w:val="en"/>
                <w14:textFill>
                  <w14:solidFill>
                    <w14:schemeClr w14:val="tx1"/>
                  </w14:solidFill>
                </w14:textFill>
              </w:rPr>
            </w:pPr>
            <w:r>
              <w:rPr>
                <w:rFonts w:ascii="Times New Roman" w:hAnsi="Times New Roman" w:eastAsia="Calibri"/>
                <w:color w:val="000000" w:themeColor="text1"/>
                <w:sz w:val="26"/>
                <w:szCs w:val="26"/>
                <w:lang w:val="en"/>
                <w14:textFill>
                  <w14:solidFill>
                    <w14:schemeClr w14:val="tx1"/>
                  </w14:solidFill>
                </w14:textFill>
              </w:rPr>
              <w:t>- Documents proving that the Bidder has declared the electronic tax finalization;</w:t>
            </w:r>
          </w:p>
          <w:p w14:paraId="708C6CA6">
            <w:pPr>
              <w:pStyle w:val="168"/>
              <w:widowControl w:val="0"/>
              <w:shd w:val="clear" w:color="auto" w:fill="FFFFFF"/>
              <w:spacing w:before="120" w:after="120" w:line="264" w:lineRule="auto"/>
              <w:ind w:left="286"/>
              <w:rPr>
                <w:rFonts w:ascii="Times New Roman" w:hAnsi="Times New Roman" w:eastAsia="Calibri"/>
                <w:color w:val="000000" w:themeColor="text1"/>
                <w:sz w:val="26"/>
                <w:szCs w:val="26"/>
                <w:lang w:val="en"/>
                <w14:textFill>
                  <w14:solidFill>
                    <w14:schemeClr w14:val="tx1"/>
                  </w14:solidFill>
                </w14:textFill>
              </w:rPr>
            </w:pPr>
            <w:r>
              <w:rPr>
                <w:rFonts w:ascii="Times New Roman" w:hAnsi="Times New Roman" w:eastAsia="Calibri"/>
                <w:color w:val="000000" w:themeColor="text1"/>
                <w:sz w:val="26"/>
                <w:szCs w:val="26"/>
                <w:lang w:val="en"/>
                <w14:textFill>
                  <w14:solidFill>
                    <w14:schemeClr w14:val="tx1"/>
                  </w14:solidFill>
                </w14:textFill>
              </w:rPr>
              <w:t>- A written certification of tax management department (confirmation of the whole year payment) about the fulfillment of the tax payment obligation;</w:t>
            </w:r>
          </w:p>
          <w:p w14:paraId="708C6CA7">
            <w:pPr>
              <w:pStyle w:val="168"/>
              <w:widowControl w:val="0"/>
              <w:shd w:val="clear" w:color="auto" w:fill="FFFFFF"/>
              <w:spacing w:before="120" w:after="120" w:line="264" w:lineRule="auto"/>
              <w:ind w:left="286"/>
              <w:rPr>
                <w:rFonts w:ascii="Times New Roman" w:hAnsi="Times New Roman" w:eastAsia="Calibri"/>
                <w:color w:val="000000" w:themeColor="text1"/>
                <w:sz w:val="26"/>
                <w:szCs w:val="26"/>
                <w:lang w:val="en"/>
                <w14:textFill>
                  <w14:solidFill>
                    <w14:schemeClr w14:val="tx1"/>
                  </w14:solidFill>
                </w14:textFill>
              </w:rPr>
            </w:pPr>
            <w:r>
              <w:rPr>
                <w:rFonts w:ascii="Times New Roman" w:hAnsi="Times New Roman" w:eastAsia="Calibri"/>
                <w:color w:val="000000" w:themeColor="text1"/>
                <w:sz w:val="26"/>
                <w:szCs w:val="26"/>
                <w:lang w:val="en"/>
                <w14:textFill>
                  <w14:solidFill>
                    <w14:schemeClr w14:val="tx1"/>
                  </w14:solidFill>
                </w14:textFill>
              </w:rPr>
              <w:t>- Audit reports (if any);</w:t>
            </w:r>
          </w:p>
          <w:p w14:paraId="708C6CA8">
            <w:pPr>
              <w:pStyle w:val="168"/>
              <w:widowControl w:val="0"/>
              <w:shd w:val="clear" w:color="auto" w:fill="FFFFFF"/>
              <w:spacing w:before="120" w:after="120" w:line="264" w:lineRule="auto"/>
              <w:ind w:left="286"/>
              <w:rPr>
                <w:rFonts w:ascii="Times New Roman" w:hAnsi="Times New Roman" w:eastAsia="Calibri"/>
                <w:color w:val="000000" w:themeColor="text1"/>
                <w:sz w:val="26"/>
                <w:szCs w:val="26"/>
                <w14:textFill>
                  <w14:solidFill>
                    <w14:schemeClr w14:val="tx1"/>
                  </w14:solidFill>
                </w14:textFill>
              </w:rPr>
            </w:pPr>
            <w:r>
              <w:rPr>
                <w:rFonts w:ascii="Times New Roman" w:hAnsi="Times New Roman" w:eastAsia="Calibri"/>
                <w:color w:val="000000" w:themeColor="text1"/>
                <w:sz w:val="26"/>
                <w:szCs w:val="26"/>
                <w:lang w:val="en"/>
                <w14:textFill>
                  <w14:solidFill>
                    <w14:schemeClr w14:val="tx1"/>
                  </w14:solidFill>
                </w14:textFill>
              </w:rPr>
              <w:t>- Other documents.</w:t>
            </w:r>
          </w:p>
        </w:tc>
      </w:tr>
    </w:tbl>
    <w:p w14:paraId="708C6CAA">
      <w:pPr>
        <w:pStyle w:val="168"/>
        <w:widowControl w:val="0"/>
        <w:shd w:val="clear" w:color="auto" w:fill="FFFFFF"/>
        <w:spacing w:before="120" w:after="120" w:line="264" w:lineRule="auto"/>
        <w:jc w:val="left"/>
        <w:rPr>
          <w:rFonts w:ascii="Times New Roman" w:hAnsi="Times New Roman"/>
          <w:color w:val="000000" w:themeColor="text1"/>
          <w:sz w:val="26"/>
          <w:szCs w:val="26"/>
          <w:lang w:val="en"/>
          <w14:textFill>
            <w14:solidFill>
              <w14:schemeClr w14:val="tx1"/>
            </w14:solidFill>
          </w14:textFill>
        </w:rPr>
      </w:pPr>
      <w:r>
        <w:rPr>
          <w:rFonts w:ascii="Times New Roman" w:hAnsi="Times New Roman"/>
          <w:color w:val="000000" w:themeColor="text1"/>
          <w:sz w:val="26"/>
          <w:szCs w:val="26"/>
          <w:lang w:val="en"/>
          <w14:textFill>
            <w14:solidFill>
              <w14:schemeClr w14:val="tx1"/>
            </w14:solidFill>
          </w14:textFill>
        </w:rPr>
        <w:t>Note:</w:t>
      </w:r>
    </w:p>
    <w:p w14:paraId="708C6CAB">
      <w:pPr>
        <w:pStyle w:val="347"/>
        <w:widowControl w:val="0"/>
        <w:numPr>
          <w:ilvl w:val="0"/>
          <w:numId w:val="63"/>
        </w:numPr>
        <w:shd w:val="clear" w:color="auto" w:fill="FFFFFF"/>
        <w:spacing w:after="120" w:line="264" w:lineRule="auto"/>
        <w:ind w:left="426" w:hanging="426"/>
        <w:jc w:val="both"/>
        <w:outlineLvl w:val="2"/>
        <w:rPr>
          <w:b w:val="0"/>
          <w:color w:val="000000" w:themeColor="text1"/>
          <w:sz w:val="26"/>
          <w:szCs w:val="26"/>
          <w14:textFill>
            <w14:solidFill>
              <w14:schemeClr w14:val="tx1"/>
            </w14:solidFill>
          </w14:textFill>
        </w:rPr>
      </w:pPr>
      <w:r>
        <w:rPr>
          <w:b w:val="0"/>
          <w:color w:val="000000" w:themeColor="text1"/>
          <w:sz w:val="26"/>
          <w:szCs w:val="26"/>
          <w14:textFill>
            <w14:solidFill>
              <w14:schemeClr w14:val="tx1"/>
            </w14:solidFill>
          </w14:textFill>
        </w:rPr>
        <w:t>In case of consortium, the Form shall be filled in for each member.</w:t>
      </w:r>
    </w:p>
    <w:p w14:paraId="708C6CAC">
      <w:pPr>
        <w:pStyle w:val="347"/>
        <w:widowControl w:val="0"/>
        <w:numPr>
          <w:ilvl w:val="0"/>
          <w:numId w:val="63"/>
        </w:numPr>
        <w:shd w:val="clear" w:color="auto" w:fill="FFFFFF"/>
        <w:spacing w:after="120" w:line="264" w:lineRule="auto"/>
        <w:ind w:left="426" w:hanging="426"/>
        <w:jc w:val="both"/>
        <w:outlineLvl w:val="2"/>
        <w:rPr>
          <w:b w:val="0"/>
          <w:color w:val="000000" w:themeColor="text1"/>
          <w:sz w:val="26"/>
          <w:szCs w:val="26"/>
          <w14:textFill>
            <w14:solidFill>
              <w14:schemeClr w14:val="tx1"/>
            </w14:solidFill>
          </w14:textFill>
        </w:rPr>
      </w:pPr>
      <w:r>
        <w:rPr>
          <w:b w:val="0"/>
          <w:color w:val="000000" w:themeColor="text1"/>
          <w:sz w:val="26"/>
          <w:szCs w:val="26"/>
          <w14:textFill>
            <w14:solidFill>
              <w14:schemeClr w14:val="tx1"/>
            </w14:solidFill>
          </w14:textFill>
        </w:rPr>
        <w:t>The time period should be the same as that specified in Clause 2.1 Section III – Criteria for Evaluation of Bid.</w:t>
      </w:r>
    </w:p>
    <w:p w14:paraId="708C6CAD">
      <w:pPr>
        <w:pStyle w:val="347"/>
        <w:widowControl w:val="0"/>
        <w:numPr>
          <w:ilvl w:val="0"/>
          <w:numId w:val="63"/>
        </w:numPr>
        <w:shd w:val="clear" w:color="auto" w:fill="FFFFFF"/>
        <w:spacing w:after="120" w:line="264" w:lineRule="auto"/>
        <w:ind w:left="426" w:hanging="426"/>
        <w:jc w:val="both"/>
        <w:outlineLvl w:val="2"/>
        <w:rPr>
          <w:b w:val="0"/>
          <w:color w:val="000000" w:themeColor="text1"/>
          <w:sz w:val="26"/>
          <w:szCs w:val="26"/>
          <w14:textFill>
            <w14:solidFill>
              <w14:schemeClr w14:val="tx1"/>
            </w14:solidFill>
          </w14:textFill>
        </w:rPr>
      </w:pPr>
      <w:r>
        <w:rPr>
          <w:b w:val="0"/>
          <w:color w:val="000000" w:themeColor="text1"/>
          <w:sz w:val="26"/>
          <w:szCs w:val="26"/>
          <w14:textFill>
            <w14:solidFill>
              <w14:schemeClr w14:val="tx1"/>
            </w14:solidFill>
          </w14:textFill>
        </w:rPr>
        <w:t xml:space="preserve">To determine the average annual revenue (excluding VAT), the Bidders shall divide the total revenue of the years (excluding VAT) by the number of years based on the provided information. </w:t>
      </w:r>
    </w:p>
    <w:p w14:paraId="708C6CAE">
      <w:pPr>
        <w:pStyle w:val="168"/>
        <w:widowControl w:val="0"/>
        <w:shd w:val="clear" w:color="auto" w:fill="FFFFFF"/>
        <w:spacing w:before="120" w:after="120" w:line="264" w:lineRule="auto"/>
        <w:ind w:firstLine="567"/>
        <w:rPr>
          <w:rFonts w:ascii="Times New Roman" w:hAnsi="Times New Roman"/>
          <w:color w:val="000000" w:themeColor="text1"/>
          <w:sz w:val="26"/>
          <w:szCs w:val="26"/>
          <w:lang w:val="en"/>
          <w14:textFill>
            <w14:solidFill>
              <w14:schemeClr w14:val="tx1"/>
            </w14:solidFill>
          </w14:textFill>
        </w:rPr>
      </w:pPr>
      <w:r>
        <w:rPr>
          <w:rFonts w:ascii="Times New Roman" w:hAnsi="Times New Roman"/>
          <w:color w:val="000000" w:themeColor="text1"/>
          <w:sz w:val="26"/>
          <w:szCs w:val="26"/>
          <w:lang w:val="en"/>
          <w14:textFill>
            <w14:solidFill>
              <w14:schemeClr w14:val="tx1"/>
            </w14:solidFill>
          </w14:textFill>
        </w:rPr>
        <w:t>Annual revenue is calculated as the total revenue in the financial statements for that year (excluding VAT).</w:t>
      </w:r>
    </w:p>
    <w:p w14:paraId="708C6CAF">
      <w:pPr>
        <w:widowControl w:val="0"/>
        <w:shd w:val="clear" w:color="auto" w:fill="FFFFFF"/>
        <w:spacing w:before="120" w:after="120" w:line="264" w:lineRule="auto"/>
        <w:ind w:firstLine="567"/>
        <w:jc w:val="both"/>
        <w:outlineLvl w:val="3"/>
        <w:rPr>
          <w:color w:val="000000" w:themeColor="text1"/>
          <w:sz w:val="26"/>
          <w:szCs w:val="26"/>
          <w:lang w:val="en"/>
          <w14:textFill>
            <w14:solidFill>
              <w14:schemeClr w14:val="tx1"/>
            </w14:solidFill>
          </w14:textFill>
        </w:rPr>
      </w:pPr>
      <w:r>
        <w:rPr>
          <w:color w:val="000000" w:themeColor="text1"/>
          <w:sz w:val="26"/>
          <w:szCs w:val="26"/>
          <w:lang w:val="en"/>
          <w14:textFill>
            <w14:solidFill>
              <w14:schemeClr w14:val="tx1"/>
            </w14:solidFill>
          </w14:textFill>
        </w:rPr>
        <w:t>In case the newly established bidder does not have enough the numbers of years as required by the BDs, the average annual turnover (excluding VAT) is calculated on the basis of the number of years for which the bidder has financial data.</w:t>
      </w:r>
    </w:p>
    <w:p w14:paraId="708C6CB0">
      <w:pPr>
        <w:spacing w:after="0" w:line="240" w:lineRule="auto"/>
        <w:rPr>
          <w:color w:val="000000" w:themeColor="text1"/>
          <w:sz w:val="26"/>
          <w:szCs w:val="26"/>
          <w:lang w:val="en"/>
          <w14:textFill>
            <w14:solidFill>
              <w14:schemeClr w14:val="tx1"/>
            </w14:solidFill>
          </w14:textFill>
        </w:rPr>
      </w:pPr>
      <w:r>
        <w:rPr>
          <w:color w:val="000000" w:themeColor="text1"/>
          <w:sz w:val="26"/>
          <w:szCs w:val="26"/>
          <w:lang w:val="en"/>
          <w14:textFill>
            <w14:solidFill>
              <w14:schemeClr w14:val="tx1"/>
            </w14:solidFill>
          </w14:textFill>
        </w:rPr>
        <w:br w:type="page"/>
      </w:r>
    </w:p>
    <w:p w14:paraId="708C6CB1">
      <w:pPr>
        <w:pStyle w:val="126"/>
        <w:widowControl w:val="0"/>
        <w:shd w:val="clear" w:color="auto" w:fill="FFFFFF"/>
        <w:tabs>
          <w:tab w:val="clear" w:pos="-720"/>
        </w:tabs>
        <w:suppressAutoHyphens w:val="0"/>
        <w:spacing w:before="120" w:after="120" w:line="264" w:lineRule="auto"/>
        <w:ind w:firstLine="567"/>
        <w:jc w:val="right"/>
        <w:rPr>
          <w:rFonts w:ascii="Times New Roman" w:hAnsi="Times New Roman"/>
          <w:b w:val="0"/>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Form 13</w:t>
      </w:r>
    </w:p>
    <w:p w14:paraId="708C6CB2">
      <w:pPr>
        <w:pStyle w:val="5"/>
        <w:keepNext w:val="0"/>
        <w:widowControl w:val="0"/>
        <w:shd w:val="clear" w:color="auto" w:fill="FFFFFF"/>
        <w:spacing w:before="120" w:after="120" w:line="264" w:lineRule="auto"/>
        <w:ind w:firstLine="567"/>
        <w:jc w:val="center"/>
        <w:rPr>
          <w:rFonts w:ascii="Times New Roman" w:hAnsi="Times New Roman"/>
          <w:i w:val="0"/>
          <w:color w:val="000000" w:themeColor="text1"/>
          <w:sz w:val="26"/>
          <w:szCs w:val="26"/>
          <w:vertAlign w:val="superscript"/>
          <w14:textFill>
            <w14:solidFill>
              <w14:schemeClr w14:val="tx1"/>
            </w14:solidFill>
          </w14:textFill>
        </w:rPr>
      </w:pPr>
      <w:r>
        <w:rPr>
          <w:rFonts w:ascii="Times New Roman" w:hAnsi="Times New Roman"/>
          <w:i w:val="0"/>
          <w:color w:val="000000" w:themeColor="text1"/>
          <w:sz w:val="26"/>
          <w:szCs w:val="26"/>
          <w14:textFill>
            <w14:solidFill>
              <w14:schemeClr w14:val="tx1"/>
            </w14:solidFill>
          </w14:textFill>
        </w:rPr>
        <w:t>WORK’S SCOPE OF SUBCONTRACTOR</w:t>
      </w:r>
      <w:r>
        <w:rPr>
          <w:rFonts w:ascii="Times New Roman" w:hAnsi="Times New Roman"/>
          <w:i w:val="0"/>
          <w:color w:val="000000" w:themeColor="text1"/>
          <w:sz w:val="26"/>
          <w:szCs w:val="26"/>
          <w:vertAlign w:val="superscript"/>
          <w14:textFill>
            <w14:solidFill>
              <w14:schemeClr w14:val="tx1"/>
            </w14:solidFill>
          </w14:textFill>
        </w:rPr>
        <w:t>(1)</w:t>
      </w:r>
    </w:p>
    <w:p w14:paraId="708C6CB3">
      <w:pPr>
        <w:widowControl w:val="0"/>
        <w:shd w:val="clear" w:color="auto" w:fill="FFFFFF"/>
        <w:spacing w:before="120" w:after="120" w:line="264" w:lineRule="auto"/>
        <w:ind w:firstLine="567"/>
        <w:jc w:val="center"/>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(applies to related services only)</w:t>
      </w:r>
    </w:p>
    <w:tbl>
      <w:tblPr>
        <w:tblStyle w:val="12"/>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871"/>
        <w:gridCol w:w="1247"/>
        <w:gridCol w:w="1560"/>
        <w:gridCol w:w="1559"/>
        <w:gridCol w:w="2693"/>
      </w:tblGrid>
      <w:tr w14:paraId="708C6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Align w:val="center"/>
          </w:tcPr>
          <w:p w14:paraId="708C6CB4">
            <w:pPr>
              <w:widowControl w:val="0"/>
              <w:shd w:val="clear" w:color="auto" w:fill="FFFFFF"/>
              <w:spacing w:before="120" w:after="120" w:line="264"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No.</w:t>
            </w:r>
          </w:p>
        </w:tc>
        <w:tc>
          <w:tcPr>
            <w:tcW w:w="1871" w:type="dxa"/>
            <w:vAlign w:val="center"/>
          </w:tcPr>
          <w:p w14:paraId="708C6CB5">
            <w:pPr>
              <w:widowControl w:val="0"/>
              <w:shd w:val="clear" w:color="auto" w:fill="FFFFFF"/>
              <w:spacing w:before="120" w:after="120" w:line="264" w:lineRule="auto"/>
              <w:jc w:val="center"/>
              <w:rPr>
                <w:b/>
                <w:color w:val="000000" w:themeColor="text1"/>
                <w:sz w:val="26"/>
                <w:szCs w:val="26"/>
                <w:vertAlign w:val="superscript"/>
                <w14:textFill>
                  <w14:solidFill>
                    <w14:schemeClr w14:val="tx1"/>
                  </w14:solidFill>
                </w14:textFill>
              </w:rPr>
            </w:pPr>
            <w:r>
              <w:rPr>
                <w:b/>
                <w:color w:val="000000" w:themeColor="text1"/>
                <w:sz w:val="26"/>
                <w:szCs w:val="26"/>
                <w14:textFill>
                  <w14:solidFill>
                    <w14:schemeClr w14:val="tx1"/>
                  </w14:solidFill>
                </w14:textFill>
              </w:rPr>
              <w:t>Name of subcontractor</w:t>
            </w:r>
            <w:r>
              <w:rPr>
                <w:b/>
                <w:color w:val="000000" w:themeColor="text1"/>
                <w:sz w:val="26"/>
                <w:szCs w:val="26"/>
                <w:vertAlign w:val="superscript"/>
                <w14:textFill>
                  <w14:solidFill>
                    <w14:schemeClr w14:val="tx1"/>
                  </w14:solidFill>
                </w14:textFill>
              </w:rPr>
              <w:t>(2)</w:t>
            </w:r>
          </w:p>
        </w:tc>
        <w:tc>
          <w:tcPr>
            <w:tcW w:w="1247" w:type="dxa"/>
            <w:vAlign w:val="center"/>
          </w:tcPr>
          <w:p w14:paraId="708C6CB6">
            <w:pPr>
              <w:widowControl w:val="0"/>
              <w:shd w:val="clear" w:color="auto" w:fill="FFFFFF"/>
              <w:spacing w:before="120" w:after="120" w:line="264" w:lineRule="auto"/>
              <w:jc w:val="center"/>
              <w:rPr>
                <w:b/>
                <w:color w:val="000000" w:themeColor="text1"/>
                <w:sz w:val="26"/>
                <w:szCs w:val="26"/>
                <w:vertAlign w:val="superscript"/>
                <w14:textFill>
                  <w14:solidFill>
                    <w14:schemeClr w14:val="tx1"/>
                  </w14:solidFill>
                </w14:textFill>
              </w:rPr>
            </w:pPr>
            <w:r>
              <w:rPr>
                <w:b/>
                <w:color w:val="000000" w:themeColor="text1"/>
                <w:sz w:val="26"/>
                <w:szCs w:val="26"/>
                <w14:textFill>
                  <w14:solidFill>
                    <w14:schemeClr w14:val="tx1"/>
                  </w14:solidFill>
                </w14:textFill>
              </w:rPr>
              <w:t>Scope of work</w:t>
            </w:r>
            <w:r>
              <w:rPr>
                <w:b/>
                <w:color w:val="000000" w:themeColor="text1"/>
                <w:sz w:val="26"/>
                <w:szCs w:val="26"/>
                <w:vertAlign w:val="superscript"/>
                <w14:textFill>
                  <w14:solidFill>
                    <w14:schemeClr w14:val="tx1"/>
                  </w14:solidFill>
                </w14:textFill>
              </w:rPr>
              <w:t>(3)</w:t>
            </w:r>
          </w:p>
        </w:tc>
        <w:tc>
          <w:tcPr>
            <w:tcW w:w="1560" w:type="dxa"/>
            <w:vAlign w:val="center"/>
          </w:tcPr>
          <w:p w14:paraId="708C6CB7">
            <w:pPr>
              <w:widowControl w:val="0"/>
              <w:shd w:val="clear" w:color="auto" w:fill="FFFFFF"/>
              <w:spacing w:before="120" w:after="120" w:line="264" w:lineRule="auto"/>
              <w:jc w:val="center"/>
              <w:rPr>
                <w:b/>
                <w:color w:val="000000" w:themeColor="text1"/>
                <w:sz w:val="26"/>
                <w:szCs w:val="26"/>
                <w:vertAlign w:val="superscript"/>
                <w14:textFill>
                  <w14:solidFill>
                    <w14:schemeClr w14:val="tx1"/>
                  </w14:solidFill>
                </w14:textFill>
              </w:rPr>
            </w:pPr>
            <w:r>
              <w:rPr>
                <w:b/>
                <w:color w:val="000000" w:themeColor="text1"/>
                <w:sz w:val="26"/>
                <w:szCs w:val="26"/>
                <w14:textFill>
                  <w14:solidFill>
                    <w14:schemeClr w14:val="tx1"/>
                  </w14:solidFill>
                </w14:textFill>
              </w:rPr>
              <w:t>Quantity</w:t>
            </w:r>
            <w:r>
              <w:rPr>
                <w:b/>
                <w:color w:val="000000" w:themeColor="text1"/>
                <w:sz w:val="26"/>
                <w:szCs w:val="26"/>
                <w:vertAlign w:val="superscript"/>
                <w14:textFill>
                  <w14:solidFill>
                    <w14:schemeClr w14:val="tx1"/>
                  </w14:solidFill>
                </w14:textFill>
              </w:rPr>
              <w:t>(4)</w:t>
            </w:r>
          </w:p>
        </w:tc>
        <w:tc>
          <w:tcPr>
            <w:tcW w:w="1559" w:type="dxa"/>
            <w:vAlign w:val="center"/>
          </w:tcPr>
          <w:p w14:paraId="708C6CB8">
            <w:pPr>
              <w:widowControl w:val="0"/>
              <w:shd w:val="clear" w:color="auto" w:fill="FFFFFF"/>
              <w:spacing w:before="120" w:after="120" w:line="264" w:lineRule="auto"/>
              <w:jc w:val="center"/>
              <w:rPr>
                <w:b/>
                <w:color w:val="000000" w:themeColor="text1"/>
                <w:sz w:val="26"/>
                <w:szCs w:val="26"/>
                <w:vertAlign w:val="superscript"/>
                <w14:textFill>
                  <w14:solidFill>
                    <w14:schemeClr w14:val="tx1"/>
                  </w14:solidFill>
                </w14:textFill>
              </w:rPr>
            </w:pPr>
            <w:r>
              <w:rPr>
                <w:b/>
                <w:color w:val="000000" w:themeColor="text1"/>
                <w:sz w:val="26"/>
                <w:szCs w:val="26"/>
                <w14:textFill>
                  <w14:solidFill>
                    <w14:schemeClr w14:val="tx1"/>
                  </w14:solidFill>
                </w14:textFill>
              </w:rPr>
              <w:t>Estimated value (%)</w:t>
            </w:r>
            <w:r>
              <w:rPr>
                <w:b/>
                <w:color w:val="000000" w:themeColor="text1"/>
                <w:sz w:val="26"/>
                <w:szCs w:val="26"/>
                <w:vertAlign w:val="superscript"/>
                <w14:textFill>
                  <w14:solidFill>
                    <w14:schemeClr w14:val="tx1"/>
                  </w14:solidFill>
                </w14:textFill>
              </w:rPr>
              <w:t>(5)</w:t>
            </w:r>
          </w:p>
        </w:tc>
        <w:tc>
          <w:tcPr>
            <w:tcW w:w="2693" w:type="dxa"/>
            <w:vAlign w:val="center"/>
          </w:tcPr>
          <w:p w14:paraId="708C6CB9">
            <w:pPr>
              <w:widowControl w:val="0"/>
              <w:shd w:val="clear" w:color="auto" w:fill="FFFFFF"/>
              <w:spacing w:before="120" w:after="120" w:line="264" w:lineRule="auto"/>
              <w:jc w:val="center"/>
              <w:rPr>
                <w:b/>
                <w:color w:val="000000" w:themeColor="text1"/>
                <w:sz w:val="26"/>
                <w:szCs w:val="26"/>
                <w:vertAlign w:val="superscript"/>
                <w14:textFill>
                  <w14:solidFill>
                    <w14:schemeClr w14:val="tx1"/>
                  </w14:solidFill>
                </w14:textFill>
              </w:rPr>
            </w:pPr>
            <w:r>
              <w:rPr>
                <w:b/>
                <w:color w:val="000000" w:themeColor="text1"/>
                <w:sz w:val="26"/>
                <w:szCs w:val="26"/>
                <w14:textFill>
                  <w14:solidFill>
                    <w14:schemeClr w14:val="tx1"/>
                  </w14:solidFill>
                </w14:textFill>
              </w:rPr>
              <w:t>Contract or agreement with subcontractor</w:t>
            </w:r>
            <w:r>
              <w:rPr>
                <w:b/>
                <w:color w:val="000000" w:themeColor="text1"/>
                <w:sz w:val="26"/>
                <w:szCs w:val="26"/>
                <w:vertAlign w:val="superscript"/>
                <w14:textFill>
                  <w14:solidFill>
                    <w14:schemeClr w14:val="tx1"/>
                  </w14:solidFill>
                </w14:textFill>
              </w:rPr>
              <w:t>(6)</w:t>
            </w:r>
          </w:p>
        </w:tc>
      </w:tr>
      <w:tr w14:paraId="708C6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Pr>
          <w:p w14:paraId="708C6CBB">
            <w:pPr>
              <w:widowControl w:val="0"/>
              <w:shd w:val="clear" w:color="auto" w:fill="FFFFFF"/>
              <w:spacing w:before="120" w:after="120" w:line="264"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w:t>
            </w:r>
          </w:p>
        </w:tc>
        <w:tc>
          <w:tcPr>
            <w:tcW w:w="1871" w:type="dxa"/>
          </w:tcPr>
          <w:p w14:paraId="708C6CBC">
            <w:pPr>
              <w:widowControl w:val="0"/>
              <w:shd w:val="clear" w:color="auto" w:fill="FFFFFF"/>
              <w:spacing w:before="120" w:after="120" w:line="264" w:lineRule="auto"/>
              <w:jc w:val="center"/>
              <w:outlineLvl w:val="0"/>
              <w:rPr>
                <w:color w:val="000000" w:themeColor="text1"/>
                <w:sz w:val="26"/>
                <w:szCs w:val="26"/>
                <w14:textFill>
                  <w14:solidFill>
                    <w14:schemeClr w14:val="tx1"/>
                  </w14:solidFill>
                </w14:textFill>
              </w:rPr>
            </w:pPr>
          </w:p>
        </w:tc>
        <w:tc>
          <w:tcPr>
            <w:tcW w:w="1247" w:type="dxa"/>
          </w:tcPr>
          <w:p w14:paraId="708C6CBD">
            <w:pPr>
              <w:widowControl w:val="0"/>
              <w:shd w:val="clear" w:color="auto" w:fill="FFFFFF"/>
              <w:spacing w:before="120" w:after="120" w:line="264" w:lineRule="auto"/>
              <w:jc w:val="center"/>
              <w:outlineLvl w:val="0"/>
              <w:rPr>
                <w:color w:val="000000" w:themeColor="text1"/>
                <w:sz w:val="26"/>
                <w:szCs w:val="26"/>
                <w14:textFill>
                  <w14:solidFill>
                    <w14:schemeClr w14:val="tx1"/>
                  </w14:solidFill>
                </w14:textFill>
              </w:rPr>
            </w:pPr>
          </w:p>
        </w:tc>
        <w:tc>
          <w:tcPr>
            <w:tcW w:w="1560" w:type="dxa"/>
          </w:tcPr>
          <w:p w14:paraId="708C6CBE">
            <w:pPr>
              <w:widowControl w:val="0"/>
              <w:shd w:val="clear" w:color="auto" w:fill="FFFFFF"/>
              <w:spacing w:before="120" w:after="120" w:line="264" w:lineRule="auto"/>
              <w:jc w:val="center"/>
              <w:outlineLvl w:val="0"/>
              <w:rPr>
                <w:color w:val="000000" w:themeColor="text1"/>
                <w:sz w:val="26"/>
                <w:szCs w:val="26"/>
                <w14:textFill>
                  <w14:solidFill>
                    <w14:schemeClr w14:val="tx1"/>
                  </w14:solidFill>
                </w14:textFill>
              </w:rPr>
            </w:pPr>
          </w:p>
        </w:tc>
        <w:tc>
          <w:tcPr>
            <w:tcW w:w="1559" w:type="dxa"/>
          </w:tcPr>
          <w:p w14:paraId="708C6CBF">
            <w:pPr>
              <w:widowControl w:val="0"/>
              <w:shd w:val="clear" w:color="auto" w:fill="FFFFFF"/>
              <w:spacing w:before="120" w:after="120" w:line="264" w:lineRule="auto"/>
              <w:jc w:val="center"/>
              <w:outlineLvl w:val="0"/>
              <w:rPr>
                <w:color w:val="000000" w:themeColor="text1"/>
                <w:sz w:val="26"/>
                <w:szCs w:val="26"/>
                <w14:textFill>
                  <w14:solidFill>
                    <w14:schemeClr w14:val="tx1"/>
                  </w14:solidFill>
                </w14:textFill>
              </w:rPr>
            </w:pPr>
          </w:p>
        </w:tc>
        <w:tc>
          <w:tcPr>
            <w:tcW w:w="2693" w:type="dxa"/>
          </w:tcPr>
          <w:p w14:paraId="708C6CC0">
            <w:pPr>
              <w:widowControl w:val="0"/>
              <w:shd w:val="clear" w:color="auto" w:fill="FFFFFF"/>
              <w:spacing w:before="120" w:after="120" w:line="264" w:lineRule="auto"/>
              <w:jc w:val="center"/>
              <w:outlineLvl w:val="0"/>
              <w:rPr>
                <w:color w:val="000000" w:themeColor="text1"/>
                <w:sz w:val="26"/>
                <w:szCs w:val="26"/>
                <w14:textFill>
                  <w14:solidFill>
                    <w14:schemeClr w14:val="tx1"/>
                  </w14:solidFill>
                </w14:textFill>
              </w:rPr>
            </w:pPr>
          </w:p>
        </w:tc>
      </w:tr>
      <w:tr w14:paraId="708C6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Pr>
          <w:p w14:paraId="708C6CC2">
            <w:pPr>
              <w:widowControl w:val="0"/>
              <w:shd w:val="clear" w:color="auto" w:fill="FFFFFF"/>
              <w:spacing w:before="120" w:after="120" w:line="264"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w:t>
            </w:r>
          </w:p>
        </w:tc>
        <w:tc>
          <w:tcPr>
            <w:tcW w:w="1871" w:type="dxa"/>
          </w:tcPr>
          <w:p w14:paraId="708C6CC3">
            <w:pPr>
              <w:widowControl w:val="0"/>
              <w:shd w:val="clear" w:color="auto" w:fill="FFFFFF"/>
              <w:spacing w:before="120" w:after="120" w:line="264" w:lineRule="auto"/>
              <w:jc w:val="center"/>
              <w:outlineLvl w:val="0"/>
              <w:rPr>
                <w:color w:val="000000" w:themeColor="text1"/>
                <w:sz w:val="26"/>
                <w:szCs w:val="26"/>
                <w14:textFill>
                  <w14:solidFill>
                    <w14:schemeClr w14:val="tx1"/>
                  </w14:solidFill>
                </w14:textFill>
              </w:rPr>
            </w:pPr>
          </w:p>
        </w:tc>
        <w:tc>
          <w:tcPr>
            <w:tcW w:w="1247" w:type="dxa"/>
          </w:tcPr>
          <w:p w14:paraId="708C6CC4">
            <w:pPr>
              <w:widowControl w:val="0"/>
              <w:shd w:val="clear" w:color="auto" w:fill="FFFFFF"/>
              <w:spacing w:before="120" w:after="120" w:line="264" w:lineRule="auto"/>
              <w:jc w:val="center"/>
              <w:outlineLvl w:val="0"/>
              <w:rPr>
                <w:color w:val="000000" w:themeColor="text1"/>
                <w:sz w:val="26"/>
                <w:szCs w:val="26"/>
                <w14:textFill>
                  <w14:solidFill>
                    <w14:schemeClr w14:val="tx1"/>
                  </w14:solidFill>
                </w14:textFill>
              </w:rPr>
            </w:pPr>
          </w:p>
        </w:tc>
        <w:tc>
          <w:tcPr>
            <w:tcW w:w="1560" w:type="dxa"/>
          </w:tcPr>
          <w:p w14:paraId="708C6CC5">
            <w:pPr>
              <w:widowControl w:val="0"/>
              <w:shd w:val="clear" w:color="auto" w:fill="FFFFFF"/>
              <w:spacing w:before="120" w:after="120" w:line="264" w:lineRule="auto"/>
              <w:jc w:val="center"/>
              <w:outlineLvl w:val="0"/>
              <w:rPr>
                <w:color w:val="000000" w:themeColor="text1"/>
                <w:sz w:val="26"/>
                <w:szCs w:val="26"/>
                <w14:textFill>
                  <w14:solidFill>
                    <w14:schemeClr w14:val="tx1"/>
                  </w14:solidFill>
                </w14:textFill>
              </w:rPr>
            </w:pPr>
          </w:p>
        </w:tc>
        <w:tc>
          <w:tcPr>
            <w:tcW w:w="1559" w:type="dxa"/>
          </w:tcPr>
          <w:p w14:paraId="708C6CC6">
            <w:pPr>
              <w:widowControl w:val="0"/>
              <w:shd w:val="clear" w:color="auto" w:fill="FFFFFF"/>
              <w:spacing w:before="120" w:after="120" w:line="264" w:lineRule="auto"/>
              <w:jc w:val="center"/>
              <w:outlineLvl w:val="0"/>
              <w:rPr>
                <w:color w:val="000000" w:themeColor="text1"/>
                <w:sz w:val="26"/>
                <w:szCs w:val="26"/>
                <w14:textFill>
                  <w14:solidFill>
                    <w14:schemeClr w14:val="tx1"/>
                  </w14:solidFill>
                </w14:textFill>
              </w:rPr>
            </w:pPr>
          </w:p>
        </w:tc>
        <w:tc>
          <w:tcPr>
            <w:tcW w:w="2693" w:type="dxa"/>
          </w:tcPr>
          <w:p w14:paraId="708C6CC7">
            <w:pPr>
              <w:widowControl w:val="0"/>
              <w:shd w:val="clear" w:color="auto" w:fill="FFFFFF"/>
              <w:spacing w:before="120" w:after="120" w:line="264" w:lineRule="auto"/>
              <w:outlineLvl w:val="0"/>
              <w:rPr>
                <w:color w:val="000000" w:themeColor="text1"/>
                <w:sz w:val="26"/>
                <w:szCs w:val="26"/>
                <w14:textFill>
                  <w14:solidFill>
                    <w14:schemeClr w14:val="tx1"/>
                  </w14:solidFill>
                </w14:textFill>
              </w:rPr>
            </w:pPr>
          </w:p>
        </w:tc>
      </w:tr>
      <w:tr w14:paraId="708C6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Pr>
          <w:p w14:paraId="708C6CC9">
            <w:pPr>
              <w:widowControl w:val="0"/>
              <w:shd w:val="clear" w:color="auto" w:fill="FFFFFF"/>
              <w:spacing w:before="120" w:after="120" w:line="264"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3</w:t>
            </w:r>
          </w:p>
        </w:tc>
        <w:tc>
          <w:tcPr>
            <w:tcW w:w="1871" w:type="dxa"/>
          </w:tcPr>
          <w:p w14:paraId="708C6CCA">
            <w:pPr>
              <w:widowControl w:val="0"/>
              <w:shd w:val="clear" w:color="auto" w:fill="FFFFFF"/>
              <w:spacing w:before="120" w:after="120" w:line="264" w:lineRule="auto"/>
              <w:jc w:val="center"/>
              <w:outlineLvl w:val="0"/>
              <w:rPr>
                <w:color w:val="000000" w:themeColor="text1"/>
                <w:sz w:val="26"/>
                <w:szCs w:val="26"/>
                <w14:textFill>
                  <w14:solidFill>
                    <w14:schemeClr w14:val="tx1"/>
                  </w14:solidFill>
                </w14:textFill>
              </w:rPr>
            </w:pPr>
          </w:p>
        </w:tc>
        <w:tc>
          <w:tcPr>
            <w:tcW w:w="1247" w:type="dxa"/>
          </w:tcPr>
          <w:p w14:paraId="708C6CCB">
            <w:pPr>
              <w:widowControl w:val="0"/>
              <w:shd w:val="clear" w:color="auto" w:fill="FFFFFF"/>
              <w:spacing w:before="120" w:after="120" w:line="264" w:lineRule="auto"/>
              <w:jc w:val="center"/>
              <w:outlineLvl w:val="0"/>
              <w:rPr>
                <w:color w:val="000000" w:themeColor="text1"/>
                <w:sz w:val="26"/>
                <w:szCs w:val="26"/>
                <w14:textFill>
                  <w14:solidFill>
                    <w14:schemeClr w14:val="tx1"/>
                  </w14:solidFill>
                </w14:textFill>
              </w:rPr>
            </w:pPr>
          </w:p>
        </w:tc>
        <w:tc>
          <w:tcPr>
            <w:tcW w:w="1560" w:type="dxa"/>
          </w:tcPr>
          <w:p w14:paraId="708C6CCC">
            <w:pPr>
              <w:widowControl w:val="0"/>
              <w:shd w:val="clear" w:color="auto" w:fill="FFFFFF"/>
              <w:spacing w:before="120" w:after="120" w:line="264" w:lineRule="auto"/>
              <w:jc w:val="center"/>
              <w:outlineLvl w:val="0"/>
              <w:rPr>
                <w:color w:val="000000" w:themeColor="text1"/>
                <w:sz w:val="26"/>
                <w:szCs w:val="26"/>
                <w14:textFill>
                  <w14:solidFill>
                    <w14:schemeClr w14:val="tx1"/>
                  </w14:solidFill>
                </w14:textFill>
              </w:rPr>
            </w:pPr>
          </w:p>
        </w:tc>
        <w:tc>
          <w:tcPr>
            <w:tcW w:w="1559" w:type="dxa"/>
          </w:tcPr>
          <w:p w14:paraId="708C6CCD">
            <w:pPr>
              <w:widowControl w:val="0"/>
              <w:shd w:val="clear" w:color="auto" w:fill="FFFFFF"/>
              <w:spacing w:before="120" w:after="120" w:line="264" w:lineRule="auto"/>
              <w:jc w:val="center"/>
              <w:outlineLvl w:val="0"/>
              <w:rPr>
                <w:color w:val="000000" w:themeColor="text1"/>
                <w:sz w:val="26"/>
                <w:szCs w:val="26"/>
                <w14:textFill>
                  <w14:solidFill>
                    <w14:schemeClr w14:val="tx1"/>
                  </w14:solidFill>
                </w14:textFill>
              </w:rPr>
            </w:pPr>
          </w:p>
        </w:tc>
        <w:tc>
          <w:tcPr>
            <w:tcW w:w="2693" w:type="dxa"/>
          </w:tcPr>
          <w:p w14:paraId="708C6CCE">
            <w:pPr>
              <w:widowControl w:val="0"/>
              <w:shd w:val="clear" w:color="auto" w:fill="FFFFFF"/>
              <w:spacing w:before="120" w:after="120" w:line="264" w:lineRule="auto"/>
              <w:outlineLvl w:val="0"/>
              <w:rPr>
                <w:color w:val="000000" w:themeColor="text1"/>
                <w:sz w:val="26"/>
                <w:szCs w:val="26"/>
                <w14:textFill>
                  <w14:solidFill>
                    <w14:schemeClr w14:val="tx1"/>
                  </w14:solidFill>
                </w14:textFill>
              </w:rPr>
            </w:pPr>
          </w:p>
        </w:tc>
      </w:tr>
      <w:tr w14:paraId="708C6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Pr>
          <w:p w14:paraId="708C6CD0">
            <w:pPr>
              <w:widowControl w:val="0"/>
              <w:shd w:val="clear" w:color="auto" w:fill="FFFFFF"/>
              <w:spacing w:before="120" w:after="120" w:line="264"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4</w:t>
            </w:r>
          </w:p>
        </w:tc>
        <w:tc>
          <w:tcPr>
            <w:tcW w:w="1871" w:type="dxa"/>
          </w:tcPr>
          <w:p w14:paraId="708C6CD1">
            <w:pPr>
              <w:widowControl w:val="0"/>
              <w:shd w:val="clear" w:color="auto" w:fill="FFFFFF"/>
              <w:spacing w:before="120" w:after="120" w:line="264" w:lineRule="auto"/>
              <w:jc w:val="center"/>
              <w:outlineLvl w:val="0"/>
              <w:rPr>
                <w:color w:val="000000" w:themeColor="text1"/>
                <w:sz w:val="26"/>
                <w:szCs w:val="26"/>
                <w14:textFill>
                  <w14:solidFill>
                    <w14:schemeClr w14:val="tx1"/>
                  </w14:solidFill>
                </w14:textFill>
              </w:rPr>
            </w:pPr>
          </w:p>
        </w:tc>
        <w:tc>
          <w:tcPr>
            <w:tcW w:w="1247" w:type="dxa"/>
          </w:tcPr>
          <w:p w14:paraId="708C6CD2">
            <w:pPr>
              <w:widowControl w:val="0"/>
              <w:shd w:val="clear" w:color="auto" w:fill="FFFFFF"/>
              <w:spacing w:before="120" w:after="120" w:line="264" w:lineRule="auto"/>
              <w:jc w:val="center"/>
              <w:outlineLvl w:val="0"/>
              <w:rPr>
                <w:color w:val="000000" w:themeColor="text1"/>
                <w:sz w:val="26"/>
                <w:szCs w:val="26"/>
                <w14:textFill>
                  <w14:solidFill>
                    <w14:schemeClr w14:val="tx1"/>
                  </w14:solidFill>
                </w14:textFill>
              </w:rPr>
            </w:pPr>
          </w:p>
        </w:tc>
        <w:tc>
          <w:tcPr>
            <w:tcW w:w="1560" w:type="dxa"/>
          </w:tcPr>
          <w:p w14:paraId="708C6CD3">
            <w:pPr>
              <w:widowControl w:val="0"/>
              <w:shd w:val="clear" w:color="auto" w:fill="FFFFFF"/>
              <w:spacing w:before="120" w:after="120" w:line="264" w:lineRule="auto"/>
              <w:jc w:val="center"/>
              <w:outlineLvl w:val="0"/>
              <w:rPr>
                <w:color w:val="000000" w:themeColor="text1"/>
                <w:sz w:val="26"/>
                <w:szCs w:val="26"/>
                <w14:textFill>
                  <w14:solidFill>
                    <w14:schemeClr w14:val="tx1"/>
                  </w14:solidFill>
                </w14:textFill>
              </w:rPr>
            </w:pPr>
          </w:p>
        </w:tc>
        <w:tc>
          <w:tcPr>
            <w:tcW w:w="1559" w:type="dxa"/>
          </w:tcPr>
          <w:p w14:paraId="708C6CD4">
            <w:pPr>
              <w:widowControl w:val="0"/>
              <w:shd w:val="clear" w:color="auto" w:fill="FFFFFF"/>
              <w:spacing w:before="120" w:after="120" w:line="264" w:lineRule="auto"/>
              <w:jc w:val="center"/>
              <w:outlineLvl w:val="0"/>
              <w:rPr>
                <w:color w:val="000000" w:themeColor="text1"/>
                <w:sz w:val="26"/>
                <w:szCs w:val="26"/>
                <w14:textFill>
                  <w14:solidFill>
                    <w14:schemeClr w14:val="tx1"/>
                  </w14:solidFill>
                </w14:textFill>
              </w:rPr>
            </w:pPr>
          </w:p>
        </w:tc>
        <w:tc>
          <w:tcPr>
            <w:tcW w:w="2693" w:type="dxa"/>
          </w:tcPr>
          <w:p w14:paraId="708C6CD5">
            <w:pPr>
              <w:widowControl w:val="0"/>
              <w:shd w:val="clear" w:color="auto" w:fill="FFFFFF"/>
              <w:spacing w:before="120" w:after="120" w:line="264" w:lineRule="auto"/>
              <w:outlineLvl w:val="0"/>
              <w:rPr>
                <w:color w:val="000000" w:themeColor="text1"/>
                <w:sz w:val="26"/>
                <w:szCs w:val="26"/>
                <w14:textFill>
                  <w14:solidFill>
                    <w14:schemeClr w14:val="tx1"/>
                  </w14:solidFill>
                </w14:textFill>
              </w:rPr>
            </w:pPr>
          </w:p>
        </w:tc>
      </w:tr>
      <w:tr w14:paraId="708C6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Pr>
          <w:p w14:paraId="708C6CD7">
            <w:pPr>
              <w:widowControl w:val="0"/>
              <w:shd w:val="clear" w:color="auto" w:fill="FFFFFF"/>
              <w:spacing w:before="120" w:after="120" w:line="264"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t>
            </w:r>
          </w:p>
        </w:tc>
        <w:tc>
          <w:tcPr>
            <w:tcW w:w="1871" w:type="dxa"/>
          </w:tcPr>
          <w:p w14:paraId="708C6CD8">
            <w:pPr>
              <w:widowControl w:val="0"/>
              <w:shd w:val="clear" w:color="auto" w:fill="FFFFFF"/>
              <w:spacing w:before="120" w:after="120" w:line="264" w:lineRule="auto"/>
              <w:jc w:val="center"/>
              <w:outlineLvl w:val="0"/>
              <w:rPr>
                <w:color w:val="000000" w:themeColor="text1"/>
                <w:sz w:val="26"/>
                <w:szCs w:val="26"/>
                <w14:textFill>
                  <w14:solidFill>
                    <w14:schemeClr w14:val="tx1"/>
                  </w14:solidFill>
                </w14:textFill>
              </w:rPr>
            </w:pPr>
          </w:p>
        </w:tc>
        <w:tc>
          <w:tcPr>
            <w:tcW w:w="1247" w:type="dxa"/>
          </w:tcPr>
          <w:p w14:paraId="708C6CD9">
            <w:pPr>
              <w:widowControl w:val="0"/>
              <w:shd w:val="clear" w:color="auto" w:fill="FFFFFF"/>
              <w:spacing w:before="120" w:after="120" w:line="264" w:lineRule="auto"/>
              <w:jc w:val="center"/>
              <w:outlineLvl w:val="0"/>
              <w:rPr>
                <w:color w:val="000000" w:themeColor="text1"/>
                <w:sz w:val="26"/>
                <w:szCs w:val="26"/>
                <w14:textFill>
                  <w14:solidFill>
                    <w14:schemeClr w14:val="tx1"/>
                  </w14:solidFill>
                </w14:textFill>
              </w:rPr>
            </w:pPr>
          </w:p>
        </w:tc>
        <w:tc>
          <w:tcPr>
            <w:tcW w:w="1560" w:type="dxa"/>
          </w:tcPr>
          <w:p w14:paraId="708C6CDA">
            <w:pPr>
              <w:widowControl w:val="0"/>
              <w:shd w:val="clear" w:color="auto" w:fill="FFFFFF"/>
              <w:spacing w:before="120" w:after="120" w:line="264" w:lineRule="auto"/>
              <w:jc w:val="center"/>
              <w:outlineLvl w:val="0"/>
              <w:rPr>
                <w:color w:val="000000" w:themeColor="text1"/>
                <w:sz w:val="26"/>
                <w:szCs w:val="26"/>
                <w14:textFill>
                  <w14:solidFill>
                    <w14:schemeClr w14:val="tx1"/>
                  </w14:solidFill>
                </w14:textFill>
              </w:rPr>
            </w:pPr>
          </w:p>
        </w:tc>
        <w:tc>
          <w:tcPr>
            <w:tcW w:w="1559" w:type="dxa"/>
          </w:tcPr>
          <w:p w14:paraId="708C6CDB">
            <w:pPr>
              <w:widowControl w:val="0"/>
              <w:shd w:val="clear" w:color="auto" w:fill="FFFFFF"/>
              <w:spacing w:before="120" w:after="120" w:line="264" w:lineRule="auto"/>
              <w:jc w:val="center"/>
              <w:outlineLvl w:val="0"/>
              <w:rPr>
                <w:color w:val="000000" w:themeColor="text1"/>
                <w:sz w:val="26"/>
                <w:szCs w:val="26"/>
                <w14:textFill>
                  <w14:solidFill>
                    <w14:schemeClr w14:val="tx1"/>
                  </w14:solidFill>
                </w14:textFill>
              </w:rPr>
            </w:pPr>
          </w:p>
        </w:tc>
        <w:tc>
          <w:tcPr>
            <w:tcW w:w="2693" w:type="dxa"/>
          </w:tcPr>
          <w:p w14:paraId="708C6CDC">
            <w:pPr>
              <w:widowControl w:val="0"/>
              <w:shd w:val="clear" w:color="auto" w:fill="FFFFFF"/>
              <w:spacing w:before="120" w:after="120" w:line="264" w:lineRule="auto"/>
              <w:jc w:val="center"/>
              <w:outlineLvl w:val="0"/>
              <w:rPr>
                <w:color w:val="000000" w:themeColor="text1"/>
                <w:sz w:val="26"/>
                <w:szCs w:val="26"/>
                <w14:textFill>
                  <w14:solidFill>
                    <w14:schemeClr w14:val="tx1"/>
                  </w14:solidFill>
                </w14:textFill>
              </w:rPr>
            </w:pPr>
          </w:p>
        </w:tc>
      </w:tr>
    </w:tbl>
    <w:p w14:paraId="708C6CDE">
      <w:pPr>
        <w:widowControl w:val="0"/>
        <w:shd w:val="clear" w:color="auto" w:fill="FFFFFF"/>
        <w:spacing w:before="120" w:after="120" w:line="264" w:lineRule="auto"/>
        <w:ind w:firstLine="567"/>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Notes:</w:t>
      </w:r>
    </w:p>
    <w:p w14:paraId="708C6CDF">
      <w:pPr>
        <w:widowControl w:val="0"/>
        <w:shd w:val="clear" w:color="auto" w:fill="FFFFFF"/>
        <w:spacing w:before="120" w:after="120" w:line="264"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 In case of using subcontractors to perform related services, the declaration shall be made according to this Form.</w:t>
      </w:r>
    </w:p>
    <w:p w14:paraId="708C6CE0">
      <w:pPr>
        <w:widowControl w:val="0"/>
        <w:shd w:val="clear" w:color="auto" w:fill="FFFFFF"/>
        <w:spacing w:before="120" w:after="120" w:line="264"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 The Bidder clearly states name of subcontractor. In case at the time of participation in the bidding has not been determined name of subcontractor, the bidder may not declare in column “Name of subcontractor” but only to declare in column “Scope of work”. Then, if selected, mobilized subcontractor for performing declared work must be approved by the Purchaser.</w:t>
      </w:r>
    </w:p>
    <w:p w14:paraId="708C6CE1">
      <w:pPr>
        <w:widowControl w:val="0"/>
        <w:shd w:val="clear" w:color="auto" w:fill="FFFFFF"/>
        <w:spacing w:before="120" w:after="120" w:line="264"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(3) Description of name of the part of the works, which is intended to be subcontracted.</w:t>
      </w:r>
    </w:p>
    <w:p w14:paraId="708C6CE2">
      <w:pPr>
        <w:widowControl w:val="0"/>
        <w:shd w:val="clear" w:color="auto" w:fill="FFFFFF"/>
        <w:spacing w:before="120" w:after="120" w:line="264"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(4) Description of volume of work, which is intended to be subcontracted. </w:t>
      </w:r>
    </w:p>
    <w:p w14:paraId="708C6CE3">
      <w:pPr>
        <w:widowControl w:val="0"/>
        <w:shd w:val="clear" w:color="auto" w:fill="FFFFFF"/>
        <w:spacing w:before="120" w:after="120" w:line="264"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(5) Description of specific percentage of the value of work, which is intended to be subcontracted compared to the bid price.  </w:t>
      </w:r>
    </w:p>
    <w:p w14:paraId="708C6CE4">
      <w:pPr>
        <w:widowControl w:val="0"/>
        <w:shd w:val="clear" w:color="auto" w:fill="FFFFFF"/>
        <w:spacing w:before="120" w:after="120" w:line="264" w:lineRule="auto"/>
        <w:ind w:firstLine="567"/>
        <w:jc w:val="both"/>
        <w:outlineLvl w:val="3"/>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(6) Description of specific contract’s identification or agreement written, the bidder must attach the original or notarized copies of such documents.</w:t>
      </w:r>
    </w:p>
    <w:p w14:paraId="708C6CE5">
      <w:pPr>
        <w:widowControl w:val="0"/>
        <w:shd w:val="clear" w:color="auto" w:fill="FFFFFF"/>
        <w:spacing w:before="120" w:after="120" w:line="264" w:lineRule="auto"/>
        <w:ind w:firstLine="567"/>
        <w:jc w:val="both"/>
        <w:outlineLvl w:val="3"/>
        <w:rPr>
          <w:color w:val="000000" w:themeColor="text1"/>
          <w:sz w:val="26"/>
          <w:szCs w:val="26"/>
          <w14:textFill>
            <w14:solidFill>
              <w14:schemeClr w14:val="tx1"/>
            </w14:solidFill>
          </w14:textFill>
        </w:rPr>
      </w:pPr>
    </w:p>
    <w:p w14:paraId="708C6CE6">
      <w:pPr>
        <w:widowControl w:val="0"/>
        <w:shd w:val="clear" w:color="auto" w:fill="FFFFFF"/>
        <w:spacing w:before="120" w:after="120" w:line="264" w:lineRule="auto"/>
        <w:ind w:firstLine="567"/>
        <w:jc w:val="both"/>
        <w:outlineLvl w:val="3"/>
        <w:rPr>
          <w:color w:val="000000" w:themeColor="text1"/>
          <w:sz w:val="26"/>
          <w:szCs w:val="26"/>
          <w14:textFill>
            <w14:solidFill>
              <w14:schemeClr w14:val="tx1"/>
            </w14:solidFill>
          </w14:textFill>
        </w:rPr>
      </w:pPr>
    </w:p>
    <w:p w14:paraId="708C6CE7">
      <w:pPr>
        <w:widowControl w:val="0"/>
        <w:shd w:val="clear" w:color="auto" w:fill="FFFFFF"/>
        <w:spacing w:before="120" w:after="120" w:line="264" w:lineRule="auto"/>
        <w:ind w:firstLine="567"/>
        <w:jc w:val="both"/>
        <w:outlineLvl w:val="3"/>
        <w:rPr>
          <w:color w:val="000000" w:themeColor="text1"/>
          <w:sz w:val="26"/>
          <w:szCs w:val="26"/>
          <w14:textFill>
            <w14:solidFill>
              <w14:schemeClr w14:val="tx1"/>
            </w14:solidFill>
          </w14:textFill>
        </w:rPr>
      </w:pPr>
    </w:p>
    <w:p w14:paraId="708C6CE8">
      <w:pPr>
        <w:widowControl w:val="0"/>
        <w:shd w:val="clear" w:color="auto" w:fill="FFFFFF"/>
        <w:spacing w:before="120" w:after="120" w:line="264" w:lineRule="auto"/>
        <w:ind w:firstLine="567"/>
        <w:jc w:val="both"/>
        <w:outlineLvl w:val="3"/>
        <w:rPr>
          <w:color w:val="000000" w:themeColor="text1"/>
          <w:sz w:val="26"/>
          <w:szCs w:val="26"/>
          <w14:textFill>
            <w14:solidFill>
              <w14:schemeClr w14:val="tx1"/>
            </w14:solidFill>
          </w14:textFill>
        </w:rPr>
      </w:pPr>
    </w:p>
    <w:p w14:paraId="708C6CE9">
      <w:pPr>
        <w:widowControl w:val="0"/>
        <w:shd w:val="clear" w:color="auto" w:fill="FFFFFF"/>
        <w:spacing w:before="120" w:after="120" w:line="264" w:lineRule="auto"/>
        <w:ind w:firstLine="567"/>
        <w:jc w:val="both"/>
        <w:outlineLvl w:val="3"/>
        <w:rPr>
          <w:color w:val="000000" w:themeColor="text1"/>
          <w:sz w:val="26"/>
          <w:szCs w:val="26"/>
          <w14:textFill>
            <w14:solidFill>
              <w14:schemeClr w14:val="tx1"/>
            </w14:solidFill>
          </w14:textFill>
        </w:rPr>
      </w:pPr>
    </w:p>
    <w:p w14:paraId="708C6CEA">
      <w:pPr>
        <w:widowControl w:val="0"/>
        <w:shd w:val="clear" w:color="auto" w:fill="FFFFFF"/>
        <w:spacing w:before="120" w:after="120" w:line="264" w:lineRule="auto"/>
        <w:ind w:firstLine="567"/>
        <w:jc w:val="both"/>
        <w:outlineLvl w:val="3"/>
        <w:rPr>
          <w:color w:val="000000" w:themeColor="text1"/>
          <w:sz w:val="26"/>
          <w:szCs w:val="26"/>
          <w14:textFill>
            <w14:solidFill>
              <w14:schemeClr w14:val="tx1"/>
            </w14:solidFill>
          </w14:textFill>
        </w:rPr>
      </w:pPr>
    </w:p>
    <w:p w14:paraId="708C6CEB">
      <w:pPr>
        <w:widowControl w:val="0"/>
        <w:shd w:val="clear" w:color="auto" w:fill="FFFFFF"/>
        <w:spacing w:before="120" w:after="120" w:line="264" w:lineRule="auto"/>
        <w:ind w:firstLine="567"/>
        <w:jc w:val="both"/>
        <w:outlineLvl w:val="3"/>
        <w:rPr>
          <w:color w:val="000000" w:themeColor="text1"/>
          <w:sz w:val="26"/>
          <w:szCs w:val="26"/>
          <w14:textFill>
            <w14:solidFill>
              <w14:schemeClr w14:val="tx1"/>
            </w14:solidFill>
          </w14:textFill>
        </w:rPr>
      </w:pPr>
    </w:p>
    <w:p w14:paraId="708C6CEC">
      <w:pPr>
        <w:widowControl w:val="0"/>
        <w:shd w:val="clear" w:color="auto" w:fill="FFFFFF"/>
        <w:spacing w:before="120" w:after="120" w:line="264" w:lineRule="auto"/>
        <w:ind w:firstLine="567"/>
        <w:jc w:val="right"/>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Form14</w:t>
      </w:r>
    </w:p>
    <w:p w14:paraId="708C6CED">
      <w:pPr>
        <w:widowControl w:val="0"/>
        <w:spacing w:before="120" w:after="120" w:line="264" w:lineRule="auto"/>
        <w:ind w:firstLine="567"/>
        <w:jc w:val="center"/>
        <w:rPr>
          <w:rFonts w:eastAsia="Times New Roman"/>
          <w:b/>
          <w:bCs/>
          <w:color w:val="000000" w:themeColor="text1"/>
          <w:sz w:val="26"/>
          <w:szCs w:val="26"/>
          <w:vertAlign w:val="superscript"/>
          <w14:textFill>
            <w14:solidFill>
              <w14:schemeClr w14:val="tx1"/>
            </w14:solidFill>
          </w14:textFill>
        </w:rPr>
      </w:pPr>
      <w:r>
        <w:rPr>
          <w:rFonts w:eastAsia="Times New Roman"/>
          <w:b/>
          <w:bCs/>
          <w:color w:val="000000" w:themeColor="text1"/>
          <w:sz w:val="26"/>
          <w:szCs w:val="26"/>
          <w14:textFill>
            <w14:solidFill>
              <w14:schemeClr w14:val="tx1"/>
            </w14:solidFill>
          </w14:textFill>
        </w:rPr>
        <w:t>LIST OF SUBSIDIARIES AND MEMBER COMPANIES UNDERTAKING PORTIONS OF THE WORK OF PACKAGE</w:t>
      </w:r>
      <w:r>
        <w:rPr>
          <w:rFonts w:eastAsia="Times New Roman"/>
          <w:b/>
          <w:bCs/>
          <w:color w:val="000000" w:themeColor="text1"/>
          <w:sz w:val="26"/>
          <w:szCs w:val="26"/>
          <w:vertAlign w:val="superscript"/>
          <w14:textFill>
            <w14:solidFill>
              <w14:schemeClr w14:val="tx1"/>
            </w14:solidFill>
          </w14:textFill>
        </w:rPr>
        <w:t>(1)</w:t>
      </w:r>
    </w:p>
    <w:tbl>
      <w:tblPr>
        <w:tblStyle w:val="12"/>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2473"/>
        <w:gridCol w:w="2693"/>
        <w:gridCol w:w="3402"/>
      </w:tblGrid>
      <w:tr w14:paraId="708C6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shd w:val="clear" w:color="auto" w:fill="E2EFD9"/>
            <w:vAlign w:val="center"/>
          </w:tcPr>
          <w:p w14:paraId="708C6CEE">
            <w:pPr>
              <w:widowControl w:val="0"/>
              <w:spacing w:before="120" w:after="120" w:line="264" w:lineRule="auto"/>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No.</w:t>
            </w:r>
          </w:p>
        </w:tc>
        <w:tc>
          <w:tcPr>
            <w:tcW w:w="2473" w:type="dxa"/>
            <w:shd w:val="clear" w:color="auto" w:fill="E2EFD9"/>
            <w:vAlign w:val="center"/>
          </w:tcPr>
          <w:p w14:paraId="708C6CEF">
            <w:pPr>
              <w:widowControl w:val="0"/>
              <w:spacing w:before="120" w:after="120" w:line="264" w:lineRule="auto"/>
              <w:jc w:val="center"/>
              <w:rPr>
                <w:b/>
                <w:color w:val="000000" w:themeColor="text1"/>
                <w:sz w:val="26"/>
                <w:szCs w:val="26"/>
                <w:vertAlign w:val="superscript"/>
                <w14:textFill>
                  <w14:solidFill>
                    <w14:schemeClr w14:val="tx1"/>
                  </w14:solidFill>
                </w14:textFill>
              </w:rPr>
            </w:pPr>
            <w:r>
              <w:rPr>
                <w:b/>
                <w:color w:val="000000" w:themeColor="text1"/>
                <w:sz w:val="26"/>
                <w:szCs w:val="26"/>
                <w14:textFill>
                  <w14:solidFill>
                    <w14:schemeClr w14:val="tx1"/>
                  </w14:solidFill>
                </w14:textFill>
              </w:rPr>
              <w:t>Name of Subsidiary company, member Company</w:t>
            </w:r>
            <w:r>
              <w:rPr>
                <w:b/>
                <w:color w:val="000000" w:themeColor="text1"/>
                <w:sz w:val="26"/>
                <w:szCs w:val="26"/>
                <w:vertAlign w:val="superscript"/>
                <w14:textFill>
                  <w14:solidFill>
                    <w14:schemeClr w14:val="tx1"/>
                  </w14:solidFill>
                </w14:textFill>
              </w:rPr>
              <w:t>(2)</w:t>
            </w:r>
          </w:p>
        </w:tc>
        <w:tc>
          <w:tcPr>
            <w:tcW w:w="2693" w:type="dxa"/>
            <w:shd w:val="clear" w:color="auto" w:fill="E2EFD9"/>
            <w:vAlign w:val="center"/>
          </w:tcPr>
          <w:p w14:paraId="708C6CF0">
            <w:pPr>
              <w:widowControl w:val="0"/>
              <w:spacing w:before="120" w:after="120" w:line="264" w:lineRule="auto"/>
              <w:jc w:val="center"/>
              <w:rPr>
                <w:b/>
                <w:color w:val="000000" w:themeColor="text1"/>
                <w:sz w:val="26"/>
                <w:szCs w:val="26"/>
                <w:vertAlign w:val="superscript"/>
                <w14:textFill>
                  <w14:solidFill>
                    <w14:schemeClr w14:val="tx1"/>
                  </w14:solidFill>
                </w14:textFill>
              </w:rPr>
            </w:pPr>
            <w:r>
              <w:rPr>
                <w:b/>
                <w:color w:val="000000" w:themeColor="text1"/>
                <w:sz w:val="26"/>
                <w:szCs w:val="26"/>
                <w14:textFill>
                  <w14:solidFill>
                    <w14:schemeClr w14:val="tx1"/>
                  </w14:solidFill>
                </w14:textFill>
              </w:rPr>
              <w:t>Work performed in package</w:t>
            </w:r>
            <w:r>
              <w:rPr>
                <w:b/>
                <w:color w:val="000000" w:themeColor="text1"/>
                <w:sz w:val="26"/>
                <w:szCs w:val="26"/>
                <w:vertAlign w:val="superscript"/>
                <w14:textFill>
                  <w14:solidFill>
                    <w14:schemeClr w14:val="tx1"/>
                  </w14:solidFill>
                </w14:textFill>
              </w:rPr>
              <w:t>(3)</w:t>
            </w:r>
          </w:p>
        </w:tc>
        <w:tc>
          <w:tcPr>
            <w:tcW w:w="3402" w:type="dxa"/>
            <w:shd w:val="clear" w:color="auto" w:fill="E2EFD9"/>
            <w:vAlign w:val="center"/>
          </w:tcPr>
          <w:p w14:paraId="708C6CF1">
            <w:pPr>
              <w:widowControl w:val="0"/>
              <w:spacing w:before="120" w:after="120" w:line="264" w:lineRule="auto"/>
              <w:jc w:val="center"/>
              <w:rPr>
                <w:b/>
                <w:color w:val="000000" w:themeColor="text1"/>
                <w:sz w:val="26"/>
                <w:szCs w:val="26"/>
                <w:vertAlign w:val="superscript"/>
                <w14:textFill>
                  <w14:solidFill>
                    <w14:schemeClr w14:val="tx1"/>
                  </w14:solidFill>
                </w14:textFill>
              </w:rPr>
            </w:pPr>
            <w:r>
              <w:rPr>
                <w:b/>
                <w:color w:val="000000" w:themeColor="text1"/>
                <w:sz w:val="26"/>
                <w:szCs w:val="26"/>
                <w14:textFill>
                  <w14:solidFill>
                    <w14:schemeClr w14:val="tx1"/>
                  </w14:solidFill>
                </w14:textFill>
              </w:rPr>
              <w:t>% of bid price</w:t>
            </w:r>
            <w:r>
              <w:rPr>
                <w:b/>
                <w:color w:val="000000" w:themeColor="text1"/>
                <w:sz w:val="26"/>
                <w:szCs w:val="26"/>
                <w:vertAlign w:val="superscript"/>
                <w14:textFill>
                  <w14:solidFill>
                    <w14:schemeClr w14:val="tx1"/>
                  </w14:solidFill>
                </w14:textFill>
              </w:rPr>
              <w:t>(4)</w:t>
            </w:r>
          </w:p>
        </w:tc>
      </w:tr>
      <w:tr w14:paraId="708C6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tcPr>
          <w:p w14:paraId="708C6CF3">
            <w:pPr>
              <w:widowControl w:val="0"/>
              <w:spacing w:before="120" w:after="120" w:line="264"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w:t>
            </w:r>
          </w:p>
        </w:tc>
        <w:tc>
          <w:tcPr>
            <w:tcW w:w="2473" w:type="dxa"/>
          </w:tcPr>
          <w:p w14:paraId="708C6CF4">
            <w:pPr>
              <w:widowControl w:val="0"/>
              <w:spacing w:before="120" w:after="120" w:line="264" w:lineRule="auto"/>
              <w:rPr>
                <w:b/>
                <w:color w:val="000000" w:themeColor="text1"/>
                <w:sz w:val="26"/>
                <w:szCs w:val="26"/>
                <w14:textFill>
                  <w14:solidFill>
                    <w14:schemeClr w14:val="tx1"/>
                  </w14:solidFill>
                </w14:textFill>
              </w:rPr>
            </w:pPr>
          </w:p>
        </w:tc>
        <w:tc>
          <w:tcPr>
            <w:tcW w:w="2693" w:type="dxa"/>
          </w:tcPr>
          <w:p w14:paraId="708C6CF5">
            <w:pPr>
              <w:widowControl w:val="0"/>
              <w:spacing w:before="120" w:after="120" w:line="264" w:lineRule="auto"/>
              <w:rPr>
                <w:b/>
                <w:color w:val="000000" w:themeColor="text1"/>
                <w:sz w:val="26"/>
                <w:szCs w:val="26"/>
                <w14:textFill>
                  <w14:solidFill>
                    <w14:schemeClr w14:val="tx1"/>
                  </w14:solidFill>
                </w14:textFill>
              </w:rPr>
            </w:pPr>
          </w:p>
        </w:tc>
        <w:tc>
          <w:tcPr>
            <w:tcW w:w="3402" w:type="dxa"/>
          </w:tcPr>
          <w:p w14:paraId="708C6CF6">
            <w:pPr>
              <w:widowControl w:val="0"/>
              <w:spacing w:before="120" w:after="120" w:line="264" w:lineRule="auto"/>
              <w:rPr>
                <w:b/>
                <w:color w:val="000000" w:themeColor="text1"/>
                <w:sz w:val="26"/>
                <w:szCs w:val="26"/>
                <w14:textFill>
                  <w14:solidFill>
                    <w14:schemeClr w14:val="tx1"/>
                  </w14:solidFill>
                </w14:textFill>
              </w:rPr>
            </w:pPr>
          </w:p>
        </w:tc>
      </w:tr>
      <w:tr w14:paraId="708C6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tcPr>
          <w:p w14:paraId="708C6CF8">
            <w:pPr>
              <w:widowControl w:val="0"/>
              <w:spacing w:before="120" w:after="120" w:line="264"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w:t>
            </w:r>
          </w:p>
        </w:tc>
        <w:tc>
          <w:tcPr>
            <w:tcW w:w="2473" w:type="dxa"/>
          </w:tcPr>
          <w:p w14:paraId="708C6CF9">
            <w:pPr>
              <w:widowControl w:val="0"/>
              <w:spacing w:before="120" w:after="120" w:line="264" w:lineRule="auto"/>
              <w:rPr>
                <w:b/>
                <w:color w:val="000000" w:themeColor="text1"/>
                <w:sz w:val="26"/>
                <w:szCs w:val="26"/>
                <w14:textFill>
                  <w14:solidFill>
                    <w14:schemeClr w14:val="tx1"/>
                  </w14:solidFill>
                </w14:textFill>
              </w:rPr>
            </w:pPr>
          </w:p>
        </w:tc>
        <w:tc>
          <w:tcPr>
            <w:tcW w:w="2693" w:type="dxa"/>
          </w:tcPr>
          <w:p w14:paraId="708C6CFA">
            <w:pPr>
              <w:widowControl w:val="0"/>
              <w:spacing w:before="120" w:after="120" w:line="264" w:lineRule="auto"/>
              <w:rPr>
                <w:b/>
                <w:color w:val="000000" w:themeColor="text1"/>
                <w:sz w:val="26"/>
                <w:szCs w:val="26"/>
                <w14:textFill>
                  <w14:solidFill>
                    <w14:schemeClr w14:val="tx1"/>
                  </w14:solidFill>
                </w14:textFill>
              </w:rPr>
            </w:pPr>
          </w:p>
        </w:tc>
        <w:tc>
          <w:tcPr>
            <w:tcW w:w="3402" w:type="dxa"/>
          </w:tcPr>
          <w:p w14:paraId="708C6CFB">
            <w:pPr>
              <w:widowControl w:val="0"/>
              <w:spacing w:before="120" w:after="120" w:line="264" w:lineRule="auto"/>
              <w:rPr>
                <w:b/>
                <w:color w:val="000000" w:themeColor="text1"/>
                <w:sz w:val="26"/>
                <w:szCs w:val="26"/>
                <w14:textFill>
                  <w14:solidFill>
                    <w14:schemeClr w14:val="tx1"/>
                  </w14:solidFill>
                </w14:textFill>
              </w:rPr>
            </w:pPr>
          </w:p>
        </w:tc>
      </w:tr>
      <w:tr w14:paraId="708C6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tcPr>
          <w:p w14:paraId="708C6CFD">
            <w:pPr>
              <w:widowControl w:val="0"/>
              <w:spacing w:before="120" w:after="120" w:line="264" w:lineRule="auto"/>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t>
            </w:r>
          </w:p>
        </w:tc>
        <w:tc>
          <w:tcPr>
            <w:tcW w:w="2473" w:type="dxa"/>
          </w:tcPr>
          <w:p w14:paraId="708C6CFE">
            <w:pPr>
              <w:widowControl w:val="0"/>
              <w:spacing w:before="120" w:after="120" w:line="264" w:lineRule="auto"/>
              <w:rPr>
                <w:b/>
                <w:color w:val="000000" w:themeColor="text1"/>
                <w:sz w:val="26"/>
                <w:szCs w:val="26"/>
                <w14:textFill>
                  <w14:solidFill>
                    <w14:schemeClr w14:val="tx1"/>
                  </w14:solidFill>
                </w14:textFill>
              </w:rPr>
            </w:pPr>
          </w:p>
        </w:tc>
        <w:tc>
          <w:tcPr>
            <w:tcW w:w="2693" w:type="dxa"/>
          </w:tcPr>
          <w:p w14:paraId="708C6CFF">
            <w:pPr>
              <w:widowControl w:val="0"/>
              <w:spacing w:before="120" w:after="120" w:line="264" w:lineRule="auto"/>
              <w:rPr>
                <w:b/>
                <w:color w:val="000000" w:themeColor="text1"/>
                <w:sz w:val="26"/>
                <w:szCs w:val="26"/>
                <w14:textFill>
                  <w14:solidFill>
                    <w14:schemeClr w14:val="tx1"/>
                  </w14:solidFill>
                </w14:textFill>
              </w:rPr>
            </w:pPr>
          </w:p>
        </w:tc>
        <w:tc>
          <w:tcPr>
            <w:tcW w:w="3402" w:type="dxa"/>
          </w:tcPr>
          <w:p w14:paraId="708C6D00">
            <w:pPr>
              <w:widowControl w:val="0"/>
              <w:spacing w:before="120" w:after="120" w:line="264" w:lineRule="auto"/>
              <w:rPr>
                <w:b/>
                <w:color w:val="000000" w:themeColor="text1"/>
                <w:sz w:val="26"/>
                <w:szCs w:val="26"/>
                <w14:textFill>
                  <w14:solidFill>
                    <w14:schemeClr w14:val="tx1"/>
                  </w14:solidFill>
                </w14:textFill>
              </w:rPr>
            </w:pPr>
          </w:p>
        </w:tc>
      </w:tr>
    </w:tbl>
    <w:p w14:paraId="708C6D02">
      <w:pPr>
        <w:widowControl w:val="0"/>
        <w:spacing w:before="120" w:after="120" w:line="264" w:lineRule="auto"/>
        <w:ind w:firstLine="709"/>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Note:</w:t>
      </w:r>
    </w:p>
    <w:p w14:paraId="708C6D03">
      <w:pPr>
        <w:widowControl w:val="0"/>
        <w:spacing w:before="120" w:after="120" w:line="264" w:lineRule="auto"/>
        <w:ind w:firstLine="709"/>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 In case the bidder participating in the bid is the parent company (for example, a Corporation) that mobilizes its subsidiary or member company to perform a part of the work in the bidding package, it must be specified in this table. The evaluation of experience and capacity of the Bidder is based on the value and volume performed by the parent company, subsidiary, and member company undertaken in the bidding package. In case the participating Bidder is not the parent company, this Form shall not be applicable.</w:t>
      </w:r>
    </w:p>
    <w:p w14:paraId="708C6D04">
      <w:pPr>
        <w:widowControl w:val="0"/>
        <w:spacing w:before="120" w:after="120" w:line="264" w:lineRule="auto"/>
        <w:ind w:firstLine="709"/>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 Specify the name of the subsidiary or member company.</w:t>
      </w:r>
    </w:p>
    <w:p w14:paraId="708C6D05">
      <w:pPr>
        <w:widowControl w:val="0"/>
        <w:spacing w:before="120" w:after="120" w:line="264" w:lineRule="auto"/>
        <w:ind w:firstLine="709"/>
        <w:jc w:val="both"/>
        <w:rPr>
          <w:bCs/>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(3) Specify part of the work undertaken by the subsidiary or member company.</w:t>
      </w:r>
    </w:p>
    <w:p w14:paraId="708C6D06">
      <w:pPr>
        <w:widowControl w:val="0"/>
        <w:shd w:val="clear" w:color="auto" w:fill="FFFFFF"/>
        <w:spacing w:before="120" w:after="120" w:line="264" w:lineRule="auto"/>
        <w:ind w:firstLine="567"/>
        <w:jc w:val="both"/>
        <w:outlineLvl w:val="3"/>
        <w:rPr>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(4) Specify percent of work undertaken by the subsidiary or the member company compared to the bid price</w:t>
      </w:r>
    </w:p>
    <w:p w14:paraId="708C6D07">
      <w:pPr>
        <w:spacing w:after="0" w:line="240" w:lineRule="auto"/>
        <w:rPr>
          <w:bCs/>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br w:type="page"/>
      </w:r>
    </w:p>
    <w:p w14:paraId="708C6D08">
      <w:pPr>
        <w:widowControl w:val="0"/>
        <w:spacing w:before="120" w:after="120" w:line="264" w:lineRule="auto"/>
        <w:jc w:val="center"/>
        <w:rPr>
          <w:b/>
          <w:color w:val="000000" w:themeColor="text1"/>
          <w:sz w:val="26"/>
          <w:szCs w:val="26"/>
          <w14:textFill>
            <w14:solidFill>
              <w14:schemeClr w14:val="tx1"/>
            </w14:solidFill>
          </w14:textFill>
        </w:rPr>
      </w:pPr>
      <w:bookmarkStart w:id="23" w:name="_Hlk11756459"/>
      <w:r>
        <w:rPr>
          <w:b/>
          <w:color w:val="000000" w:themeColor="text1"/>
          <w:sz w:val="26"/>
          <w:szCs w:val="26"/>
          <w14:textFill>
            <w14:solidFill>
              <w14:schemeClr w14:val="tx1"/>
            </w14:solidFill>
          </w14:textFill>
        </w:rPr>
        <w:t>Part 2. TECHNICAL REQUIREMENTS</w:t>
      </w:r>
    </w:p>
    <w:p w14:paraId="708C6D09">
      <w:pPr>
        <w:pStyle w:val="10"/>
        <w:numPr>
          <w:ilvl w:val="0"/>
          <w:numId w:val="0"/>
        </w:numPr>
        <w:spacing w:line="288" w:lineRule="auto"/>
        <w:ind w:left="1584"/>
        <w:jc w:val="center"/>
        <w:rPr>
          <w:rFonts w:ascii="Times New Roman" w:hAnsi="Times New Roman"/>
          <w:color w:val="000000" w:themeColor="text1"/>
          <w:sz w:val="24"/>
          <w:szCs w:val="24"/>
          <w:lang w:val="en-GB"/>
          <w14:textFill>
            <w14:solidFill>
              <w14:schemeClr w14:val="tx1"/>
            </w14:solidFill>
          </w14:textFill>
        </w:rPr>
      </w:pPr>
      <w:r>
        <w:rPr>
          <w:rFonts w:ascii="Times New Roman" w:hAnsi="Times New Roman"/>
          <w:bCs/>
          <w:color w:val="000000" w:themeColor="text1"/>
          <w:sz w:val="26"/>
          <w:szCs w:val="26"/>
          <w14:textFill>
            <w14:solidFill>
              <w14:schemeClr w14:val="tx1"/>
            </w14:solidFill>
          </w14:textFill>
        </w:rPr>
        <w:br w:type="page"/>
      </w:r>
    </w:p>
    <w:bookmarkEnd w:id="23"/>
    <w:p w14:paraId="708C6D0A">
      <w:pPr>
        <w:shd w:val="clear" w:color="auto" w:fill="FFFFFF"/>
        <w:spacing w:after="0" w:line="240" w:lineRule="auto"/>
        <w:jc w:val="center"/>
        <w:rPr>
          <w:b/>
          <w:color w:val="000000" w:themeColor="text1"/>
          <w:sz w:val="26"/>
          <w:szCs w:val="26"/>
          <w14:textFill>
            <w14:solidFill>
              <w14:schemeClr w14:val="tx1"/>
            </w14:solidFill>
          </w14:textFill>
        </w:rPr>
      </w:pPr>
      <w:bookmarkStart w:id="24" w:name="_Toc36826228"/>
      <w:bookmarkEnd w:id="24"/>
      <w:bookmarkStart w:id="25" w:name="_Toc36824278"/>
      <w:bookmarkEnd w:id="25"/>
      <w:bookmarkStart w:id="26" w:name="_Toc36824375"/>
      <w:bookmarkEnd w:id="26"/>
      <w:bookmarkStart w:id="27" w:name="_Toc36825898"/>
      <w:bookmarkEnd w:id="27"/>
      <w:bookmarkStart w:id="28" w:name="_Toc36826246"/>
      <w:bookmarkEnd w:id="28"/>
      <w:bookmarkStart w:id="29" w:name="_Toc36824528"/>
      <w:bookmarkEnd w:id="29"/>
      <w:bookmarkStart w:id="30" w:name="_Toc36825381"/>
      <w:bookmarkEnd w:id="30"/>
      <w:bookmarkStart w:id="31" w:name="_Toc36825261"/>
      <w:bookmarkEnd w:id="31"/>
      <w:bookmarkStart w:id="32" w:name="_Toc36825411"/>
      <w:bookmarkEnd w:id="32"/>
      <w:bookmarkStart w:id="33" w:name="_Toc36825585"/>
      <w:bookmarkEnd w:id="33"/>
      <w:bookmarkStart w:id="34" w:name="_Toc36825838"/>
      <w:bookmarkEnd w:id="34"/>
      <w:bookmarkStart w:id="35" w:name="_Toc36825814"/>
      <w:bookmarkEnd w:id="35"/>
      <w:bookmarkStart w:id="36" w:name="_Toc36825777"/>
      <w:bookmarkEnd w:id="36"/>
      <w:bookmarkStart w:id="37" w:name="_Toc36824774"/>
      <w:bookmarkEnd w:id="37"/>
      <w:bookmarkStart w:id="38" w:name="_Toc36824280"/>
      <w:bookmarkEnd w:id="38"/>
      <w:bookmarkStart w:id="39" w:name="_Toc36826222"/>
      <w:bookmarkEnd w:id="39"/>
      <w:bookmarkStart w:id="40" w:name="_Toc36825844"/>
      <w:bookmarkEnd w:id="40"/>
      <w:bookmarkStart w:id="41" w:name="_Toc36825940"/>
      <w:bookmarkEnd w:id="41"/>
      <w:bookmarkStart w:id="42" w:name="_Toc36825495"/>
      <w:bookmarkEnd w:id="42"/>
      <w:bookmarkStart w:id="43" w:name="_Toc36825633"/>
      <w:bookmarkEnd w:id="43"/>
      <w:bookmarkStart w:id="44" w:name="_Toc36824387"/>
      <w:bookmarkEnd w:id="44"/>
      <w:bookmarkStart w:id="45" w:name="_Toc36824853"/>
      <w:bookmarkEnd w:id="45"/>
      <w:bookmarkStart w:id="46" w:name="_Toc36825573"/>
      <w:bookmarkEnd w:id="46"/>
      <w:bookmarkStart w:id="47" w:name="_Toc36824835"/>
      <w:bookmarkEnd w:id="47"/>
      <w:bookmarkStart w:id="48" w:name="_Toc36824311"/>
      <w:bookmarkEnd w:id="48"/>
      <w:bookmarkStart w:id="49" w:name="_Toc36824327"/>
      <w:bookmarkEnd w:id="49"/>
      <w:bookmarkStart w:id="50" w:name="_Toc36825165"/>
      <w:bookmarkEnd w:id="50"/>
      <w:bookmarkStart w:id="51" w:name="_Toc36825231"/>
      <w:bookmarkEnd w:id="51"/>
      <w:bookmarkStart w:id="52" w:name="_Toc36825453"/>
      <w:bookmarkEnd w:id="52"/>
      <w:bookmarkStart w:id="53" w:name="_Toc36825507"/>
      <w:bookmarkEnd w:id="53"/>
      <w:bookmarkStart w:id="54" w:name="_Toc36825159"/>
      <w:bookmarkEnd w:id="54"/>
      <w:bookmarkStart w:id="55" w:name="_Toc36825429"/>
      <w:bookmarkEnd w:id="55"/>
      <w:bookmarkStart w:id="56" w:name="_Toc36825675"/>
      <w:bookmarkEnd w:id="56"/>
      <w:bookmarkStart w:id="57" w:name="_Toc36824949"/>
      <w:bookmarkEnd w:id="57"/>
      <w:bookmarkStart w:id="58" w:name="_Toc36824792"/>
      <w:bookmarkEnd w:id="58"/>
      <w:bookmarkStart w:id="59" w:name="_Toc36825663"/>
      <w:bookmarkEnd w:id="59"/>
      <w:bookmarkStart w:id="60" w:name="_Toc36826000"/>
      <w:bookmarkEnd w:id="60"/>
      <w:bookmarkStart w:id="61" w:name="_Toc36824351"/>
      <w:bookmarkEnd w:id="61"/>
      <w:bookmarkStart w:id="62" w:name="_Toc36824411"/>
      <w:bookmarkEnd w:id="62"/>
      <w:bookmarkStart w:id="63" w:name="_Toc36826174"/>
      <w:bookmarkEnd w:id="63"/>
      <w:bookmarkStart w:id="64" w:name="_Toc36825303"/>
      <w:bookmarkEnd w:id="64"/>
      <w:bookmarkStart w:id="65" w:name="_Toc36825219"/>
      <w:bookmarkEnd w:id="65"/>
      <w:bookmarkStart w:id="66" w:name="_Toc36826180"/>
      <w:bookmarkEnd w:id="66"/>
      <w:bookmarkStart w:id="67" w:name="_Toc36824345"/>
      <w:bookmarkEnd w:id="67"/>
      <w:bookmarkStart w:id="68" w:name="_Toc36825850"/>
      <w:bookmarkEnd w:id="68"/>
      <w:bookmarkStart w:id="69" w:name="_Toc36825862"/>
      <w:bookmarkEnd w:id="69"/>
      <w:bookmarkStart w:id="70" w:name="_Toc36825459"/>
      <w:bookmarkEnd w:id="70"/>
      <w:bookmarkStart w:id="71" w:name="_Toc36825417"/>
      <w:bookmarkEnd w:id="71"/>
      <w:bookmarkStart w:id="72" w:name="_Toc36825681"/>
      <w:bookmarkEnd w:id="72"/>
      <w:bookmarkStart w:id="73" w:name="_Toc36824405"/>
      <w:bookmarkEnd w:id="73"/>
      <w:bookmarkStart w:id="74" w:name="_Toc36824450"/>
      <w:bookmarkEnd w:id="74"/>
      <w:bookmarkStart w:id="75" w:name="_Toc36825994"/>
      <w:bookmarkEnd w:id="75"/>
      <w:bookmarkStart w:id="76" w:name="_Toc36825808"/>
      <w:bookmarkEnd w:id="76"/>
      <w:bookmarkStart w:id="77" w:name="_Toc36825339"/>
      <w:bookmarkEnd w:id="77"/>
      <w:bookmarkStart w:id="78" w:name="_Toc36825393"/>
      <w:bookmarkEnd w:id="78"/>
      <w:bookmarkStart w:id="79" w:name="_Toc36824293"/>
      <w:bookmarkEnd w:id="79"/>
      <w:bookmarkStart w:id="80" w:name="_Toc36825609"/>
      <w:bookmarkEnd w:id="80"/>
      <w:bookmarkStart w:id="81" w:name="_Toc36825201"/>
      <w:bookmarkEnd w:id="81"/>
      <w:bookmarkStart w:id="82" w:name="_Toc36825958"/>
      <w:bookmarkEnd w:id="82"/>
      <w:bookmarkStart w:id="83" w:name="_Toc36825910"/>
      <w:bookmarkEnd w:id="83"/>
      <w:bookmarkStart w:id="84" w:name="_Toc36825447"/>
      <w:bookmarkEnd w:id="84"/>
      <w:bookmarkStart w:id="85" w:name="_Toc36825832"/>
      <w:bookmarkEnd w:id="85"/>
      <w:bookmarkStart w:id="86" w:name="_Toc36824883"/>
      <w:bookmarkEnd w:id="86"/>
      <w:bookmarkStart w:id="87" w:name="_Toc36825531"/>
      <w:bookmarkEnd w:id="87"/>
      <w:bookmarkStart w:id="88" w:name="_Toc36825669"/>
      <w:bookmarkEnd w:id="88"/>
      <w:bookmarkStart w:id="89" w:name="_Toc36825796"/>
      <w:bookmarkEnd w:id="89"/>
      <w:bookmarkStart w:id="90" w:name="_Toc36825465"/>
      <w:bookmarkEnd w:id="90"/>
      <w:bookmarkStart w:id="91" w:name="_Toc36825561"/>
      <w:bookmarkEnd w:id="91"/>
      <w:bookmarkStart w:id="92" w:name="_Toc36825483"/>
      <w:bookmarkEnd w:id="92"/>
      <w:bookmarkStart w:id="93" w:name="_Toc36825826"/>
      <w:bookmarkEnd w:id="93"/>
      <w:bookmarkStart w:id="94" w:name="_Toc36825477"/>
      <w:bookmarkEnd w:id="94"/>
      <w:bookmarkStart w:id="95" w:name="_Toc36825015"/>
      <w:bookmarkEnd w:id="95"/>
      <w:bookmarkStart w:id="96" w:name="_Toc36825195"/>
      <w:bookmarkEnd w:id="96"/>
      <w:bookmarkStart w:id="97" w:name="_Toc36826018"/>
      <w:bookmarkEnd w:id="97"/>
      <w:bookmarkStart w:id="98" w:name="_Toc36824624"/>
      <w:bookmarkEnd w:id="98"/>
      <w:bookmarkStart w:id="99" w:name="_Toc36824381"/>
      <w:bookmarkEnd w:id="99"/>
      <w:bookmarkStart w:id="100" w:name="_Toc36825771"/>
      <w:bookmarkEnd w:id="100"/>
      <w:bookmarkStart w:id="101" w:name="_Toc36824805"/>
      <w:bookmarkEnd w:id="101"/>
      <w:bookmarkStart w:id="102" w:name="_Toc36825705"/>
      <w:bookmarkEnd w:id="102"/>
      <w:bookmarkStart w:id="103" w:name="_Toc36826030"/>
      <w:bookmarkEnd w:id="103"/>
      <w:bookmarkStart w:id="104" w:name="_Toc36825279"/>
      <w:bookmarkEnd w:id="104"/>
      <w:bookmarkStart w:id="105" w:name="_Toc36825435"/>
      <w:bookmarkEnd w:id="105"/>
      <w:bookmarkStart w:id="106" w:name="_Toc36825051"/>
      <w:bookmarkEnd w:id="106"/>
      <w:bookmarkStart w:id="107" w:name="_Toc36825363"/>
      <w:bookmarkEnd w:id="107"/>
      <w:bookmarkStart w:id="108" w:name="_Toc36825345"/>
      <w:bookmarkEnd w:id="108"/>
      <w:bookmarkStart w:id="109" w:name="_Toc36824799"/>
      <w:bookmarkEnd w:id="109"/>
      <w:bookmarkStart w:id="110" w:name="_Toc36825765"/>
      <w:bookmarkEnd w:id="110"/>
      <w:bookmarkStart w:id="111" w:name="_Toc36825351"/>
      <w:bookmarkEnd w:id="111"/>
      <w:bookmarkStart w:id="112" w:name="_Toc36824877"/>
      <w:bookmarkEnd w:id="112"/>
      <w:bookmarkStart w:id="113" w:name="_Toc36824997"/>
      <w:bookmarkEnd w:id="113"/>
      <w:bookmarkStart w:id="114" w:name="_Toc36825189"/>
      <w:bookmarkEnd w:id="114"/>
      <w:bookmarkStart w:id="115" w:name="_Toc36825369"/>
      <w:bookmarkEnd w:id="115"/>
      <w:bookmarkStart w:id="116" w:name="_Toc36825874"/>
      <w:bookmarkEnd w:id="116"/>
      <w:bookmarkStart w:id="117" w:name="_Toc36825790"/>
      <w:bookmarkEnd w:id="117"/>
      <w:bookmarkStart w:id="118" w:name="_Toc36825717"/>
      <w:bookmarkEnd w:id="118"/>
      <w:bookmarkStart w:id="119" w:name="_Toc36825135"/>
      <w:bookmarkEnd w:id="119"/>
      <w:bookmarkStart w:id="120" w:name="_Toc36825207"/>
      <w:bookmarkEnd w:id="120"/>
      <w:bookmarkStart w:id="121" w:name="_Toc36825405"/>
      <w:bookmarkEnd w:id="121"/>
      <w:bookmarkStart w:id="122" w:name="_Toc36825591"/>
      <w:bookmarkEnd w:id="122"/>
      <w:bookmarkStart w:id="123" w:name="_Toc36825075"/>
      <w:bookmarkEnd w:id="123"/>
      <w:bookmarkStart w:id="124" w:name="_Toc36825657"/>
      <w:bookmarkEnd w:id="124"/>
      <w:bookmarkStart w:id="125" w:name="_Toc36825087"/>
      <w:bookmarkEnd w:id="125"/>
      <w:bookmarkStart w:id="126" w:name="_Toc36825045"/>
      <w:bookmarkEnd w:id="126"/>
      <w:bookmarkStart w:id="127" w:name="_Toc36824618"/>
      <w:bookmarkEnd w:id="127"/>
      <w:bookmarkStart w:id="128" w:name="_Toc36825543"/>
      <w:bookmarkEnd w:id="128"/>
      <w:bookmarkStart w:id="129" w:name="_Toc36825213"/>
      <w:bookmarkEnd w:id="129"/>
      <w:bookmarkStart w:id="130" w:name="_Toc36825513"/>
      <w:bookmarkEnd w:id="130"/>
      <w:bookmarkStart w:id="131" w:name="_Toc36825321"/>
      <w:bookmarkEnd w:id="131"/>
      <w:bookmarkStart w:id="132" w:name="_Toc36825225"/>
      <w:bookmarkEnd w:id="132"/>
      <w:bookmarkStart w:id="133" w:name="_Toc36825333"/>
      <w:bookmarkEnd w:id="133"/>
      <w:bookmarkStart w:id="134" w:name="_Toc36825063"/>
      <w:bookmarkEnd w:id="134"/>
      <w:bookmarkStart w:id="135" w:name="_Toc36825423"/>
      <w:bookmarkEnd w:id="135"/>
      <w:bookmarkStart w:id="136" w:name="_Toc36824925"/>
      <w:bookmarkEnd w:id="136"/>
      <w:bookmarkStart w:id="137" w:name="_Toc36824552"/>
      <w:bookmarkEnd w:id="137"/>
      <w:bookmarkStart w:id="138" w:name="_Toc36824582"/>
      <w:bookmarkEnd w:id="138"/>
      <w:bookmarkStart w:id="139" w:name="_Toc36826054"/>
      <w:bookmarkEnd w:id="139"/>
      <w:bookmarkStart w:id="140" w:name="_Toc36824321"/>
      <w:bookmarkEnd w:id="140"/>
      <w:bookmarkStart w:id="141" w:name="_Toc36825141"/>
      <w:bookmarkEnd w:id="141"/>
      <w:bookmarkStart w:id="142" w:name="_Toc36825687"/>
      <w:bookmarkEnd w:id="142"/>
      <w:bookmarkStart w:id="143" w:name="_Toc36825357"/>
      <w:bookmarkEnd w:id="143"/>
      <w:bookmarkStart w:id="144" w:name="_Toc36824859"/>
      <w:bookmarkEnd w:id="144"/>
      <w:bookmarkStart w:id="145" w:name="_Toc36824666"/>
      <w:bookmarkEnd w:id="145"/>
      <w:bookmarkStart w:id="146" w:name="_Toc36824570"/>
      <w:bookmarkEnd w:id="146"/>
      <w:bookmarkStart w:id="147" w:name="_Toc36824339"/>
      <w:bookmarkEnd w:id="147"/>
      <w:bookmarkStart w:id="148" w:name="_Toc36824594"/>
      <w:bookmarkEnd w:id="148"/>
      <w:bookmarkStart w:id="149" w:name="_Toc36824417"/>
      <w:bookmarkEnd w:id="149"/>
      <w:bookmarkStart w:id="150" w:name="_Toc36824684"/>
      <w:bookmarkEnd w:id="150"/>
      <w:bookmarkStart w:id="151" w:name="_Toc36824600"/>
      <w:bookmarkEnd w:id="151"/>
      <w:bookmarkStart w:id="152" w:name="_Toc36824708"/>
      <w:bookmarkEnd w:id="152"/>
      <w:bookmarkStart w:id="153" w:name="_Toc36824678"/>
      <w:bookmarkEnd w:id="153"/>
      <w:bookmarkStart w:id="154" w:name="_Toc36824287"/>
      <w:bookmarkEnd w:id="154"/>
      <w:bookmarkStart w:id="155" w:name="_Toc36825003"/>
      <w:bookmarkEnd w:id="155"/>
      <w:bookmarkStart w:id="156" w:name="_Toc36824648"/>
      <w:bookmarkEnd w:id="156"/>
      <w:bookmarkStart w:id="157" w:name="_Toc36824393"/>
      <w:bookmarkEnd w:id="157"/>
      <w:bookmarkStart w:id="158" w:name="_Toc36824726"/>
      <w:bookmarkEnd w:id="158"/>
      <w:bookmarkStart w:id="159" w:name="_Toc36824913"/>
      <w:bookmarkEnd w:id="159"/>
      <w:bookmarkStart w:id="160" w:name="_Toc36825579"/>
      <w:bookmarkEnd w:id="160"/>
      <w:bookmarkStart w:id="161" w:name="_Toc36824279"/>
      <w:bookmarkEnd w:id="161"/>
      <w:bookmarkStart w:id="162" w:name="_Toc36824558"/>
      <w:bookmarkEnd w:id="162"/>
      <w:bookmarkStart w:id="163" w:name="_Toc36825892"/>
      <w:bookmarkEnd w:id="163"/>
      <w:bookmarkStart w:id="164" w:name="_Toc36824660"/>
      <w:bookmarkEnd w:id="164"/>
      <w:bookmarkStart w:id="165" w:name="_Toc36824961"/>
      <w:bookmarkEnd w:id="165"/>
      <w:bookmarkStart w:id="166" w:name="_Toc36824654"/>
      <w:bookmarkEnd w:id="166"/>
      <w:bookmarkStart w:id="167" w:name="_Toc36824606"/>
      <w:bookmarkEnd w:id="167"/>
      <w:bookmarkStart w:id="168" w:name="_Toc36824612"/>
      <w:bookmarkEnd w:id="168"/>
      <w:bookmarkStart w:id="169" w:name="_Toc36824576"/>
      <w:bookmarkEnd w:id="169"/>
      <w:bookmarkStart w:id="170" w:name="_Toc36824768"/>
      <w:bookmarkEnd w:id="170"/>
      <w:bookmarkStart w:id="171" w:name="_Toc36824786"/>
      <w:bookmarkEnd w:id="171"/>
      <w:bookmarkStart w:id="172" w:name="_Toc36824456"/>
      <w:bookmarkEnd w:id="172"/>
      <w:bookmarkStart w:id="173" w:name="_Toc36824369"/>
      <w:bookmarkEnd w:id="173"/>
      <w:bookmarkStart w:id="174" w:name="_Toc36825519"/>
      <w:bookmarkEnd w:id="174"/>
      <w:bookmarkStart w:id="175" w:name="_Toc36824522"/>
      <w:bookmarkEnd w:id="175"/>
      <w:bookmarkStart w:id="176" w:name="_Toc36824630"/>
      <w:bookmarkEnd w:id="176"/>
      <w:bookmarkStart w:id="177" w:name="_Toc36825627"/>
      <w:bookmarkEnd w:id="177"/>
      <w:bookmarkStart w:id="178" w:name="_Toc36824907"/>
      <w:bookmarkEnd w:id="178"/>
      <w:bookmarkStart w:id="179" w:name="_Toc36825183"/>
      <w:bookmarkEnd w:id="179"/>
      <w:bookmarkStart w:id="180" w:name="_Toc36824498"/>
      <w:bookmarkEnd w:id="180"/>
      <w:bookmarkStart w:id="181" w:name="_Toc36825021"/>
      <w:bookmarkEnd w:id="181"/>
      <w:bookmarkStart w:id="182" w:name="_Toc36824937"/>
      <w:bookmarkEnd w:id="182"/>
      <w:bookmarkStart w:id="183" w:name="_Toc36824423"/>
      <w:bookmarkEnd w:id="183"/>
      <w:bookmarkStart w:id="184" w:name="_Toc36825255"/>
      <w:bookmarkEnd w:id="184"/>
      <w:bookmarkStart w:id="185" w:name="_Toc36824744"/>
      <w:bookmarkEnd w:id="185"/>
      <w:bookmarkStart w:id="186" w:name="_Toc36824305"/>
      <w:bookmarkEnd w:id="186"/>
      <w:bookmarkStart w:id="187" w:name="_Toc36824817"/>
      <w:bookmarkEnd w:id="187"/>
      <w:bookmarkStart w:id="188" w:name="_Toc36825387"/>
      <w:bookmarkEnd w:id="188"/>
      <w:bookmarkStart w:id="189" w:name="_Toc36824534"/>
      <w:bookmarkEnd w:id="189"/>
      <w:bookmarkStart w:id="190" w:name="_Toc36824714"/>
      <w:bookmarkEnd w:id="190"/>
      <w:bookmarkStart w:id="191" w:name="_Toc36824756"/>
      <w:bookmarkEnd w:id="191"/>
      <w:bookmarkStart w:id="192" w:name="_Toc36824299"/>
      <w:bookmarkEnd w:id="192"/>
      <w:bookmarkStart w:id="193" w:name="_Toc36825027"/>
      <w:bookmarkEnd w:id="193"/>
      <w:bookmarkStart w:id="194" w:name="_Toc36824979"/>
      <w:bookmarkEnd w:id="194"/>
      <w:bookmarkStart w:id="195" w:name="_Toc36824847"/>
      <w:bookmarkEnd w:id="195"/>
      <w:bookmarkStart w:id="196" w:name="_Toc36825153"/>
      <w:bookmarkEnd w:id="196"/>
      <w:bookmarkStart w:id="197" w:name="_Toc36824504"/>
      <w:bookmarkEnd w:id="197"/>
      <w:bookmarkStart w:id="198" w:name="_Toc36825117"/>
      <w:bookmarkEnd w:id="198"/>
      <w:bookmarkStart w:id="199" w:name="_Toc36824720"/>
      <w:bookmarkEnd w:id="199"/>
      <w:bookmarkStart w:id="200" w:name="_Toc36824436"/>
      <w:bookmarkEnd w:id="200"/>
      <w:bookmarkStart w:id="201" w:name="_Toc36824696"/>
      <w:bookmarkEnd w:id="201"/>
      <w:bookmarkStart w:id="202" w:name="_Toc36825039"/>
      <w:bookmarkEnd w:id="202"/>
      <w:bookmarkStart w:id="203" w:name="_Toc36824973"/>
      <w:bookmarkEnd w:id="203"/>
      <w:bookmarkStart w:id="204" w:name="_Toc36825567"/>
      <w:bookmarkEnd w:id="204"/>
      <w:bookmarkStart w:id="205" w:name="_Toc36824780"/>
      <w:bookmarkEnd w:id="205"/>
      <w:bookmarkStart w:id="206" w:name="_Toc36824841"/>
      <w:bookmarkEnd w:id="206"/>
      <w:bookmarkStart w:id="207" w:name="_Toc36824564"/>
      <w:bookmarkEnd w:id="207"/>
      <w:bookmarkStart w:id="208" w:name="_Toc36824480"/>
      <w:bookmarkEnd w:id="208"/>
      <w:bookmarkStart w:id="209" w:name="_Toc36824636"/>
      <w:bookmarkEnd w:id="209"/>
      <w:bookmarkStart w:id="210" w:name="_Toc36825081"/>
      <w:bookmarkEnd w:id="210"/>
      <w:bookmarkStart w:id="211" w:name="_Toc36825549"/>
      <w:bookmarkEnd w:id="211"/>
      <w:bookmarkStart w:id="212" w:name="_Toc36824732"/>
      <w:bookmarkEnd w:id="212"/>
      <w:bookmarkStart w:id="213" w:name="_Toc36825243"/>
      <w:bookmarkEnd w:id="213"/>
      <w:bookmarkStart w:id="214" w:name="_Toc36825249"/>
      <w:bookmarkEnd w:id="214"/>
      <w:bookmarkStart w:id="215" w:name="_Toc36825327"/>
      <w:bookmarkEnd w:id="215"/>
      <w:bookmarkStart w:id="216" w:name="_Toc36824510"/>
      <w:bookmarkEnd w:id="216"/>
      <w:bookmarkStart w:id="217" w:name="_Toc36825315"/>
      <w:bookmarkEnd w:id="217"/>
      <w:bookmarkStart w:id="218" w:name="_Toc36825237"/>
      <w:bookmarkEnd w:id="218"/>
      <w:bookmarkStart w:id="219" w:name="_Toc36824399"/>
      <w:bookmarkEnd w:id="219"/>
      <w:bookmarkStart w:id="220" w:name="_Toc36825441"/>
      <w:bookmarkEnd w:id="220"/>
      <w:bookmarkStart w:id="221" w:name="_Toc36824829"/>
      <w:bookmarkEnd w:id="221"/>
      <w:bookmarkStart w:id="222" w:name="_Toc36825069"/>
      <w:bookmarkEnd w:id="222"/>
      <w:bookmarkStart w:id="223" w:name="_Toc36825489"/>
      <w:bookmarkEnd w:id="223"/>
      <w:bookmarkStart w:id="224" w:name="_Toc36826102"/>
      <w:bookmarkEnd w:id="224"/>
      <w:bookmarkStart w:id="225" w:name="_Toc36825988"/>
      <w:bookmarkEnd w:id="225"/>
      <w:bookmarkStart w:id="226" w:name="_Toc36824901"/>
      <w:bookmarkEnd w:id="226"/>
      <w:bookmarkStart w:id="227" w:name="_Toc36824943"/>
      <w:bookmarkEnd w:id="227"/>
      <w:bookmarkStart w:id="228" w:name="_Toc36824486"/>
      <w:bookmarkEnd w:id="228"/>
      <w:bookmarkStart w:id="229" w:name="_Toc36824444"/>
      <w:bookmarkEnd w:id="229"/>
      <w:bookmarkStart w:id="230" w:name="_Toc36824588"/>
      <w:bookmarkEnd w:id="230"/>
      <w:bookmarkStart w:id="231" w:name="_Toc36824919"/>
      <w:bookmarkEnd w:id="231"/>
      <w:bookmarkStart w:id="232" w:name="_Toc36825129"/>
      <w:bookmarkEnd w:id="232"/>
      <w:bookmarkStart w:id="233" w:name="_Toc36824357"/>
      <w:bookmarkEnd w:id="233"/>
      <w:bookmarkStart w:id="234" w:name="_Toc36825093"/>
      <w:bookmarkEnd w:id="234"/>
      <w:bookmarkStart w:id="235" w:name="_Toc36824895"/>
      <w:bookmarkEnd w:id="235"/>
      <w:bookmarkStart w:id="236" w:name="_Toc36824642"/>
      <w:bookmarkEnd w:id="236"/>
      <w:bookmarkStart w:id="237" w:name="_Toc36825033"/>
      <w:bookmarkEnd w:id="237"/>
      <w:bookmarkStart w:id="238" w:name="_Toc36825267"/>
      <w:bookmarkEnd w:id="238"/>
      <w:bookmarkStart w:id="239" w:name="_Toc36824991"/>
      <w:bookmarkEnd w:id="239"/>
      <w:bookmarkStart w:id="240" w:name="_Toc36824363"/>
      <w:bookmarkEnd w:id="240"/>
      <w:bookmarkStart w:id="241" w:name="_Toc36824430"/>
      <w:bookmarkEnd w:id="241"/>
      <w:bookmarkStart w:id="242" w:name="_Toc36824462"/>
      <w:bookmarkEnd w:id="242"/>
      <w:bookmarkStart w:id="243" w:name="_Toc36825645"/>
      <w:bookmarkEnd w:id="243"/>
      <w:bookmarkStart w:id="244" w:name="_Toc36826192"/>
      <w:bookmarkEnd w:id="244"/>
      <w:bookmarkStart w:id="245" w:name="_Toc36824871"/>
      <w:bookmarkEnd w:id="245"/>
      <w:bookmarkStart w:id="246" w:name="_Toc36824931"/>
      <w:bookmarkEnd w:id="246"/>
      <w:bookmarkStart w:id="247" w:name="_Toc36824546"/>
      <w:bookmarkEnd w:id="247"/>
      <w:bookmarkStart w:id="248" w:name="_Toc36825729"/>
      <w:bookmarkEnd w:id="248"/>
      <w:bookmarkStart w:id="249" w:name="_Toc36825934"/>
      <w:bookmarkEnd w:id="249"/>
      <w:bookmarkStart w:id="250" w:name="_Toc36826264"/>
      <w:bookmarkEnd w:id="250"/>
      <w:bookmarkStart w:id="251" w:name="_Toc36825285"/>
      <w:bookmarkEnd w:id="251"/>
      <w:bookmarkStart w:id="252" w:name="_Toc36825759"/>
      <w:bookmarkEnd w:id="252"/>
      <w:bookmarkStart w:id="253" w:name="_Toc36826216"/>
      <w:bookmarkEnd w:id="253"/>
      <w:bookmarkStart w:id="254" w:name="_Toc36825471"/>
      <w:bookmarkEnd w:id="254"/>
      <w:bookmarkStart w:id="255" w:name="_Toc36825639"/>
      <w:bookmarkEnd w:id="255"/>
      <w:bookmarkStart w:id="256" w:name="_Toc36825621"/>
      <w:bookmarkEnd w:id="256"/>
      <w:bookmarkStart w:id="257" w:name="_Toc36825105"/>
      <w:bookmarkEnd w:id="257"/>
      <w:bookmarkStart w:id="258" w:name="_Toc36824738"/>
      <w:bookmarkEnd w:id="258"/>
      <w:bookmarkStart w:id="259" w:name="_Toc36826072"/>
      <w:bookmarkEnd w:id="259"/>
      <w:bookmarkStart w:id="260" w:name="_Toc36824702"/>
      <w:bookmarkEnd w:id="260"/>
      <w:bookmarkStart w:id="261" w:name="_Toc36824985"/>
      <w:bookmarkEnd w:id="261"/>
      <w:bookmarkStart w:id="262" w:name="_Toc36825537"/>
      <w:bookmarkEnd w:id="262"/>
      <w:bookmarkStart w:id="263" w:name="_Toc36825297"/>
      <w:bookmarkEnd w:id="263"/>
      <w:bookmarkStart w:id="264" w:name="_Toc36824333"/>
      <w:bookmarkEnd w:id="264"/>
      <w:bookmarkStart w:id="265" w:name="_Toc36824865"/>
      <w:bookmarkEnd w:id="265"/>
      <w:bookmarkStart w:id="266" w:name="_Toc36826168"/>
      <w:bookmarkEnd w:id="266"/>
      <w:bookmarkStart w:id="267" w:name="_Toc36826162"/>
      <w:bookmarkEnd w:id="267"/>
      <w:bookmarkStart w:id="268" w:name="_Toc36825501"/>
      <w:bookmarkEnd w:id="268"/>
      <w:bookmarkStart w:id="269" w:name="_Toc36825525"/>
      <w:bookmarkEnd w:id="269"/>
      <w:bookmarkStart w:id="270" w:name="_Toc36824823"/>
      <w:bookmarkEnd w:id="270"/>
      <w:bookmarkStart w:id="271" w:name="_Toc36826210"/>
      <w:bookmarkEnd w:id="271"/>
      <w:bookmarkStart w:id="272" w:name="_Toc36824690"/>
      <w:bookmarkEnd w:id="272"/>
      <w:bookmarkStart w:id="273" w:name="_Toc36825651"/>
      <w:bookmarkEnd w:id="273"/>
      <w:bookmarkStart w:id="274" w:name="_Toc36825555"/>
      <w:bookmarkEnd w:id="274"/>
      <w:bookmarkStart w:id="275" w:name="_Toc36826012"/>
      <w:bookmarkEnd w:id="275"/>
      <w:bookmarkStart w:id="276" w:name="_Toc36826144"/>
      <w:bookmarkEnd w:id="276"/>
      <w:bookmarkStart w:id="277" w:name="_Toc36824672"/>
      <w:bookmarkEnd w:id="277"/>
      <w:bookmarkStart w:id="278" w:name="_Toc36825820"/>
      <w:bookmarkEnd w:id="278"/>
      <w:bookmarkStart w:id="279" w:name="_Toc36825399"/>
      <w:bookmarkEnd w:id="279"/>
      <w:bookmarkStart w:id="280" w:name="_Toc36825111"/>
      <w:bookmarkEnd w:id="280"/>
      <w:bookmarkStart w:id="281" w:name="_Toc36825615"/>
      <w:bookmarkEnd w:id="281"/>
      <w:bookmarkStart w:id="282" w:name="_Toc36824967"/>
      <w:bookmarkEnd w:id="282"/>
      <w:bookmarkStart w:id="283" w:name="_Toc36825693"/>
      <w:bookmarkEnd w:id="283"/>
      <w:bookmarkStart w:id="284" w:name="_Toc36825741"/>
      <w:bookmarkEnd w:id="284"/>
      <w:bookmarkStart w:id="285" w:name="_Toc36824811"/>
      <w:bookmarkEnd w:id="285"/>
      <w:bookmarkStart w:id="286" w:name="_Toc36825375"/>
      <w:bookmarkEnd w:id="286"/>
      <w:bookmarkStart w:id="287" w:name="_Toc36825711"/>
      <w:bookmarkEnd w:id="287"/>
      <w:bookmarkStart w:id="288" w:name="_Toc36825699"/>
      <w:bookmarkEnd w:id="288"/>
      <w:bookmarkStart w:id="289" w:name="_Toc36825057"/>
      <w:bookmarkEnd w:id="289"/>
      <w:bookmarkStart w:id="290" w:name="_Toc36825273"/>
      <w:bookmarkEnd w:id="290"/>
      <w:bookmarkStart w:id="291" w:name="_Toc36824955"/>
      <w:bookmarkEnd w:id="291"/>
      <w:bookmarkStart w:id="292" w:name="_Toc36824762"/>
      <w:bookmarkEnd w:id="292"/>
      <w:bookmarkStart w:id="293" w:name="_Toc36826252"/>
      <w:bookmarkEnd w:id="293"/>
      <w:bookmarkStart w:id="294" w:name="_Toc36825952"/>
      <w:bookmarkEnd w:id="294"/>
      <w:bookmarkStart w:id="295" w:name="_Toc36825009"/>
      <w:bookmarkEnd w:id="295"/>
      <w:bookmarkStart w:id="296" w:name="_Toc36826048"/>
      <w:bookmarkEnd w:id="296"/>
      <w:bookmarkStart w:id="297" w:name="_Toc36826114"/>
      <w:bookmarkEnd w:id="297"/>
      <w:bookmarkStart w:id="298" w:name="_Toc36826330"/>
      <w:bookmarkEnd w:id="298"/>
      <w:bookmarkStart w:id="299" w:name="_Toc36825916"/>
      <w:bookmarkEnd w:id="299"/>
      <w:bookmarkStart w:id="300" w:name="_Toc36826240"/>
      <w:bookmarkEnd w:id="300"/>
      <w:bookmarkStart w:id="301" w:name="_Toc36826096"/>
      <w:bookmarkEnd w:id="301"/>
      <w:bookmarkStart w:id="302" w:name="_Toc36826492"/>
      <w:bookmarkEnd w:id="302"/>
      <w:bookmarkStart w:id="303" w:name="_Toc36824474"/>
      <w:bookmarkEnd w:id="303"/>
      <w:bookmarkStart w:id="304" w:name="_Toc36825723"/>
      <w:bookmarkEnd w:id="304"/>
      <w:bookmarkStart w:id="305" w:name="_Toc36826540"/>
      <w:bookmarkEnd w:id="305"/>
      <w:bookmarkStart w:id="306" w:name="_Toc36826534"/>
      <w:bookmarkEnd w:id="306"/>
      <w:bookmarkStart w:id="307" w:name="_Toc36825747"/>
      <w:bookmarkEnd w:id="307"/>
      <w:bookmarkStart w:id="308" w:name="_Toc36825922"/>
      <w:bookmarkEnd w:id="308"/>
      <w:bookmarkStart w:id="309" w:name="_Toc36826060"/>
      <w:bookmarkEnd w:id="309"/>
      <w:bookmarkStart w:id="310" w:name="_Toc36825856"/>
      <w:bookmarkEnd w:id="310"/>
      <w:bookmarkStart w:id="311" w:name="_Toc36825753"/>
      <w:bookmarkEnd w:id="311"/>
      <w:bookmarkStart w:id="312" w:name="_Toc36825099"/>
      <w:bookmarkEnd w:id="312"/>
      <w:bookmarkStart w:id="313" w:name="_Toc36826108"/>
      <w:bookmarkEnd w:id="313"/>
      <w:bookmarkStart w:id="314" w:name="_Toc36825904"/>
      <w:bookmarkEnd w:id="314"/>
      <w:bookmarkStart w:id="315" w:name="_Toc36826336"/>
      <w:bookmarkEnd w:id="315"/>
      <w:bookmarkStart w:id="316" w:name="_Toc36826420"/>
      <w:bookmarkEnd w:id="316"/>
      <w:bookmarkStart w:id="317" w:name="_Toc36826582"/>
      <w:bookmarkEnd w:id="317"/>
      <w:bookmarkStart w:id="318" w:name="_Toc36825886"/>
      <w:bookmarkEnd w:id="318"/>
      <w:bookmarkStart w:id="319" w:name="_Toc36826282"/>
      <w:bookmarkEnd w:id="319"/>
      <w:bookmarkStart w:id="320" w:name="_Toc36826300"/>
      <w:bookmarkEnd w:id="320"/>
      <w:bookmarkStart w:id="321" w:name="_Toc36826705"/>
      <w:bookmarkEnd w:id="321"/>
      <w:bookmarkStart w:id="322" w:name="_Toc36826132"/>
      <w:bookmarkEnd w:id="322"/>
      <w:bookmarkStart w:id="323" w:name="_Toc36826675"/>
      <w:bookmarkEnd w:id="323"/>
      <w:bookmarkStart w:id="324" w:name="_Toc36825783"/>
      <w:bookmarkEnd w:id="324"/>
      <w:bookmarkStart w:id="325" w:name="_Toc36826006"/>
      <w:bookmarkEnd w:id="325"/>
      <w:bookmarkStart w:id="326" w:name="_Toc36825291"/>
      <w:bookmarkEnd w:id="326"/>
      <w:bookmarkStart w:id="327" w:name="_Toc36826522"/>
      <w:bookmarkEnd w:id="327"/>
      <w:bookmarkStart w:id="328" w:name="_Toc36826372"/>
      <w:bookmarkEnd w:id="328"/>
      <w:bookmarkStart w:id="329" w:name="_Toc36826084"/>
      <w:bookmarkEnd w:id="329"/>
      <w:bookmarkStart w:id="330" w:name="_Toc36826450"/>
      <w:bookmarkEnd w:id="330"/>
      <w:bookmarkStart w:id="331" w:name="_Toc36826138"/>
      <w:bookmarkEnd w:id="331"/>
      <w:bookmarkStart w:id="332" w:name="_Toc36826036"/>
      <w:bookmarkEnd w:id="332"/>
      <w:bookmarkStart w:id="333" w:name="_Toc36825597"/>
      <w:bookmarkEnd w:id="333"/>
      <w:bookmarkStart w:id="334" w:name="_Toc36825735"/>
      <w:bookmarkEnd w:id="334"/>
      <w:bookmarkStart w:id="335" w:name="_Toc36826635"/>
      <w:bookmarkEnd w:id="335"/>
      <w:bookmarkStart w:id="336" w:name="_Toc36826186"/>
      <w:bookmarkEnd w:id="336"/>
      <w:bookmarkStart w:id="337" w:name="_Toc36825603"/>
      <w:bookmarkEnd w:id="337"/>
      <w:bookmarkStart w:id="338" w:name="_Toc36826066"/>
      <w:bookmarkEnd w:id="338"/>
      <w:bookmarkStart w:id="339" w:name="_Toc36826270"/>
      <w:bookmarkEnd w:id="339"/>
      <w:bookmarkStart w:id="340" w:name="_Toc36825982"/>
      <w:bookmarkEnd w:id="340"/>
      <w:bookmarkStart w:id="341" w:name="_Toc36826324"/>
      <w:bookmarkEnd w:id="341"/>
      <w:bookmarkStart w:id="342" w:name="_Toc36826715"/>
      <w:bookmarkEnd w:id="342"/>
      <w:bookmarkStart w:id="343" w:name="_Toc36826090"/>
      <w:bookmarkEnd w:id="343"/>
      <w:bookmarkStart w:id="344" w:name="_Toc36826120"/>
      <w:bookmarkEnd w:id="344"/>
      <w:bookmarkStart w:id="345" w:name="_Toc36826745"/>
      <w:bookmarkEnd w:id="345"/>
      <w:bookmarkStart w:id="346" w:name="_Toc36826348"/>
      <w:bookmarkEnd w:id="346"/>
      <w:bookmarkStart w:id="347" w:name="_Toc36826480"/>
      <w:bookmarkEnd w:id="347"/>
      <w:bookmarkStart w:id="348" w:name="_Toc36826610"/>
      <w:bookmarkEnd w:id="348"/>
      <w:bookmarkStart w:id="349" w:name="_Toc36826444"/>
      <w:bookmarkEnd w:id="349"/>
      <w:bookmarkStart w:id="350" w:name="_Toc36826625"/>
      <w:bookmarkEnd w:id="350"/>
      <w:bookmarkStart w:id="351" w:name="_Toc36826812"/>
      <w:bookmarkEnd w:id="351"/>
      <w:bookmarkStart w:id="352" w:name="_Toc36826760"/>
      <w:bookmarkEnd w:id="352"/>
      <w:bookmarkStart w:id="353" w:name="_Toc36826204"/>
      <w:bookmarkEnd w:id="353"/>
      <w:bookmarkStart w:id="354" w:name="_Toc36826456"/>
      <w:bookmarkEnd w:id="354"/>
      <w:bookmarkStart w:id="355" w:name="_Toc36826750"/>
      <w:bookmarkEnd w:id="355"/>
      <w:bookmarkStart w:id="356" w:name="_Toc36826498"/>
      <w:bookmarkEnd w:id="356"/>
      <w:bookmarkStart w:id="357" w:name="_Toc36826645"/>
      <w:bookmarkEnd w:id="357"/>
      <w:bookmarkStart w:id="358" w:name="_Toc36825802"/>
      <w:bookmarkEnd w:id="358"/>
      <w:bookmarkStart w:id="359" w:name="_Toc36826156"/>
      <w:bookmarkEnd w:id="359"/>
      <w:bookmarkStart w:id="360" w:name="_Toc36826396"/>
      <w:bookmarkEnd w:id="360"/>
      <w:bookmarkStart w:id="361" w:name="_Toc36826366"/>
      <w:bookmarkEnd w:id="361"/>
      <w:bookmarkStart w:id="362" w:name="_Toc36826824"/>
      <w:bookmarkEnd w:id="362"/>
      <w:bookmarkStart w:id="363" w:name="_Toc36826312"/>
      <w:bookmarkEnd w:id="363"/>
      <w:bookmarkStart w:id="364" w:name="_Toc36826318"/>
      <w:bookmarkEnd w:id="364"/>
      <w:bookmarkStart w:id="365" w:name="_Toc36826630"/>
      <w:bookmarkEnd w:id="365"/>
      <w:bookmarkStart w:id="366" w:name="_Toc36825964"/>
      <w:bookmarkEnd w:id="366"/>
      <w:bookmarkStart w:id="367" w:name="_Toc36826414"/>
      <w:bookmarkEnd w:id="367"/>
      <w:bookmarkStart w:id="368" w:name="_Toc36825309"/>
      <w:bookmarkEnd w:id="368"/>
      <w:bookmarkStart w:id="369" w:name="_Toc36826042"/>
      <w:bookmarkEnd w:id="369"/>
      <w:bookmarkStart w:id="370" w:name="_Toc36826730"/>
      <w:bookmarkEnd w:id="370"/>
      <w:bookmarkStart w:id="371" w:name="_Toc36826725"/>
      <w:bookmarkEnd w:id="371"/>
      <w:bookmarkStart w:id="372" w:name="_Toc36826342"/>
      <w:bookmarkEnd w:id="372"/>
      <w:bookmarkStart w:id="373" w:name="_Toc36826685"/>
      <w:bookmarkEnd w:id="373"/>
      <w:bookmarkStart w:id="374" w:name="_Toc36825946"/>
      <w:bookmarkEnd w:id="374"/>
      <w:bookmarkStart w:id="375" w:name="_Toc36826078"/>
      <w:bookmarkEnd w:id="375"/>
      <w:bookmarkStart w:id="376" w:name="_Toc36826655"/>
      <w:bookmarkEnd w:id="376"/>
      <w:bookmarkStart w:id="377" w:name="_Toc36825868"/>
      <w:bookmarkEnd w:id="377"/>
      <w:bookmarkStart w:id="378" w:name="_Toc36825928"/>
      <w:bookmarkEnd w:id="378"/>
      <w:bookmarkStart w:id="379" w:name="_Toc36826650"/>
      <w:bookmarkEnd w:id="379"/>
      <w:bookmarkStart w:id="380" w:name="_Toc36826695"/>
      <w:bookmarkEnd w:id="380"/>
      <w:bookmarkStart w:id="381" w:name="_Toc36826384"/>
      <w:bookmarkEnd w:id="381"/>
      <w:bookmarkStart w:id="382" w:name="_Toc36826690"/>
      <w:bookmarkEnd w:id="382"/>
      <w:bookmarkStart w:id="383" w:name="_Toc36826438"/>
      <w:bookmarkEnd w:id="383"/>
      <w:bookmarkStart w:id="384" w:name="_Toc36826885"/>
      <w:bookmarkEnd w:id="384"/>
      <w:bookmarkStart w:id="385" w:name="_Toc36826468"/>
      <w:bookmarkEnd w:id="385"/>
      <w:bookmarkStart w:id="386" w:name="_Toc36826665"/>
      <w:bookmarkEnd w:id="386"/>
      <w:bookmarkStart w:id="387" w:name="_Toc36826402"/>
      <w:bookmarkEnd w:id="387"/>
      <w:bookmarkStart w:id="388" w:name="_Toc36826408"/>
      <w:bookmarkEnd w:id="388"/>
      <w:bookmarkStart w:id="389" w:name="_Toc36826354"/>
      <w:bookmarkEnd w:id="389"/>
      <w:bookmarkStart w:id="390" w:name="_Toc36826024"/>
      <w:bookmarkEnd w:id="390"/>
      <w:bookmarkStart w:id="391" w:name="_Toc36826680"/>
      <w:bookmarkEnd w:id="391"/>
      <w:bookmarkStart w:id="392" w:name="_Toc36825970"/>
      <w:bookmarkEnd w:id="392"/>
      <w:bookmarkStart w:id="393" w:name="_Toc36826288"/>
      <w:bookmarkEnd w:id="393"/>
      <w:bookmarkStart w:id="394" w:name="_Toc36826234"/>
      <w:bookmarkEnd w:id="394"/>
      <w:bookmarkStart w:id="395" w:name="_Toc36826462"/>
      <w:bookmarkEnd w:id="395"/>
      <w:bookmarkStart w:id="396" w:name="_Toc36826198"/>
      <w:bookmarkEnd w:id="396"/>
      <w:bookmarkStart w:id="397" w:name="_Toc36826884"/>
      <w:bookmarkEnd w:id="397"/>
      <w:bookmarkStart w:id="398" w:name="_Toc36826126"/>
      <w:bookmarkEnd w:id="398"/>
      <w:bookmarkStart w:id="399" w:name="_Toc36825880"/>
      <w:bookmarkEnd w:id="399"/>
      <w:bookmarkStart w:id="400" w:name="_Toc36826755"/>
      <w:bookmarkEnd w:id="400"/>
      <w:bookmarkStart w:id="401" w:name="_Toc36826306"/>
      <w:bookmarkEnd w:id="401"/>
      <w:bookmarkStart w:id="402" w:name="_Toc36826710"/>
      <w:bookmarkEnd w:id="402"/>
      <w:bookmarkStart w:id="403" w:name="_Toc36826720"/>
      <w:bookmarkEnd w:id="403"/>
      <w:bookmarkStart w:id="404" w:name="_Toc36826432"/>
      <w:bookmarkEnd w:id="404"/>
      <w:bookmarkStart w:id="405" w:name="_Toc36826615"/>
      <w:bookmarkEnd w:id="405"/>
      <w:bookmarkStart w:id="406" w:name="_Toc36826474"/>
      <w:bookmarkEnd w:id="406"/>
      <w:bookmarkStart w:id="407" w:name="_Toc36826620"/>
      <w:bookmarkEnd w:id="407"/>
      <w:bookmarkStart w:id="408" w:name="_Toc36826258"/>
      <w:bookmarkEnd w:id="408"/>
      <w:bookmarkStart w:id="409" w:name="_Toc36826670"/>
      <w:bookmarkEnd w:id="409"/>
      <w:bookmarkStart w:id="410" w:name="_Toc36826584"/>
      <w:bookmarkEnd w:id="410"/>
      <w:bookmarkStart w:id="411" w:name="_Toc36826510"/>
      <w:bookmarkEnd w:id="411"/>
      <w:bookmarkStart w:id="412" w:name="_Toc36826660"/>
      <w:bookmarkEnd w:id="412"/>
      <w:bookmarkStart w:id="413" w:name="_Toc36826486"/>
      <w:bookmarkEnd w:id="413"/>
      <w:bookmarkStart w:id="414" w:name="_Toc36826360"/>
      <w:bookmarkEnd w:id="414"/>
      <w:bookmarkStart w:id="415" w:name="_Toc36826700"/>
      <w:bookmarkEnd w:id="415"/>
      <w:bookmarkStart w:id="416" w:name="_Toc36826276"/>
      <w:bookmarkEnd w:id="416"/>
      <w:bookmarkStart w:id="417" w:name="_Toc36826528"/>
      <w:bookmarkEnd w:id="417"/>
      <w:bookmarkStart w:id="418" w:name="_Toc36826590"/>
      <w:bookmarkEnd w:id="418"/>
      <w:bookmarkStart w:id="419" w:name="_Toc36826740"/>
      <w:bookmarkEnd w:id="419"/>
      <w:bookmarkStart w:id="420" w:name="_Toc36826640"/>
      <w:bookmarkEnd w:id="420"/>
      <w:bookmarkStart w:id="421" w:name="_Toc36826504"/>
      <w:bookmarkEnd w:id="421"/>
      <w:bookmarkStart w:id="422" w:name="_Toc36826735"/>
      <w:bookmarkEnd w:id="422"/>
      <w:bookmarkStart w:id="423" w:name="_Toc36826294"/>
      <w:bookmarkEnd w:id="423"/>
      <w:bookmarkStart w:id="424" w:name="_Toc36826426"/>
      <w:bookmarkEnd w:id="424"/>
      <w:bookmarkStart w:id="425" w:name="_Toc36826763"/>
      <w:bookmarkEnd w:id="425"/>
      <w:bookmarkStart w:id="426" w:name="_Toc36826552"/>
      <w:bookmarkEnd w:id="426"/>
      <w:bookmarkStart w:id="427" w:name="_Toc36826583"/>
      <w:bookmarkEnd w:id="427"/>
      <w:bookmarkStart w:id="428" w:name="_Toc36826378"/>
      <w:bookmarkEnd w:id="428"/>
      <w:bookmarkStart w:id="429" w:name="_Toc36826775"/>
      <w:bookmarkEnd w:id="429"/>
      <w:bookmarkStart w:id="430" w:name="_Toc36826150"/>
      <w:bookmarkEnd w:id="430"/>
      <w:bookmarkStart w:id="431" w:name="_Toc36825976"/>
      <w:bookmarkEnd w:id="431"/>
      <w:bookmarkStart w:id="432" w:name="_Toc36826390"/>
      <w:bookmarkEnd w:id="432"/>
      <w:bookmarkStart w:id="433" w:name="_Toc36826546"/>
      <w:bookmarkEnd w:id="433"/>
      <w:r>
        <w:rPr>
          <w:b/>
          <w:color w:val="000000" w:themeColor="text1"/>
          <w:sz w:val="26"/>
          <w:szCs w:val="26"/>
          <w14:textFill>
            <w14:solidFill>
              <w14:schemeClr w14:val="tx1"/>
            </w14:solidFill>
          </w14:textFill>
        </w:rPr>
        <w:t>Part 3. CONDITIONS AND FORMS OF CONTRACT</w:t>
      </w:r>
    </w:p>
    <w:p w14:paraId="708C6D0B">
      <w:pPr>
        <w:pStyle w:val="65"/>
        <w:widowControl w:val="0"/>
        <w:shd w:val="clear" w:color="auto" w:fill="FFFFFF"/>
        <w:spacing w:before="120" w:after="120" w:line="264" w:lineRule="auto"/>
        <w:outlineLvl w:val="1"/>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Section VI. GENERAL CONDITIONS OF CONTRACT</w:t>
      </w:r>
    </w:p>
    <w:p w14:paraId="708C6D0C">
      <w:pPr>
        <w:shd w:val="clear" w:color="auto" w:fill="FFFFFF"/>
        <w:ind w:firstLine="567"/>
        <w:jc w:val="both"/>
        <w:rPr>
          <w:b/>
          <w:color w:val="000000" w:themeColor="text1"/>
          <w:sz w:val="26"/>
          <w:szCs w:val="26"/>
          <w14:textFill>
            <w14:solidFill>
              <w14:schemeClr w14:val="tx1"/>
            </w14:solidFill>
          </w14:textFill>
        </w:rPr>
      </w:pPr>
    </w:p>
    <w:tbl>
      <w:tblPr>
        <w:tblStyle w:val="12"/>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6946"/>
      </w:tblGrid>
      <w:tr w14:paraId="708C6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0D">
            <w:pPr>
              <w:pStyle w:val="254"/>
              <w:widowControl w:val="0"/>
              <w:shd w:val="clear" w:color="auto" w:fill="FFFFFF"/>
              <w:tabs>
                <w:tab w:val="clear" w:pos="360"/>
              </w:tabs>
              <w:spacing w:before="40" w:after="40"/>
              <w:ind w:left="0" w:right="72"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 Definitions</w:t>
            </w:r>
          </w:p>
        </w:tc>
        <w:tc>
          <w:tcPr>
            <w:tcW w:w="6946" w:type="dxa"/>
          </w:tcPr>
          <w:p w14:paraId="708C6D0E">
            <w:pPr>
              <w:pStyle w:val="4"/>
              <w:keepNext w:val="0"/>
              <w:widowControl w:val="0"/>
              <w:shd w:val="clear" w:color="auto" w:fill="FFFFFF"/>
              <w:spacing w:before="40" w:after="40" w:line="240" w:lineRule="auto"/>
              <w:jc w:val="both"/>
              <w:rPr>
                <w:rFonts w:ascii="Times New Roman" w:hAnsi="Times New Roman"/>
                <w:b w:val="0"/>
                <w:color w:val="000000" w:themeColor="text1"/>
                <w14:textFill>
                  <w14:solidFill>
                    <w14:schemeClr w14:val="tx1"/>
                  </w14:solidFill>
                </w14:textFill>
              </w:rPr>
            </w:pPr>
            <w:r>
              <w:rPr>
                <w:rFonts w:ascii="Times New Roman" w:hAnsi="Times New Roman"/>
                <w:b w:val="0"/>
                <w:color w:val="000000" w:themeColor="text1"/>
                <w14:textFill>
                  <w14:solidFill>
                    <w14:schemeClr w14:val="tx1"/>
                  </w14:solidFill>
                </w14:textFill>
              </w:rPr>
              <w:t xml:space="preserve">The following words and expressions shall have the meanings hereby assigned to them:  </w:t>
            </w:r>
          </w:p>
          <w:p w14:paraId="708C6D0F">
            <w:pPr>
              <w:pStyle w:val="4"/>
              <w:keepNext w:val="0"/>
              <w:widowControl w:val="0"/>
              <w:shd w:val="clear" w:color="auto" w:fill="FFFFFF"/>
              <w:spacing w:before="40" w:after="40" w:line="240" w:lineRule="auto"/>
              <w:jc w:val="both"/>
              <w:rPr>
                <w:rFonts w:ascii="Times New Roman" w:hAnsi="Times New Roman"/>
                <w:b w:val="0"/>
                <w:color w:val="000000" w:themeColor="text1"/>
                <w14:textFill>
                  <w14:solidFill>
                    <w14:schemeClr w14:val="tx1"/>
                  </w14:solidFill>
                </w14:textFill>
              </w:rPr>
            </w:pPr>
            <w:r>
              <w:rPr>
                <w:rFonts w:ascii="Times New Roman" w:hAnsi="Times New Roman"/>
                <w:b w:val="0"/>
                <w:color w:val="000000" w:themeColor="text1"/>
                <w14:textFill>
                  <w14:solidFill>
                    <w14:schemeClr w14:val="tx1"/>
                  </w14:solidFill>
                </w14:textFill>
              </w:rPr>
              <w:t xml:space="preserve">1.1. “Purchaser” is the organization specified in the </w:t>
            </w:r>
            <w:r>
              <w:rPr>
                <w:rFonts w:ascii="Times New Roman" w:hAnsi="Times New Roman"/>
                <w:color w:val="000000" w:themeColor="text1"/>
                <w14:textFill>
                  <w14:solidFill>
                    <w14:schemeClr w14:val="tx1"/>
                  </w14:solidFill>
                </w14:textFill>
              </w:rPr>
              <w:t>SCC</w:t>
            </w:r>
            <w:r>
              <w:rPr>
                <w:rFonts w:ascii="Times New Roman" w:hAnsi="Times New Roman"/>
                <w:b w:val="0"/>
                <w:color w:val="000000" w:themeColor="text1"/>
                <w14:textFill>
                  <w14:solidFill>
                    <w14:schemeClr w14:val="tx1"/>
                  </w14:solidFill>
                </w14:textFill>
              </w:rPr>
              <w:t>;</w:t>
            </w:r>
          </w:p>
          <w:p w14:paraId="708C6D10">
            <w:pPr>
              <w:pStyle w:val="4"/>
              <w:keepNext w:val="0"/>
              <w:widowControl w:val="0"/>
              <w:shd w:val="clear" w:color="auto" w:fill="FFFFFF"/>
              <w:spacing w:before="40" w:after="40" w:line="240" w:lineRule="auto"/>
              <w:jc w:val="both"/>
              <w:rPr>
                <w:rFonts w:ascii="Times New Roman" w:hAnsi="Times New Roman"/>
                <w:b w:val="0"/>
                <w:color w:val="000000" w:themeColor="text1"/>
                <w14:textFill>
                  <w14:solidFill>
                    <w14:schemeClr w14:val="tx1"/>
                  </w14:solidFill>
                </w14:textFill>
              </w:rPr>
            </w:pPr>
            <w:r>
              <w:rPr>
                <w:rFonts w:ascii="Times New Roman" w:hAnsi="Times New Roman"/>
                <w:b w:val="0"/>
                <w:color w:val="000000" w:themeColor="text1"/>
                <w14:textFill>
                  <w14:solidFill>
                    <w14:schemeClr w14:val="tx1"/>
                  </w14:solidFill>
                </w14:textFill>
              </w:rPr>
              <w:t>1.2. “Contract” means the Contract Agreement entered into between the Purchaser and the Supplier, together with the Contract Documents referred to therein, including all attachments, appendices, and all documents incorporated by reference therein;</w:t>
            </w:r>
          </w:p>
          <w:p w14:paraId="708C6D11">
            <w:pPr>
              <w:pStyle w:val="4"/>
              <w:keepNext w:val="0"/>
              <w:widowControl w:val="0"/>
              <w:shd w:val="clear" w:color="auto" w:fill="FFFFFF"/>
              <w:spacing w:before="40" w:after="40" w:line="240" w:lineRule="auto"/>
              <w:jc w:val="both"/>
              <w:rPr>
                <w:rFonts w:ascii="Times New Roman" w:hAnsi="Times New Roman"/>
                <w:b w:val="0"/>
                <w:color w:val="000000" w:themeColor="text1"/>
                <w14:textFill>
                  <w14:solidFill>
                    <w14:schemeClr w14:val="tx1"/>
                  </w14:solidFill>
                </w14:textFill>
              </w:rPr>
            </w:pPr>
            <w:r>
              <w:rPr>
                <w:rFonts w:ascii="Times New Roman" w:hAnsi="Times New Roman"/>
                <w:b w:val="0"/>
                <w:color w:val="000000" w:themeColor="text1"/>
                <w14:textFill>
                  <w14:solidFill>
                    <w14:schemeClr w14:val="tx1"/>
                  </w14:solidFill>
                </w14:textFill>
              </w:rPr>
              <w:t xml:space="preserve">1.3. “Supplier” means any independent bidder or Consortium, whom are awarded the Contract and specified in the </w:t>
            </w:r>
            <w:r>
              <w:rPr>
                <w:rFonts w:ascii="Times New Roman" w:hAnsi="Times New Roman"/>
                <w:bCs w:val="0"/>
                <w:color w:val="000000" w:themeColor="text1"/>
                <w14:textFill>
                  <w14:solidFill>
                    <w14:schemeClr w14:val="tx1"/>
                  </w14:solidFill>
                </w14:textFill>
              </w:rPr>
              <w:t>SCC</w:t>
            </w:r>
            <w:r>
              <w:rPr>
                <w:rFonts w:ascii="Times New Roman" w:hAnsi="Times New Roman"/>
                <w:b w:val="0"/>
                <w:color w:val="000000" w:themeColor="text1"/>
                <w14:textFill>
                  <w14:solidFill>
                    <w14:schemeClr w14:val="tx1"/>
                  </w14:solidFill>
                </w14:textFill>
              </w:rPr>
              <w:t>;</w:t>
            </w:r>
          </w:p>
          <w:p w14:paraId="708C6D12">
            <w:pPr>
              <w:pStyle w:val="4"/>
              <w:keepNext w:val="0"/>
              <w:widowControl w:val="0"/>
              <w:shd w:val="clear" w:color="auto" w:fill="FFFFFF"/>
              <w:spacing w:before="40" w:after="40" w:line="240" w:lineRule="auto"/>
              <w:jc w:val="both"/>
              <w:rPr>
                <w:rFonts w:ascii="Times New Roman" w:hAnsi="Times New Roman"/>
                <w:color w:val="000000" w:themeColor="text1"/>
                <w14:textFill>
                  <w14:solidFill>
                    <w14:schemeClr w14:val="tx1"/>
                  </w14:solidFill>
                </w14:textFill>
              </w:rPr>
            </w:pPr>
            <w:r>
              <w:rPr>
                <w:rFonts w:ascii="Times New Roman" w:hAnsi="Times New Roman"/>
                <w:b w:val="0"/>
                <w:color w:val="000000" w:themeColor="text1"/>
                <w14:textFill>
                  <w14:solidFill>
                    <w14:schemeClr w14:val="tx1"/>
                  </w14:solidFill>
                </w14:textFill>
              </w:rPr>
              <w:t xml:space="preserve">1.4. “Subcontractor” is an organization or individual that signs a contract with a bidder to participate in performing related services; </w:t>
            </w:r>
          </w:p>
          <w:p w14:paraId="708C6D13">
            <w:pPr>
              <w:pStyle w:val="4"/>
              <w:keepNext w:val="0"/>
              <w:widowControl w:val="0"/>
              <w:shd w:val="clear" w:color="auto" w:fill="FFFFFF"/>
              <w:spacing w:before="40" w:after="40" w:line="240" w:lineRule="auto"/>
              <w:jc w:val="both"/>
              <w:rPr>
                <w:rFonts w:ascii="Times New Roman" w:hAnsi="Times New Roman"/>
                <w:b w:val="0"/>
                <w:color w:val="000000" w:themeColor="text1"/>
                <w14:textFill>
                  <w14:solidFill>
                    <w14:schemeClr w14:val="tx1"/>
                  </w14:solidFill>
                </w14:textFill>
              </w:rPr>
            </w:pPr>
            <w:r>
              <w:rPr>
                <w:rFonts w:ascii="Times New Roman" w:hAnsi="Times New Roman"/>
                <w:b w:val="0"/>
                <w:color w:val="000000" w:themeColor="text1"/>
                <w14:textFill>
                  <w14:solidFill>
                    <w14:schemeClr w14:val="tx1"/>
                  </w14:solidFill>
                </w14:textFill>
              </w:rPr>
              <w:t>1.5. “Contract Documents” means the documents listed in the Contract Agreement, including any amendments thereto</w:t>
            </w:r>
          </w:p>
          <w:p w14:paraId="708C6D14">
            <w:pPr>
              <w:pStyle w:val="4"/>
              <w:keepNext w:val="0"/>
              <w:widowControl w:val="0"/>
              <w:shd w:val="clear" w:color="auto" w:fill="FFFFFF"/>
              <w:spacing w:before="40" w:after="40" w:line="240" w:lineRule="auto"/>
              <w:jc w:val="both"/>
              <w:rPr>
                <w:rFonts w:ascii="Times New Roman" w:hAnsi="Times New Roman"/>
                <w:b w:val="0"/>
                <w:color w:val="000000" w:themeColor="text1"/>
                <w14:textFill>
                  <w14:solidFill>
                    <w14:schemeClr w14:val="tx1"/>
                  </w14:solidFill>
                </w14:textFill>
              </w:rPr>
            </w:pPr>
            <w:r>
              <w:rPr>
                <w:rFonts w:ascii="Times New Roman" w:hAnsi="Times New Roman"/>
                <w:b w:val="0"/>
                <w:color w:val="000000" w:themeColor="text1"/>
                <w14:textFill>
                  <w14:solidFill>
                    <w14:schemeClr w14:val="tx1"/>
                  </w14:solidFill>
                </w14:textFill>
              </w:rPr>
              <w:t>1.6. “Contract price” means the total amount stated in the contract for the supply of goods and related services. The contract price includes all taxes, fees and charges (if any);</w:t>
            </w:r>
          </w:p>
          <w:p w14:paraId="708C6D15">
            <w:pPr>
              <w:pStyle w:val="4"/>
              <w:keepNext w:val="0"/>
              <w:widowControl w:val="0"/>
              <w:shd w:val="clear" w:color="auto" w:fill="FFFFFF"/>
              <w:spacing w:before="40" w:after="40" w:line="240" w:lineRule="auto"/>
              <w:jc w:val="both"/>
              <w:rPr>
                <w:rFonts w:ascii="Times New Roman" w:hAnsi="Times New Roman"/>
                <w:b w:val="0"/>
                <w:color w:val="000000" w:themeColor="text1"/>
                <w14:textFill>
                  <w14:solidFill>
                    <w14:schemeClr w14:val="tx1"/>
                  </w14:solidFill>
                </w14:textFill>
              </w:rPr>
            </w:pPr>
            <w:r>
              <w:rPr>
                <w:rFonts w:ascii="Times New Roman" w:hAnsi="Times New Roman"/>
                <w:b w:val="0"/>
                <w:color w:val="000000" w:themeColor="text1"/>
                <w14:textFill>
                  <w14:solidFill>
                    <w14:schemeClr w14:val="tx1"/>
                  </w14:solidFill>
                </w14:textFill>
              </w:rPr>
              <w:t>1.7 “Date” means a calendar day; “month” means a calendar month; “year” is 365 days</w:t>
            </w:r>
          </w:p>
          <w:p w14:paraId="708C6D16">
            <w:pPr>
              <w:pStyle w:val="4"/>
              <w:keepNext w:val="0"/>
              <w:widowControl w:val="0"/>
              <w:shd w:val="clear" w:color="auto" w:fill="FFFFFF"/>
              <w:spacing w:before="40" w:after="40" w:line="240" w:lineRule="auto"/>
              <w:jc w:val="both"/>
              <w:rPr>
                <w:rFonts w:ascii="Times New Roman" w:hAnsi="Times New Roman"/>
                <w:b w:val="0"/>
                <w:color w:val="000000" w:themeColor="text1"/>
                <w14:textFill>
                  <w14:solidFill>
                    <w14:schemeClr w14:val="tx1"/>
                  </w14:solidFill>
                </w14:textFill>
              </w:rPr>
            </w:pPr>
            <w:r>
              <w:rPr>
                <w:rFonts w:ascii="Times New Roman" w:hAnsi="Times New Roman"/>
                <w:b w:val="0"/>
                <w:color w:val="000000" w:themeColor="text1"/>
                <w14:textFill>
                  <w14:solidFill>
                    <w14:schemeClr w14:val="tx1"/>
                  </w14:solidFill>
                </w14:textFill>
              </w:rPr>
              <w:t>1.8. “Goods”</w:t>
            </w:r>
            <w:r>
              <w:rPr>
                <w:rFonts w:ascii="Times New Roman" w:hAnsi="Times New Roman" w:eastAsia="Calibri"/>
                <w:b w:val="0"/>
                <w:color w:val="000000" w:themeColor="text1"/>
                <w14:textFill>
                  <w14:solidFill>
                    <w14:schemeClr w14:val="tx1"/>
                  </w14:solidFill>
                </w14:textFill>
              </w:rPr>
              <w:t xml:space="preserve">includes machinery, equipment, raw materials, fuels, supplies and spare parts; products; facilities; consumable goods; drugs, chemicals, test equipment and medical devices; commercial software; </w:t>
            </w:r>
          </w:p>
          <w:p w14:paraId="708C6D17">
            <w:pPr>
              <w:pStyle w:val="4"/>
              <w:keepNext w:val="0"/>
              <w:widowControl w:val="0"/>
              <w:shd w:val="clear" w:color="auto" w:fill="FFFFFF"/>
              <w:spacing w:before="40" w:after="40" w:line="240" w:lineRule="auto"/>
              <w:jc w:val="both"/>
              <w:rPr>
                <w:rFonts w:ascii="Times New Roman" w:hAnsi="Times New Roman"/>
                <w:b w:val="0"/>
                <w:color w:val="000000" w:themeColor="text1"/>
                <w14:textFill>
                  <w14:solidFill>
                    <w14:schemeClr w14:val="tx1"/>
                  </w14:solidFill>
                </w14:textFill>
              </w:rPr>
            </w:pPr>
            <w:r>
              <w:rPr>
                <w:rFonts w:ascii="Times New Roman" w:hAnsi="Times New Roman"/>
                <w:b w:val="0"/>
                <w:color w:val="000000" w:themeColor="text1"/>
                <w14:textFill>
                  <w14:solidFill>
                    <w14:schemeClr w14:val="tx1"/>
                  </w14:solidFill>
                </w14:textFill>
              </w:rPr>
              <w:t>1.9. “Related Services” means the services such as installation, maintenance, overhaul, initial repair, installation insurance, repair insurance or supply of after-sales services such as training, transfer technology transfer, …;</w:t>
            </w:r>
          </w:p>
          <w:p w14:paraId="708C6D18">
            <w:pPr>
              <w:pStyle w:val="4"/>
              <w:keepNext w:val="0"/>
              <w:widowControl w:val="0"/>
              <w:shd w:val="clear" w:color="auto" w:fill="FFFFFF"/>
              <w:spacing w:before="40" w:after="40" w:line="240" w:lineRule="auto"/>
              <w:jc w:val="both"/>
              <w:rPr>
                <w:rFonts w:ascii="Times New Roman" w:hAnsi="Times New Roman"/>
                <w:b w:val="0"/>
                <w:color w:val="000000" w:themeColor="text1"/>
                <w14:textFill>
                  <w14:solidFill>
                    <w14:schemeClr w14:val="tx1"/>
                  </w14:solidFill>
                </w14:textFill>
              </w:rPr>
            </w:pPr>
            <w:r>
              <w:rPr>
                <w:rFonts w:ascii="Times New Roman" w:hAnsi="Times New Roman"/>
                <w:b w:val="0"/>
                <w:color w:val="000000" w:themeColor="text1"/>
                <w14:textFill>
                  <w14:solidFill>
                    <w14:schemeClr w14:val="tx1"/>
                  </w14:solidFill>
                </w14:textFill>
              </w:rPr>
              <w:t>1.10. “Completion” means the fulfillment of the Related Services by the Supplier in accordance with the terms and conditions set forth in the Contract.</w:t>
            </w:r>
          </w:p>
          <w:p w14:paraId="708C6D19">
            <w:pPr>
              <w:pStyle w:val="4"/>
              <w:keepNext w:val="0"/>
              <w:widowControl w:val="0"/>
              <w:shd w:val="clear" w:color="auto" w:fill="FFFFFF"/>
              <w:spacing w:before="40" w:after="40" w:line="240" w:lineRule="auto"/>
              <w:jc w:val="both"/>
              <w:rPr>
                <w:rFonts w:ascii="Times New Roman" w:hAnsi="Times New Roman"/>
                <w:b w:val="0"/>
                <w:color w:val="000000" w:themeColor="text1"/>
                <w14:textFill>
                  <w14:solidFill>
                    <w14:schemeClr w14:val="tx1"/>
                  </w14:solidFill>
                </w14:textFill>
              </w:rPr>
            </w:pPr>
            <w:r>
              <w:rPr>
                <w:rFonts w:ascii="Times New Roman" w:hAnsi="Times New Roman"/>
                <w:b w:val="0"/>
                <w:color w:val="000000" w:themeColor="text1"/>
                <w14:textFill>
                  <w14:solidFill>
                    <w14:schemeClr w14:val="tx1"/>
                  </w14:solidFill>
                </w14:textFill>
              </w:rPr>
              <w:t xml:space="preserve">1.11. “The Project Site,” where applicable, means the place named in the </w:t>
            </w:r>
            <w:r>
              <w:rPr>
                <w:rFonts w:ascii="Times New Roman" w:hAnsi="Times New Roman"/>
                <w:color w:val="000000" w:themeColor="text1"/>
                <w14:textFill>
                  <w14:solidFill>
                    <w14:schemeClr w14:val="tx1"/>
                  </w14:solidFill>
                </w14:textFill>
              </w:rPr>
              <w:t>SCC</w:t>
            </w:r>
            <w:r>
              <w:rPr>
                <w:rFonts w:ascii="Times New Roman" w:hAnsi="Times New Roman"/>
                <w:b w:val="0"/>
                <w:color w:val="000000" w:themeColor="text1"/>
                <w14:textFill>
                  <w14:solidFill>
                    <w14:schemeClr w14:val="tx1"/>
                  </w14:solidFill>
                </w14:textFill>
              </w:rPr>
              <w:t>.</w:t>
            </w:r>
          </w:p>
          <w:p w14:paraId="708C6D1A">
            <w:pPr>
              <w:jc w:val="both"/>
            </w:pPr>
            <w:r>
              <w:rPr>
                <w:sz w:val="26"/>
                <w:szCs w:val="26"/>
              </w:rPr>
              <w:t>1.12. “Time of Contract performance” is calculated from the effective date of the contract until the parties have completed their obligations under the signed contract.</w:t>
            </w:r>
          </w:p>
        </w:tc>
      </w:tr>
      <w:tr w14:paraId="708C6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1C">
            <w:pPr>
              <w:pStyle w:val="254"/>
              <w:widowControl w:val="0"/>
              <w:shd w:val="clear" w:color="auto" w:fill="FFFFFF"/>
              <w:tabs>
                <w:tab w:val="clear" w:pos="360"/>
              </w:tabs>
              <w:spacing w:before="40" w:after="40"/>
              <w:ind w:left="0" w:right="72"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 Contract documents and order of priority</w:t>
            </w:r>
          </w:p>
        </w:tc>
        <w:tc>
          <w:tcPr>
            <w:tcW w:w="6946" w:type="dxa"/>
          </w:tcPr>
          <w:p w14:paraId="708C6D1D">
            <w:pPr>
              <w:widowControl w:val="0"/>
              <w:shd w:val="clear" w:color="auto" w:fill="FFFFFF"/>
              <w:tabs>
                <w:tab w:val="left" w:pos="342"/>
                <w:tab w:val="left" w:pos="882"/>
              </w:tabs>
              <w:overflowPunct w:val="0"/>
              <w:autoSpaceDE w:val="0"/>
              <w:autoSpaceDN w:val="0"/>
              <w:adjustRightInd w:val="0"/>
              <w:spacing w:before="40" w:after="40" w:line="240" w:lineRule="auto"/>
              <w:ind w:right="138"/>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2.1. All documents mentioned in GCC 2.2 (including parts thereof) shall constitute the Contract to form a unified, reciprocal, complementary and mutually explanatory entity.</w:t>
            </w:r>
          </w:p>
          <w:p w14:paraId="708C6D1E">
            <w:pPr>
              <w:widowControl w:val="0"/>
              <w:shd w:val="clear" w:color="auto" w:fill="FFFFFF"/>
              <w:tabs>
                <w:tab w:val="left" w:pos="342"/>
                <w:tab w:val="left" w:pos="882"/>
              </w:tabs>
              <w:overflowPunct w:val="0"/>
              <w:autoSpaceDE w:val="0"/>
              <w:autoSpaceDN w:val="0"/>
              <w:adjustRightInd w:val="0"/>
              <w:spacing w:before="40" w:after="40" w:line="240" w:lineRule="auto"/>
              <w:ind w:right="138"/>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2.2. The documents forming the Contract shall be interpreted in the following order of priority: </w:t>
            </w:r>
          </w:p>
          <w:p w14:paraId="708C6D1F">
            <w:pPr>
              <w:widowControl w:val="0"/>
              <w:numPr>
                <w:ilvl w:val="0"/>
                <w:numId w:val="6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Contract agreement, attached annexes;</w:t>
            </w:r>
          </w:p>
          <w:p w14:paraId="708C6D20">
            <w:pPr>
              <w:widowControl w:val="0"/>
              <w:numPr>
                <w:ilvl w:val="0"/>
                <w:numId w:val="6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color w:val="000000" w:themeColor="text1"/>
                <w:sz w:val="26"/>
                <w:szCs w:val="26"/>
                <w14:textFill>
                  <w14:solidFill>
                    <w14:schemeClr w14:val="tx1"/>
                  </w14:solidFill>
                </w14:textFill>
              </w:rPr>
            </w:pPr>
            <w:r>
              <w:rPr>
                <w:sz w:val="26"/>
                <w:szCs w:val="26"/>
              </w:rPr>
              <w:t xml:space="preserve">Minutes of contract negotiation (if any), </w:t>
            </w:r>
            <w:r>
              <w:rPr>
                <w:iCs/>
                <w:sz w:val="26"/>
                <w:szCs w:val="26"/>
              </w:rPr>
              <w:t>completion;</w:t>
            </w:r>
          </w:p>
          <w:p w14:paraId="708C6D21">
            <w:pPr>
              <w:widowControl w:val="0"/>
              <w:numPr>
                <w:ilvl w:val="0"/>
                <w:numId w:val="6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Notification of acceptance and award;</w:t>
            </w:r>
          </w:p>
          <w:p w14:paraId="708C6D22">
            <w:pPr>
              <w:widowControl w:val="0"/>
              <w:numPr>
                <w:ilvl w:val="0"/>
                <w:numId w:val="6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Decision approving selection bidder result; </w:t>
            </w:r>
          </w:p>
          <w:p w14:paraId="708C6D23">
            <w:pPr>
              <w:widowControl w:val="0"/>
              <w:numPr>
                <w:ilvl w:val="0"/>
                <w:numId w:val="6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SCC;</w:t>
            </w:r>
          </w:p>
          <w:p w14:paraId="708C6D24">
            <w:pPr>
              <w:widowControl w:val="0"/>
              <w:numPr>
                <w:ilvl w:val="0"/>
                <w:numId w:val="6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GCC;</w:t>
            </w:r>
          </w:p>
          <w:p w14:paraId="708C6D25">
            <w:pPr>
              <w:widowControl w:val="0"/>
              <w:numPr>
                <w:ilvl w:val="0"/>
                <w:numId w:val="6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Bid and bidder’s documents on clarification of bid; </w:t>
            </w:r>
          </w:p>
          <w:p w14:paraId="708C6D26">
            <w:pPr>
              <w:widowControl w:val="0"/>
              <w:numPr>
                <w:ilvl w:val="0"/>
                <w:numId w:val="6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Bidding Documents and its modification documents (if any); </w:t>
            </w:r>
          </w:p>
          <w:p w14:paraId="708C6D27">
            <w:pPr>
              <w:widowControl w:val="0"/>
              <w:numPr>
                <w:ilvl w:val="0"/>
                <w:numId w:val="64"/>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Any other document listed in the </w:t>
            </w:r>
            <w:r>
              <w:rPr>
                <w:b/>
                <w:color w:val="000000" w:themeColor="text1"/>
                <w:sz w:val="26"/>
                <w:szCs w:val="26"/>
                <w14:textFill>
                  <w14:solidFill>
                    <w14:schemeClr w14:val="tx1"/>
                  </w14:solidFill>
                </w14:textFill>
              </w:rPr>
              <w:t>SCC</w:t>
            </w:r>
            <w:r>
              <w:rPr>
                <w:color w:val="000000" w:themeColor="text1"/>
                <w:sz w:val="26"/>
                <w:szCs w:val="26"/>
                <w14:textFill>
                  <w14:solidFill>
                    <w14:schemeClr w14:val="tx1"/>
                  </w14:solidFill>
                </w14:textFill>
              </w:rPr>
              <w:t>;</w:t>
            </w:r>
          </w:p>
        </w:tc>
      </w:tr>
      <w:tr w14:paraId="708C6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29">
            <w:pPr>
              <w:pStyle w:val="254"/>
              <w:widowControl w:val="0"/>
              <w:shd w:val="clear" w:color="auto" w:fill="FFFFFF"/>
              <w:tabs>
                <w:tab w:val="clear" w:pos="360"/>
              </w:tabs>
              <w:spacing w:before="40" w:after="40"/>
              <w:ind w:left="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3. </w:t>
            </w:r>
            <w:bookmarkStart w:id="434" w:name="_Toc419122687"/>
            <w:r>
              <w:rPr>
                <w:color w:val="000000" w:themeColor="text1"/>
                <w:sz w:val="26"/>
                <w:szCs w:val="26"/>
                <w14:textFill>
                  <w14:solidFill>
                    <w14:schemeClr w14:val="tx1"/>
                  </w14:solidFill>
                </w14:textFill>
              </w:rPr>
              <w:t>Language and Law</w:t>
            </w:r>
            <w:bookmarkEnd w:id="434"/>
          </w:p>
        </w:tc>
        <w:tc>
          <w:tcPr>
            <w:tcW w:w="6946" w:type="dxa"/>
          </w:tcPr>
          <w:p w14:paraId="708C6D2A">
            <w:pPr>
              <w:pStyle w:val="86"/>
              <w:widowControl w:val="0"/>
              <w:shd w:val="clear" w:color="auto" w:fill="FFFFFF"/>
              <w:spacing w:before="40" w:after="40"/>
              <w:ind w:left="17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The language of the Contract is specified in the </w:t>
            </w:r>
            <w:r>
              <w:rPr>
                <w:b/>
                <w:bCs/>
                <w:color w:val="000000" w:themeColor="text1"/>
                <w:spacing w:val="0"/>
                <w:sz w:val="26"/>
                <w:szCs w:val="26"/>
                <w14:textFill>
                  <w14:solidFill>
                    <w14:schemeClr w14:val="tx1"/>
                  </w14:solidFill>
                </w14:textFill>
              </w:rPr>
              <w:t>SCC</w:t>
            </w:r>
            <w:r>
              <w:rPr>
                <w:color w:val="000000" w:themeColor="text1"/>
                <w:spacing w:val="0"/>
                <w:sz w:val="26"/>
                <w:szCs w:val="26"/>
                <w14:textFill>
                  <w14:solidFill>
                    <w14:schemeClr w14:val="tx1"/>
                  </w14:solidFill>
                </w14:textFill>
              </w:rPr>
              <w:t xml:space="preserve"> and the law governing the Contract is the law of the Socialist Republic of Vietnam. </w:t>
            </w:r>
          </w:p>
        </w:tc>
      </w:tr>
      <w:tr w14:paraId="708C6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2C">
            <w:pPr>
              <w:pStyle w:val="156"/>
              <w:widowControl w:val="0"/>
              <w:shd w:val="clear" w:color="auto" w:fill="FFFFFF"/>
              <w:suppressAutoHyphens w:val="0"/>
              <w:overflowPunct w:val="0"/>
              <w:autoSpaceDE w:val="0"/>
              <w:autoSpaceDN w:val="0"/>
              <w:adjustRightInd w:val="0"/>
              <w:spacing w:before="40" w:after="40"/>
              <w:ind w:left="0" w:right="72"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4. Notices</w:t>
            </w:r>
          </w:p>
        </w:tc>
        <w:tc>
          <w:tcPr>
            <w:tcW w:w="6946" w:type="dxa"/>
          </w:tcPr>
          <w:p w14:paraId="708C6D2D">
            <w:pPr>
              <w:widowControl w:val="0"/>
              <w:shd w:val="clear" w:color="auto" w:fill="FFFFFF"/>
              <w:spacing w:before="40" w:after="40" w:line="240" w:lineRule="auto"/>
              <w:ind w:left="208"/>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4.1. Any notice given by one party to the other pursuant to the Contract shall be in writing to the address specified in the </w:t>
            </w:r>
            <w:r>
              <w:rPr>
                <w:b/>
                <w:color w:val="000000" w:themeColor="text1"/>
                <w:sz w:val="26"/>
                <w:szCs w:val="26"/>
                <w14:textFill>
                  <w14:solidFill>
                    <w14:schemeClr w14:val="tx1"/>
                  </w14:solidFill>
                </w14:textFill>
              </w:rPr>
              <w:t>SCC</w:t>
            </w:r>
            <w:r>
              <w:rPr>
                <w:color w:val="000000" w:themeColor="text1"/>
                <w:sz w:val="26"/>
                <w:szCs w:val="26"/>
                <w14:textFill>
                  <w14:solidFill>
                    <w14:schemeClr w14:val="tx1"/>
                  </w14:solidFill>
                </w14:textFill>
              </w:rPr>
              <w:t>. The term "in writing" means communication in writing and evidence of receipt of the information.</w:t>
            </w:r>
          </w:p>
          <w:p w14:paraId="708C6D2E">
            <w:pPr>
              <w:widowControl w:val="0"/>
              <w:shd w:val="clear" w:color="auto" w:fill="FFFFFF"/>
              <w:spacing w:before="40" w:after="40" w:line="240" w:lineRule="auto"/>
              <w:ind w:left="173"/>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4.2. A notice shall be effective when delivered or on the notice’s effective date, whichever is later. </w:t>
            </w:r>
          </w:p>
        </w:tc>
      </w:tr>
      <w:tr w14:paraId="708C6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30">
            <w:pPr>
              <w:pStyle w:val="156"/>
              <w:widowControl w:val="0"/>
              <w:shd w:val="clear" w:color="auto" w:fill="FFFFFF"/>
              <w:suppressAutoHyphens w:val="0"/>
              <w:overflowPunct w:val="0"/>
              <w:autoSpaceDE w:val="0"/>
              <w:autoSpaceDN w:val="0"/>
              <w:adjustRightInd w:val="0"/>
              <w:spacing w:before="40" w:after="40"/>
              <w:ind w:left="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5. Performance Security</w:t>
            </w:r>
          </w:p>
        </w:tc>
        <w:tc>
          <w:tcPr>
            <w:tcW w:w="6946" w:type="dxa"/>
          </w:tcPr>
          <w:p w14:paraId="708C6D31">
            <w:pPr>
              <w:widowControl w:val="0"/>
              <w:shd w:val="clear" w:color="auto" w:fill="FFFFFF"/>
              <w:tabs>
                <w:tab w:val="left" w:pos="1100"/>
              </w:tabs>
              <w:overflowPunct w:val="0"/>
              <w:autoSpaceDE w:val="0"/>
              <w:autoSpaceDN w:val="0"/>
              <w:adjustRightInd w:val="0"/>
              <w:spacing w:before="40" w:after="40" w:line="240" w:lineRule="auto"/>
              <w:ind w:left="208"/>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5.1. The Performance Security shall be provided to the Purchaser no later than the date specified in the </w:t>
            </w:r>
            <w:r>
              <w:rPr>
                <w:sz w:val="26"/>
                <w:szCs w:val="26"/>
              </w:rPr>
              <w:t>notification of acceptance and contract award</w:t>
            </w:r>
            <w:r>
              <w:rPr>
                <w:color w:val="000000" w:themeColor="text1"/>
                <w:sz w:val="26"/>
                <w:szCs w:val="26"/>
                <w14:textFill>
                  <w14:solidFill>
                    <w14:schemeClr w14:val="tx1"/>
                  </w14:solidFill>
                </w14:textFill>
              </w:rPr>
              <w:t>. The Supplier shall implement one of the following measures to secure</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its/his/her</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contract</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performance liability:</w:t>
            </w:r>
          </w:p>
          <w:p w14:paraId="708C6D32">
            <w:pPr>
              <w:spacing w:before="120" w:after="280" w:afterAutospacing="1"/>
              <w:ind w:left="210"/>
              <w:jc w:val="both"/>
              <w:rPr>
                <w:sz w:val="26"/>
                <w:szCs w:val="26"/>
              </w:rPr>
            </w:pPr>
            <w:r>
              <w:rPr>
                <w:color w:val="000000" w:themeColor="text1"/>
                <w:sz w:val="26"/>
                <w:szCs w:val="26"/>
                <w14:textFill>
                  <w14:solidFill>
                    <w14:schemeClr w14:val="tx1"/>
                  </w14:solidFill>
                </w14:textFill>
              </w:rPr>
              <w:t>a</w:t>
            </w:r>
            <w:r>
              <w:rPr>
                <w:sz w:val="26"/>
                <w:szCs w:val="26"/>
              </w:rPr>
              <w:t>) Submit a letter of guarantee issued by a domestic credit institution or foreign bank branch lawfully established under the law of Vietnam; or</w:t>
            </w:r>
          </w:p>
          <w:p w14:paraId="708C6D33">
            <w:pPr>
              <w:spacing w:before="120" w:after="280" w:afterAutospacing="1"/>
              <w:ind w:left="210"/>
              <w:jc w:val="both"/>
              <w:rPr>
                <w:sz w:val="26"/>
                <w:szCs w:val="26"/>
              </w:rPr>
            </w:pPr>
            <w:r>
              <w:rPr>
                <w:sz w:val="26"/>
                <w:szCs w:val="26"/>
              </w:rPr>
              <w:t>b) Submit a certificate of surety bond insurance issued by a domestic non-life insurer or branch of a foreign non-life insurer duly established under the law of Vietnam.</w:t>
            </w:r>
          </w:p>
          <w:p w14:paraId="708C6D34">
            <w:pPr>
              <w:pStyle w:val="15"/>
              <w:ind w:left="208" w:right="205"/>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Performance Security according to the provisions of Points a and b of this Clause is an unconditional guarantee (paid upon request), according to the Form No.17 in Section VIII – Contract Form or another form approved by the Purchaser. The Performance Security shall be issued with amount and valid period specified in</w:t>
            </w:r>
            <w:r>
              <w:rPr>
                <w:b/>
                <w:color w:val="000000" w:themeColor="text1"/>
                <w:sz w:val="26"/>
                <w:szCs w:val="26"/>
                <w14:textFill>
                  <w14:solidFill>
                    <w14:schemeClr w14:val="tx1"/>
                  </w14:solidFill>
                </w14:textFill>
              </w:rPr>
              <w:t xml:space="preserve"> </w:t>
            </w:r>
            <w:r>
              <w:rPr>
                <w:bCs/>
                <w:color w:val="000000" w:themeColor="text1"/>
                <w:sz w:val="26"/>
                <w:szCs w:val="26"/>
                <w14:textFill>
                  <w14:solidFill>
                    <w14:schemeClr w14:val="tx1"/>
                  </w14:solidFill>
                </w14:textFill>
              </w:rPr>
              <w:t>the</w:t>
            </w:r>
            <w:r>
              <w:rPr>
                <w:b/>
                <w:color w:val="000000" w:themeColor="text1"/>
                <w:sz w:val="26"/>
                <w:szCs w:val="26"/>
                <w14:textFill>
                  <w14:solidFill>
                    <w14:schemeClr w14:val="tx1"/>
                  </w14:solidFill>
                </w14:textFill>
              </w:rPr>
              <w:t xml:space="preserve"> SCC</w:t>
            </w:r>
          </w:p>
          <w:p w14:paraId="708C6D35">
            <w:pPr>
              <w:pStyle w:val="97"/>
              <w:widowControl w:val="0"/>
              <w:numPr>
                <w:ilvl w:val="1"/>
                <w:numId w:val="59"/>
              </w:numPr>
              <w:shd w:val="clear" w:color="auto" w:fill="FFFFFF"/>
              <w:tabs>
                <w:tab w:val="left" w:pos="1100"/>
              </w:tabs>
              <w:overflowPunct w:val="0"/>
              <w:autoSpaceDE w:val="0"/>
              <w:autoSpaceDN w:val="0"/>
              <w:adjustRightInd w:val="0"/>
              <w:spacing w:before="40" w:after="40"/>
              <w:ind w:left="210" w:firstLine="0"/>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Performance Security shall be paid to the Purchaser to indemnify any loss incurred as a result of the Supplier's failure to fulfill its contractual obligations.</w:t>
            </w:r>
          </w:p>
          <w:p w14:paraId="708C6D36">
            <w:pPr>
              <w:pStyle w:val="97"/>
              <w:widowControl w:val="0"/>
              <w:numPr>
                <w:ilvl w:val="1"/>
                <w:numId w:val="59"/>
              </w:numPr>
              <w:shd w:val="clear" w:color="auto" w:fill="FFFFFF"/>
              <w:tabs>
                <w:tab w:val="left" w:pos="1100"/>
              </w:tabs>
              <w:overflowPunct w:val="0"/>
              <w:autoSpaceDE w:val="0"/>
              <w:autoSpaceDN w:val="0"/>
              <w:adjustRightInd w:val="0"/>
              <w:spacing w:before="40" w:after="40"/>
              <w:ind w:left="210" w:firstLine="0"/>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performance security must be denominated in a currency suitable for the payment currencies and according to Form No.17 in Section VIII – Contract Form.</w:t>
            </w:r>
          </w:p>
          <w:p w14:paraId="708C6D37">
            <w:pPr>
              <w:widowControl w:val="0"/>
              <w:shd w:val="clear" w:color="auto" w:fill="FFFFFF"/>
              <w:tabs>
                <w:tab w:val="left" w:pos="1100"/>
              </w:tabs>
              <w:overflowPunct w:val="0"/>
              <w:autoSpaceDE w:val="0"/>
              <w:autoSpaceDN w:val="0"/>
              <w:adjustRightInd w:val="0"/>
              <w:spacing w:before="40" w:after="40" w:line="240" w:lineRule="auto"/>
              <w:ind w:left="173"/>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5.4. The Performance Security shall be reimbursed to the Supplier within the period specified in the </w:t>
            </w:r>
            <w:r>
              <w:rPr>
                <w:b/>
                <w:color w:val="000000" w:themeColor="text1"/>
                <w:sz w:val="26"/>
                <w:szCs w:val="26"/>
                <w14:textFill>
                  <w14:solidFill>
                    <w14:schemeClr w14:val="tx1"/>
                  </w14:solidFill>
                </w14:textFill>
              </w:rPr>
              <w:t>SCC</w:t>
            </w:r>
            <w:r>
              <w:rPr>
                <w:color w:val="000000" w:themeColor="text1"/>
                <w:sz w:val="26"/>
                <w:szCs w:val="26"/>
                <w14:textFill>
                  <w14:solidFill>
                    <w14:schemeClr w14:val="tx1"/>
                  </w14:solidFill>
                </w14:textFill>
              </w:rPr>
              <w:t>.</w:t>
            </w:r>
          </w:p>
        </w:tc>
      </w:tr>
      <w:tr w14:paraId="708C6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39">
            <w:pPr>
              <w:pStyle w:val="156"/>
              <w:widowControl w:val="0"/>
              <w:shd w:val="clear" w:color="auto" w:fill="FFFFFF"/>
              <w:suppressAutoHyphens w:val="0"/>
              <w:overflowPunct w:val="0"/>
              <w:autoSpaceDE w:val="0"/>
              <w:autoSpaceDN w:val="0"/>
              <w:adjustRightInd w:val="0"/>
              <w:spacing w:before="40" w:after="40"/>
              <w:ind w:left="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6. Contract with subcontractors</w:t>
            </w:r>
          </w:p>
        </w:tc>
        <w:tc>
          <w:tcPr>
            <w:tcW w:w="6946" w:type="dxa"/>
          </w:tcPr>
          <w:p w14:paraId="708C6D3A">
            <w:pPr>
              <w:widowControl w:val="0"/>
              <w:shd w:val="clear" w:color="auto" w:fill="FFFFFF"/>
              <w:overflowPunct w:val="0"/>
              <w:autoSpaceDE w:val="0"/>
              <w:autoSpaceDN w:val="0"/>
              <w:adjustRightInd w:val="0"/>
              <w:spacing w:before="40" w:after="40" w:line="240" w:lineRule="auto"/>
              <w:ind w:left="208"/>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6.1. The Supplier is permitted to sign contract to the subcontractors in the list of subcontractors specified in the </w:t>
            </w:r>
            <w:r>
              <w:rPr>
                <w:b/>
                <w:color w:val="000000" w:themeColor="text1"/>
                <w:sz w:val="26"/>
                <w:szCs w:val="26"/>
                <w14:textFill>
                  <w14:solidFill>
                    <w14:schemeClr w14:val="tx1"/>
                  </w14:solidFill>
                </w14:textFill>
              </w:rPr>
              <w:t xml:space="preserve">SCC </w:t>
            </w:r>
            <w:r>
              <w:rPr>
                <w:color w:val="000000" w:themeColor="text1"/>
                <w:sz w:val="26"/>
                <w:szCs w:val="26"/>
                <w14:textFill>
                  <w14:solidFill>
                    <w14:schemeClr w14:val="tx1"/>
                  </w14:solidFill>
                </w14:textFill>
              </w:rPr>
              <w:t xml:space="preserve">to perform related services stated in the Bid. The use of subcontractors will not change the responsibility of the Supplier under the contract. The Supplier must be responsible for quantity, quality, schedule and other responsibilities of the work by subcontractor performance. </w:t>
            </w:r>
          </w:p>
          <w:p w14:paraId="708C6D3B">
            <w:pPr>
              <w:widowControl w:val="0"/>
              <w:shd w:val="clear" w:color="auto" w:fill="FFFFFF"/>
              <w:overflowPunct w:val="0"/>
              <w:autoSpaceDE w:val="0"/>
              <w:autoSpaceDN w:val="0"/>
              <w:adjustRightInd w:val="0"/>
              <w:spacing w:before="40" w:after="40" w:line="240" w:lineRule="auto"/>
              <w:ind w:left="208"/>
              <w:jc w:val="both"/>
              <w:textAlignment w:val="baseline"/>
              <w:rPr>
                <w:sz w:val="26"/>
                <w:szCs w:val="26"/>
              </w:rPr>
            </w:pPr>
            <w:r>
              <w:rPr>
                <w:color w:val="000000" w:themeColor="text1"/>
                <w:sz w:val="26"/>
                <w:szCs w:val="26"/>
                <w14:textFill>
                  <w14:solidFill>
                    <w14:schemeClr w14:val="tx1"/>
                  </w14:solidFill>
                </w14:textFill>
              </w:rPr>
              <w:t>The substitution or supplement subcontractors outside the list of subcontractors in the Bid or modifications to their assigned tasks in the Bid is only conducted when they are approved by the Purchaser and not exceed the maximum value of work for subcontractors stated in the co</w:t>
            </w:r>
            <w:r>
              <w:rPr>
                <w:sz w:val="26"/>
                <w:szCs w:val="26"/>
              </w:rPr>
              <w:t xml:space="preserve">ntract. The use of subcontractors must be consistent with the Supplier's needs in contract performance, the subcontractor must meet the capacity and experience requirements of the bidder. </w:t>
            </w:r>
          </w:p>
          <w:p w14:paraId="708C6D3C">
            <w:pPr>
              <w:widowControl w:val="0"/>
              <w:shd w:val="clear" w:color="auto" w:fill="FFFFFF"/>
              <w:tabs>
                <w:tab w:val="left" w:pos="1100"/>
              </w:tabs>
              <w:overflowPunct w:val="0"/>
              <w:autoSpaceDE w:val="0"/>
              <w:autoSpaceDN w:val="0"/>
              <w:adjustRightInd w:val="0"/>
              <w:spacing w:before="40" w:after="40" w:line="240" w:lineRule="auto"/>
              <w:ind w:left="208"/>
              <w:jc w:val="both"/>
              <w:textAlignment w:val="baseline"/>
              <w:rPr>
                <w:color w:val="000000" w:themeColor="text1"/>
                <w:sz w:val="26"/>
                <w:szCs w:val="26"/>
                <w14:textFill>
                  <w14:solidFill>
                    <w14:schemeClr w14:val="tx1"/>
                  </w14:solidFill>
                </w14:textFill>
              </w:rPr>
            </w:pPr>
            <w:r>
              <w:rPr>
                <w:sz w:val="26"/>
                <w:szCs w:val="26"/>
              </w:rPr>
              <w:t>6.2. The Supplier is responsible for paying the subcontractor in full and on time according to the terms agree</w:t>
            </w:r>
            <w:r>
              <w:rPr>
                <w:color w:val="000000" w:themeColor="text1"/>
                <w:sz w:val="26"/>
                <w:szCs w:val="26"/>
                <w14:textFill>
                  <w14:solidFill>
                    <w14:schemeClr w14:val="tx1"/>
                  </w14:solidFill>
                </w14:textFill>
              </w:rPr>
              <w:t>d between the Supplier and the subcontractor.</w:t>
            </w:r>
          </w:p>
          <w:p w14:paraId="708C6D3D">
            <w:pPr>
              <w:widowControl w:val="0"/>
              <w:shd w:val="clear" w:color="auto" w:fill="FFFFFF"/>
              <w:tabs>
                <w:tab w:val="left" w:pos="1100"/>
              </w:tabs>
              <w:overflowPunct w:val="0"/>
              <w:autoSpaceDE w:val="0"/>
              <w:autoSpaceDN w:val="0"/>
              <w:adjustRightInd w:val="0"/>
              <w:spacing w:before="40" w:after="40" w:line="240" w:lineRule="auto"/>
              <w:ind w:left="173"/>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6.3. The Supplier is not permitted to use subcontractors for the work different to the tasks of subcontractors declared in the Bid. </w:t>
            </w:r>
          </w:p>
        </w:tc>
      </w:tr>
      <w:tr w14:paraId="708C6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3F">
            <w:pPr>
              <w:pStyle w:val="156"/>
              <w:widowControl w:val="0"/>
              <w:shd w:val="clear" w:color="auto" w:fill="FFFFFF"/>
              <w:suppressAutoHyphens w:val="0"/>
              <w:overflowPunct w:val="0"/>
              <w:autoSpaceDE w:val="0"/>
              <w:autoSpaceDN w:val="0"/>
              <w:adjustRightInd w:val="0"/>
              <w:spacing w:before="40" w:after="40"/>
              <w:ind w:left="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7. Settlement of Disputes</w:t>
            </w:r>
          </w:p>
        </w:tc>
        <w:tc>
          <w:tcPr>
            <w:tcW w:w="6946" w:type="dxa"/>
          </w:tcPr>
          <w:p w14:paraId="708C6D40">
            <w:pPr>
              <w:widowControl w:val="0"/>
              <w:shd w:val="clear" w:color="auto" w:fill="FFFFFF"/>
              <w:overflowPunct w:val="0"/>
              <w:autoSpaceDE w:val="0"/>
              <w:autoSpaceDN w:val="0"/>
              <w:adjustRightInd w:val="0"/>
              <w:spacing w:before="40" w:after="40" w:line="240" w:lineRule="auto"/>
              <w:ind w:left="173"/>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7.1. The Purchaser and Supplier are responsible for resolving disputes arising between the two parties through negotiation, conciliation. </w:t>
            </w:r>
          </w:p>
          <w:p w14:paraId="708C6D41">
            <w:pPr>
              <w:widowControl w:val="0"/>
              <w:shd w:val="clear" w:color="auto" w:fill="FFFFFF"/>
              <w:overflowPunct w:val="0"/>
              <w:autoSpaceDE w:val="0"/>
              <w:autoSpaceDN w:val="0"/>
              <w:adjustRightInd w:val="0"/>
              <w:spacing w:before="40" w:after="40" w:line="240" w:lineRule="auto"/>
              <w:ind w:left="173"/>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7.2. If the dispute cannot be resolved by negotiation, conciliation within the time specified in the </w:t>
            </w:r>
            <w:r>
              <w:rPr>
                <w:b/>
                <w:bCs/>
                <w:color w:val="000000" w:themeColor="text1"/>
                <w:sz w:val="26"/>
                <w:szCs w:val="26"/>
                <w14:textFill>
                  <w14:solidFill>
                    <w14:schemeClr w14:val="tx1"/>
                  </w14:solidFill>
                </w14:textFill>
              </w:rPr>
              <w:t>SCC</w:t>
            </w:r>
            <w:r>
              <w:rPr>
                <w:color w:val="000000" w:themeColor="text1"/>
                <w:sz w:val="26"/>
                <w:szCs w:val="26"/>
                <w14:textFill>
                  <w14:solidFill>
                    <w14:schemeClr w14:val="tx1"/>
                  </w14:solidFill>
                </w14:textFill>
              </w:rPr>
              <w:t xml:space="preserve"> from the date of arising of the dispute, a party may request the dispute to be resolved according to the mechanism specified in the </w:t>
            </w:r>
            <w:r>
              <w:rPr>
                <w:b/>
                <w:bCs/>
                <w:color w:val="000000" w:themeColor="text1"/>
                <w:sz w:val="26"/>
                <w:szCs w:val="26"/>
                <w14:textFill>
                  <w14:solidFill>
                    <w14:schemeClr w14:val="tx1"/>
                  </w14:solidFill>
                </w14:textFill>
              </w:rPr>
              <w:t>SCC</w:t>
            </w:r>
            <w:r>
              <w:rPr>
                <w:b/>
                <w:color w:val="000000" w:themeColor="text1"/>
                <w:sz w:val="26"/>
                <w:szCs w:val="26"/>
                <w14:textFill>
                  <w14:solidFill>
                    <w14:schemeClr w14:val="tx1"/>
                  </w14:solidFill>
                </w14:textFill>
              </w:rPr>
              <w:t xml:space="preserve">. </w:t>
            </w:r>
          </w:p>
        </w:tc>
      </w:tr>
      <w:tr w14:paraId="708C6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43">
            <w:pPr>
              <w:pStyle w:val="156"/>
              <w:widowControl w:val="0"/>
              <w:shd w:val="clear" w:color="auto" w:fill="FFFFFF"/>
              <w:suppressAutoHyphens w:val="0"/>
              <w:overflowPunct w:val="0"/>
              <w:autoSpaceDE w:val="0"/>
              <w:autoSpaceDN w:val="0"/>
              <w:adjustRightInd w:val="0"/>
              <w:spacing w:before="40" w:after="40"/>
              <w:ind w:left="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8. Scope of Supply</w:t>
            </w:r>
          </w:p>
        </w:tc>
        <w:tc>
          <w:tcPr>
            <w:tcW w:w="6946" w:type="dxa"/>
          </w:tcPr>
          <w:p w14:paraId="708C6D44">
            <w:pPr>
              <w:pStyle w:val="86"/>
              <w:widowControl w:val="0"/>
              <w:shd w:val="clear" w:color="auto" w:fill="FFFFFF"/>
              <w:spacing w:before="40" w:after="40"/>
              <w:ind w:left="173"/>
              <w:rPr>
                <w:color w:val="000000" w:themeColor="text1"/>
                <w:spacing w:val="0"/>
                <w:sz w:val="26"/>
                <w:szCs w:val="26"/>
                <w14:textFill>
                  <w14:solidFill>
                    <w14:schemeClr w14:val="tx1"/>
                  </w14:solidFill>
                </w14:textFill>
              </w:rPr>
            </w:pPr>
            <w:r>
              <w:rPr>
                <w:rFonts w:eastAsia="Calibri"/>
                <w:color w:val="000000" w:themeColor="text1"/>
                <w:spacing w:val="0"/>
                <w:sz w:val="26"/>
                <w:szCs w:val="26"/>
                <w14:textFill>
                  <w14:solidFill>
                    <w14:schemeClr w14:val="tx1"/>
                  </w14:solidFill>
                </w14:textFill>
              </w:rPr>
              <w:t>The Goods and Related Services to be supplied shall be as specified in Section V – Scope of Supply.</w:t>
            </w:r>
          </w:p>
        </w:tc>
      </w:tr>
      <w:tr w14:paraId="708C6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46">
            <w:pPr>
              <w:pStyle w:val="156"/>
              <w:widowControl w:val="0"/>
              <w:shd w:val="clear" w:color="auto" w:fill="FFFFFF"/>
              <w:suppressAutoHyphens w:val="0"/>
              <w:overflowPunct w:val="0"/>
              <w:autoSpaceDE w:val="0"/>
              <w:autoSpaceDN w:val="0"/>
              <w:adjustRightInd w:val="0"/>
              <w:spacing w:before="40" w:after="40"/>
              <w:ind w:left="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9. Delivery Schedule of Goods, Completion Schedule of Related Services (if any) and Documents </w:t>
            </w:r>
          </w:p>
        </w:tc>
        <w:tc>
          <w:tcPr>
            <w:tcW w:w="6946" w:type="dxa"/>
          </w:tcPr>
          <w:p w14:paraId="708C6D47">
            <w:pPr>
              <w:pStyle w:val="86"/>
              <w:widowControl w:val="0"/>
              <w:shd w:val="clear" w:color="auto" w:fill="FFFFFF"/>
              <w:spacing w:before="40" w:after="40"/>
              <w:ind w:left="173"/>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Delivery schedule of goods, completion schedule of related services (if any) shall be conducted as specified Section V – Scope of Supply. The Supplier must provide invoices and/or documents as specified in the </w:t>
            </w:r>
            <w:r>
              <w:rPr>
                <w:b/>
                <w:color w:val="000000" w:themeColor="text1"/>
                <w:spacing w:val="0"/>
                <w:sz w:val="26"/>
                <w:szCs w:val="26"/>
                <w14:textFill>
                  <w14:solidFill>
                    <w14:schemeClr w14:val="tx1"/>
                  </w14:solidFill>
                </w14:textFill>
              </w:rPr>
              <w:t>SCC</w:t>
            </w:r>
            <w:r>
              <w:rPr>
                <w:color w:val="000000" w:themeColor="text1"/>
                <w:spacing w:val="0"/>
                <w:sz w:val="26"/>
                <w:szCs w:val="26"/>
                <w14:textFill>
                  <w14:solidFill>
                    <w14:schemeClr w14:val="tx1"/>
                  </w14:solidFill>
                </w14:textFill>
              </w:rPr>
              <w:t xml:space="preserve">.  </w:t>
            </w:r>
          </w:p>
        </w:tc>
      </w:tr>
      <w:tr w14:paraId="708C6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49">
            <w:pPr>
              <w:pStyle w:val="156"/>
              <w:widowControl w:val="0"/>
              <w:shd w:val="clear" w:color="auto" w:fill="FFFFFF"/>
              <w:suppressAutoHyphens w:val="0"/>
              <w:overflowPunct w:val="0"/>
              <w:autoSpaceDE w:val="0"/>
              <w:autoSpaceDN w:val="0"/>
              <w:adjustRightInd w:val="0"/>
              <w:spacing w:before="40" w:after="40"/>
              <w:ind w:left="0" w:right="72"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10. Supplier’s Responsibilities </w:t>
            </w:r>
          </w:p>
        </w:tc>
        <w:tc>
          <w:tcPr>
            <w:tcW w:w="6946" w:type="dxa"/>
          </w:tcPr>
          <w:p w14:paraId="708C6D4A">
            <w:pPr>
              <w:pStyle w:val="86"/>
              <w:widowControl w:val="0"/>
              <w:shd w:val="clear" w:color="auto" w:fill="FFFFFF"/>
              <w:spacing w:before="40" w:after="40"/>
              <w:ind w:left="205"/>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The Supplier must supply all the Goods and Related Services (if any) in Scope of Supply in accordance with GCC Clause 8 and the delivery schedule of goods, completion schedule of related services as per GCC Clause 9.</w:t>
            </w:r>
          </w:p>
        </w:tc>
      </w:tr>
      <w:tr w14:paraId="708C6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14:paraId="708C6D4C">
            <w:pPr>
              <w:pStyle w:val="156"/>
              <w:widowControl w:val="0"/>
              <w:shd w:val="clear" w:color="auto" w:fill="FFFFFF"/>
              <w:suppressAutoHyphens w:val="0"/>
              <w:overflowPunct w:val="0"/>
              <w:autoSpaceDE w:val="0"/>
              <w:autoSpaceDN w:val="0"/>
              <w:adjustRightInd w:val="0"/>
              <w:spacing w:before="40" w:after="40"/>
              <w:ind w:left="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11. Type, Price of Contract</w:t>
            </w:r>
          </w:p>
        </w:tc>
        <w:tc>
          <w:tcPr>
            <w:tcW w:w="6946" w:type="dxa"/>
          </w:tcPr>
          <w:p w14:paraId="708C6D4D">
            <w:pPr>
              <w:pStyle w:val="312"/>
              <w:widowControl w:val="0"/>
              <w:shd w:val="clear" w:color="auto" w:fill="FFFFFF"/>
              <w:tabs>
                <w:tab w:val="left" w:pos="1100"/>
              </w:tabs>
              <w:spacing w:before="40" w:after="40" w:line="240" w:lineRule="auto"/>
              <w:ind w:left="205"/>
              <w:rPr>
                <w:rFonts w:ascii="Times New Roman" w:hAnsi="Times New Roman"/>
                <w:b w:val="0"/>
                <w:color w:val="000000" w:themeColor="text1"/>
                <w:sz w:val="26"/>
                <w:szCs w:val="26"/>
                <w14:textFill>
                  <w14:solidFill>
                    <w14:schemeClr w14:val="tx1"/>
                  </w14:solidFill>
                </w14:textFill>
              </w:rPr>
            </w:pPr>
            <w:r>
              <w:rPr>
                <w:rFonts w:ascii="Times New Roman" w:hAnsi="Times New Roman"/>
                <w:b w:val="0"/>
                <w:color w:val="000000" w:themeColor="text1"/>
                <w:sz w:val="26"/>
                <w:szCs w:val="26"/>
                <w14:textFill>
                  <w14:solidFill>
                    <w14:schemeClr w14:val="tx1"/>
                  </w14:solidFill>
                </w14:textFill>
              </w:rPr>
              <w:t xml:space="preserve">11.1. Type of contract is specified in the </w:t>
            </w:r>
            <w:r>
              <w:rPr>
                <w:rFonts w:ascii="Times New Roman" w:hAnsi="Times New Roman"/>
                <w:color w:val="000000" w:themeColor="text1"/>
                <w:sz w:val="26"/>
                <w:szCs w:val="26"/>
                <w14:textFill>
                  <w14:solidFill>
                    <w14:schemeClr w14:val="tx1"/>
                  </w14:solidFill>
                </w14:textFill>
              </w:rPr>
              <w:t>SCC</w:t>
            </w:r>
            <w:r>
              <w:rPr>
                <w:rFonts w:ascii="Times New Roman" w:hAnsi="Times New Roman"/>
                <w:b w:val="0"/>
                <w:color w:val="000000" w:themeColor="text1"/>
                <w:sz w:val="26"/>
                <w:szCs w:val="26"/>
                <w14:textFill>
                  <w14:solidFill>
                    <w14:schemeClr w14:val="tx1"/>
                  </w14:solidFill>
                </w14:textFill>
              </w:rPr>
              <w:t xml:space="preserve">. </w:t>
            </w:r>
          </w:p>
          <w:p w14:paraId="708C6D4E">
            <w:pPr>
              <w:pStyle w:val="312"/>
              <w:widowControl w:val="0"/>
              <w:shd w:val="clear" w:color="auto" w:fill="FFFFFF"/>
              <w:tabs>
                <w:tab w:val="left" w:pos="1100"/>
              </w:tabs>
              <w:spacing w:before="40" w:after="40" w:line="240" w:lineRule="auto"/>
              <w:ind w:left="205"/>
              <w:rPr>
                <w:rFonts w:ascii="Times New Roman" w:hAnsi="Times New Roman"/>
                <w:b w:val="0"/>
                <w:color w:val="000000" w:themeColor="text1"/>
                <w:sz w:val="26"/>
                <w:szCs w:val="26"/>
                <w14:textFill>
                  <w14:solidFill>
                    <w14:schemeClr w14:val="tx1"/>
                  </w14:solidFill>
                </w14:textFill>
              </w:rPr>
            </w:pPr>
            <w:r>
              <w:rPr>
                <w:rFonts w:ascii="Times New Roman" w:hAnsi="Times New Roman"/>
                <w:b w:val="0"/>
                <w:color w:val="000000" w:themeColor="text1"/>
                <w:sz w:val="26"/>
                <w:szCs w:val="26"/>
                <w14:textFill>
                  <w14:solidFill>
                    <w14:schemeClr w14:val="tx1"/>
                  </w14:solidFill>
                </w14:textFill>
              </w:rPr>
              <w:t xml:space="preserve">11.2. Contract Price as specified in the </w:t>
            </w:r>
            <w:r>
              <w:rPr>
                <w:rFonts w:ascii="Times New Roman" w:hAnsi="Times New Roman"/>
                <w:color w:val="000000" w:themeColor="text1"/>
                <w:sz w:val="26"/>
                <w:szCs w:val="26"/>
                <w14:textFill>
                  <w14:solidFill>
                    <w14:schemeClr w14:val="tx1"/>
                  </w14:solidFill>
                </w14:textFill>
              </w:rPr>
              <w:t>SCC</w:t>
            </w:r>
            <w:r>
              <w:rPr>
                <w:rFonts w:ascii="Times New Roman" w:hAnsi="Times New Roman"/>
                <w:b w:val="0"/>
                <w:color w:val="000000" w:themeColor="text1"/>
                <w:sz w:val="26"/>
                <w:szCs w:val="26"/>
                <w14:textFill>
                  <w14:solidFill>
                    <w14:schemeClr w14:val="tx1"/>
                  </w14:solidFill>
                </w14:textFill>
              </w:rPr>
              <w:t xml:space="preserve"> includes all the costs to perform completion of supply of Goods and Related Services stated in the Contract Price Schedule on the basic of meeting progress, quality pursuant to the requirements of package.   </w:t>
            </w:r>
          </w:p>
        </w:tc>
      </w:tr>
      <w:tr w14:paraId="708C6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50">
            <w:pPr>
              <w:pStyle w:val="156"/>
              <w:widowControl w:val="0"/>
              <w:shd w:val="clear" w:color="auto" w:fill="FFFFFF"/>
              <w:suppressAutoHyphens w:val="0"/>
              <w:overflowPunct w:val="0"/>
              <w:autoSpaceDE w:val="0"/>
              <w:autoSpaceDN w:val="0"/>
              <w:adjustRightInd w:val="0"/>
              <w:spacing w:before="40" w:after="40"/>
              <w:ind w:left="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12. Taxes, fees and duties and tax adjustments</w:t>
            </w:r>
          </w:p>
        </w:tc>
        <w:tc>
          <w:tcPr>
            <w:tcW w:w="6946" w:type="dxa"/>
          </w:tcPr>
          <w:p w14:paraId="708C6D51">
            <w:pPr>
              <w:pStyle w:val="86"/>
              <w:widowControl w:val="0"/>
              <w:shd w:val="clear" w:color="auto" w:fill="FFFFFF"/>
              <w:spacing w:before="40" w:after="40"/>
              <w:ind w:left="205"/>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12.1. </w:t>
            </w:r>
            <w:r>
              <w:rPr>
                <w:spacing w:val="0"/>
                <w:sz w:val="25"/>
                <w:szCs w:val="25"/>
              </w:rPr>
              <w:t>For goods manufactured outside the Purchaser’s Country, the Supplier shall be entirely responsible for all taxes, stamp duties, license fees, and other such levies imposed outside the Purchaser’s Country</w:t>
            </w:r>
            <w:r>
              <w:rPr>
                <w:color w:val="000000" w:themeColor="text1"/>
                <w:spacing w:val="0"/>
                <w:sz w:val="26"/>
                <w:szCs w:val="26"/>
                <w14:textFill>
                  <w14:solidFill>
                    <w14:schemeClr w14:val="tx1"/>
                  </w14:solidFill>
                </w14:textFill>
              </w:rPr>
              <w:t>.</w:t>
            </w:r>
          </w:p>
          <w:p w14:paraId="708C6D52">
            <w:pPr>
              <w:pStyle w:val="86"/>
              <w:widowControl w:val="0"/>
              <w:shd w:val="clear" w:color="auto" w:fill="FFFFFF"/>
              <w:spacing w:before="40" w:after="40"/>
              <w:ind w:left="205"/>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12.2. </w:t>
            </w:r>
            <w:r>
              <w:rPr>
                <w:spacing w:val="0"/>
                <w:sz w:val="25"/>
                <w:szCs w:val="25"/>
              </w:rPr>
              <w:t>For goods Manufactured within the Purchaser’s country, the Supplier shall be entirely responsible for all taxes, duties, license fees, etc., incurred until delivery of the contracted Goods to the Purchaser</w:t>
            </w:r>
            <w:r>
              <w:rPr>
                <w:color w:val="000000" w:themeColor="text1"/>
                <w:spacing w:val="0"/>
                <w:sz w:val="26"/>
                <w:szCs w:val="26"/>
                <w14:textFill>
                  <w14:solidFill>
                    <w14:schemeClr w14:val="tx1"/>
                  </w14:solidFill>
                </w14:textFill>
              </w:rPr>
              <w:t>.</w:t>
            </w:r>
          </w:p>
          <w:p w14:paraId="708C6D53">
            <w:pPr>
              <w:pStyle w:val="86"/>
              <w:widowControl w:val="0"/>
              <w:shd w:val="clear" w:color="auto" w:fill="FFFFFF"/>
              <w:spacing w:before="40" w:after="40"/>
              <w:ind w:left="205"/>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12.3. In case the Supplier is eligible for exemption or reduction of taxes, fees and charges in Vietnam, </w:t>
            </w:r>
            <w:r>
              <w:rPr>
                <w:sz w:val="25"/>
                <w:szCs w:val="25"/>
              </w:rPr>
              <w:t>the Purchaser shall use its best efforts to enable the Supplier to benefit from any such tax savings to the maximum allowable extent</w:t>
            </w:r>
            <w:r>
              <w:rPr>
                <w:spacing w:val="0"/>
                <w:sz w:val="25"/>
                <w:szCs w:val="25"/>
              </w:rPr>
              <w:t xml:space="preserve">. </w:t>
            </w:r>
            <w:r>
              <w:rPr>
                <w:color w:val="000000" w:themeColor="text1"/>
                <w:spacing w:val="0"/>
                <w:sz w:val="26"/>
                <w:szCs w:val="26"/>
                <w14:textFill>
                  <w14:solidFill>
                    <w14:schemeClr w14:val="tx1"/>
                  </w14:solidFill>
                </w14:textFill>
              </w:rPr>
              <w:t xml:space="preserve"> </w:t>
            </w:r>
          </w:p>
          <w:p w14:paraId="708C6D54">
            <w:pPr>
              <w:pStyle w:val="86"/>
              <w:widowControl w:val="0"/>
              <w:shd w:val="clear" w:color="auto" w:fill="FFFFFF"/>
              <w:spacing w:before="40" w:after="40"/>
              <w:ind w:left="205"/>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12.4. In case the Supplier is the foreign Supplier and the contractor taxes are incurred in Vietnam, the payment of foreign contractor tax shall comply with the provisions of the </w:t>
            </w:r>
            <w:r>
              <w:rPr>
                <w:b/>
                <w:color w:val="000000" w:themeColor="text1"/>
                <w:spacing w:val="0"/>
                <w:sz w:val="26"/>
                <w:szCs w:val="26"/>
                <w14:textFill>
                  <w14:solidFill>
                    <w14:schemeClr w14:val="tx1"/>
                  </w14:solidFill>
                </w14:textFill>
              </w:rPr>
              <w:t>SCC</w:t>
            </w:r>
            <w:r>
              <w:rPr>
                <w:color w:val="000000" w:themeColor="text1"/>
                <w:spacing w:val="0"/>
                <w:sz w:val="26"/>
                <w:szCs w:val="26"/>
                <w14:textFill>
                  <w14:solidFill>
                    <w14:schemeClr w14:val="tx1"/>
                  </w14:solidFill>
                </w14:textFill>
              </w:rPr>
              <w:t>.</w:t>
            </w:r>
          </w:p>
          <w:p w14:paraId="708C6D55">
            <w:pPr>
              <w:pStyle w:val="86"/>
              <w:widowControl w:val="0"/>
              <w:shd w:val="clear" w:color="auto" w:fill="FFFFFF"/>
              <w:spacing w:before="40" w:after="40"/>
              <w:ind w:left="205"/>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12.5. Tax adjustments shall be made in accordance with the provisions of the </w:t>
            </w:r>
            <w:r>
              <w:rPr>
                <w:b/>
                <w:color w:val="000000" w:themeColor="text1"/>
                <w:spacing w:val="0"/>
                <w:sz w:val="26"/>
                <w:szCs w:val="26"/>
                <w14:textFill>
                  <w14:solidFill>
                    <w14:schemeClr w14:val="tx1"/>
                  </w14:solidFill>
                </w14:textFill>
              </w:rPr>
              <w:t>SCC</w:t>
            </w:r>
            <w:r>
              <w:rPr>
                <w:color w:val="000000" w:themeColor="text1"/>
                <w:spacing w:val="0"/>
                <w:sz w:val="26"/>
                <w:szCs w:val="26"/>
                <w14:textFill>
                  <w14:solidFill>
                    <w14:schemeClr w14:val="tx1"/>
                  </w14:solidFill>
                </w14:textFill>
              </w:rPr>
              <w:t>.</w:t>
            </w:r>
          </w:p>
        </w:tc>
      </w:tr>
      <w:tr w14:paraId="708C6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57">
            <w:pPr>
              <w:pStyle w:val="156"/>
              <w:widowControl w:val="0"/>
              <w:shd w:val="clear" w:color="auto" w:fill="FFFFFF"/>
              <w:suppressAutoHyphens w:val="0"/>
              <w:overflowPunct w:val="0"/>
              <w:autoSpaceDE w:val="0"/>
              <w:autoSpaceDN w:val="0"/>
              <w:adjustRightInd w:val="0"/>
              <w:spacing w:before="40" w:after="40"/>
              <w:ind w:left="0" w:firstLine="0"/>
              <w:jc w:val="both"/>
              <w:rPr>
                <w:color w:val="000000" w:themeColor="text1"/>
                <w:sz w:val="26"/>
                <w:szCs w:val="26"/>
                <w14:textFill>
                  <w14:solidFill>
                    <w14:schemeClr w14:val="tx1"/>
                  </w14:solidFill>
                </w14:textFill>
              </w:rPr>
            </w:pPr>
            <w:bookmarkStart w:id="435" w:name="_Toc419122747"/>
            <w:r>
              <w:rPr>
                <w:color w:val="000000" w:themeColor="text1"/>
                <w:sz w:val="26"/>
                <w:szCs w:val="26"/>
                <w14:textFill>
                  <w14:solidFill>
                    <w14:schemeClr w14:val="tx1"/>
                  </w14:solidFill>
                </w14:textFill>
              </w:rPr>
              <w:t>13. Advance Payment</w:t>
            </w:r>
            <w:bookmarkEnd w:id="435"/>
          </w:p>
        </w:tc>
        <w:tc>
          <w:tcPr>
            <w:tcW w:w="6946" w:type="dxa"/>
          </w:tcPr>
          <w:p w14:paraId="708C6D58">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13.1. The Purchaser shall make advance payment to the Supplier of the amounts stated in the SCC, after the Supplier submits an Advance Payment Security for equivalent amount valid. </w:t>
            </w:r>
            <w:r>
              <w:rPr>
                <w:color w:val="000000" w:themeColor="text1"/>
                <w:sz w:val="26"/>
                <w:szCs w:val="26"/>
                <w:shd w:val="clear" w:color="auto" w:fill="FFFFFF"/>
                <w14:textFill>
                  <w14:solidFill>
                    <w14:schemeClr w14:val="tx1"/>
                  </w14:solidFill>
                </w14:textFill>
              </w:rPr>
              <w:t xml:space="preserve">The Bank guarantee for advance payment </w:t>
            </w:r>
            <w:r>
              <w:rPr>
                <w:color w:val="000000" w:themeColor="text1"/>
                <w:sz w:val="26"/>
                <w:szCs w:val="26"/>
                <w14:textFill>
                  <w14:solidFill>
                    <w14:schemeClr w14:val="tx1"/>
                  </w14:solidFill>
                </w14:textFill>
              </w:rPr>
              <w:t xml:space="preserve">shall be issued by the domestic credit institution or </w:t>
            </w:r>
            <w:r>
              <w:rPr>
                <w:color w:val="000000" w:themeColor="text1"/>
                <w:sz w:val="26"/>
                <w:szCs w:val="26"/>
                <w:shd w:val="clear" w:color="auto" w:fill="FFFFFF"/>
                <w14:textFill>
                  <w14:solidFill>
                    <w14:schemeClr w14:val="tx1"/>
                  </w14:solidFill>
                </w14:textFill>
              </w:rPr>
              <w:t xml:space="preserve">foreign bank branch established under Vietnamese law, </w:t>
            </w:r>
            <w:r>
              <w:rPr>
                <w:color w:val="000000" w:themeColor="text1"/>
                <w:sz w:val="26"/>
                <w:szCs w:val="26"/>
                <w14:textFill>
                  <w14:solidFill>
                    <w14:schemeClr w14:val="tx1"/>
                  </w14:solidFill>
                </w14:textFill>
              </w:rPr>
              <w:t>the domestic non-</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life</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insurance</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business</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or</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a</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branch</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of</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a</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foreign</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non-life</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insurance</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business</w:t>
            </w:r>
            <w:r>
              <w:rPr>
                <w:color w:val="000000" w:themeColor="text1"/>
                <w:spacing w:val="1"/>
                <w:sz w:val="26"/>
                <w:szCs w:val="26"/>
                <w14:textFill>
                  <w14:solidFill>
                    <w14:schemeClr w14:val="tx1"/>
                  </w14:solidFill>
                </w14:textFill>
              </w:rPr>
              <w:t xml:space="preserve"> </w:t>
            </w:r>
            <w:r>
              <w:rPr>
                <w:color w:val="000000" w:themeColor="text1"/>
                <w:sz w:val="26"/>
                <w:szCs w:val="26"/>
                <w14:textFill>
                  <w14:solidFill>
                    <w14:schemeClr w14:val="tx1"/>
                  </w14:solidFill>
                </w14:textFill>
              </w:rPr>
              <w:t>established</w:t>
            </w:r>
            <w:r>
              <w:rPr>
                <w:color w:val="000000" w:themeColor="text1"/>
                <w:spacing w:val="-6"/>
                <w:sz w:val="26"/>
                <w:szCs w:val="26"/>
                <w14:textFill>
                  <w14:solidFill>
                    <w14:schemeClr w14:val="tx1"/>
                  </w14:solidFill>
                </w14:textFill>
              </w:rPr>
              <w:t xml:space="preserve"> </w:t>
            </w:r>
            <w:r>
              <w:rPr>
                <w:color w:val="000000" w:themeColor="text1"/>
                <w:sz w:val="26"/>
                <w:szCs w:val="26"/>
                <w14:textFill>
                  <w14:solidFill>
                    <w14:schemeClr w14:val="tx1"/>
                  </w14:solidFill>
                </w14:textFill>
              </w:rPr>
              <w:t xml:space="preserve">in accordance with Vietnam’s law and remains effective until the advance payment has been repaid, the amount of the Guarantee shall be progressively reduced by the amounts repaid by the Supplier. Interest shall not be charged on the advance payment. </w:t>
            </w:r>
          </w:p>
          <w:p w14:paraId="708C6D59">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13.2. The Supplier may only use the advance payment for the performance of the Contract. The Supplier must prove that the advance payment has been used for the right purposes and to the right subjects by submitting copies of invoices and related documents to the Purchaser.</w:t>
            </w:r>
          </w:p>
        </w:tc>
      </w:tr>
      <w:tr w14:paraId="708C6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5B">
            <w:pPr>
              <w:pStyle w:val="156"/>
              <w:widowControl w:val="0"/>
              <w:shd w:val="clear" w:color="auto" w:fill="FFFFFF"/>
              <w:suppressAutoHyphens w:val="0"/>
              <w:overflowPunct w:val="0"/>
              <w:autoSpaceDE w:val="0"/>
              <w:autoSpaceDN w:val="0"/>
              <w:adjustRightInd w:val="0"/>
              <w:spacing w:before="40" w:after="40"/>
              <w:ind w:left="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14. Payment</w:t>
            </w:r>
          </w:p>
        </w:tc>
        <w:tc>
          <w:tcPr>
            <w:tcW w:w="6946" w:type="dxa"/>
          </w:tcPr>
          <w:p w14:paraId="708C6D5C">
            <w:pPr>
              <w:widowControl w:val="0"/>
              <w:spacing w:before="40" w:after="40" w:line="240" w:lineRule="auto"/>
              <w:ind w:left="183"/>
              <w:jc w:val="both"/>
              <w:rPr>
                <w:bCs/>
                <w:snapToGrid w:val="0"/>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14.1. </w:t>
            </w:r>
            <w:r>
              <w:rPr>
                <w:bCs/>
                <w:snapToGrid w:val="0"/>
                <w:color w:val="000000" w:themeColor="text1"/>
                <w:sz w:val="26"/>
                <w:szCs w:val="26"/>
                <w14:textFill>
                  <w14:solidFill>
                    <w14:schemeClr w14:val="tx1"/>
                  </w14:solidFill>
                </w14:textFill>
              </w:rPr>
              <w:t xml:space="preserve">Request of payment </w:t>
            </w:r>
            <w:r>
              <w:rPr>
                <w:color w:val="000000" w:themeColor="text1"/>
                <w:sz w:val="26"/>
                <w:szCs w:val="26"/>
                <w14:textFill>
                  <w14:solidFill>
                    <w14:schemeClr w14:val="tx1"/>
                  </w14:solidFill>
                </w14:textFill>
              </w:rPr>
              <w:t xml:space="preserve">must be sent to the Purchaser in document, accompanied by an invoice describing the goods delivered and related services performed, together with the documents submitted in accordance with </w:t>
            </w:r>
            <w:r>
              <w:rPr>
                <w:bCs/>
                <w:color w:val="000000" w:themeColor="text1"/>
                <w:sz w:val="26"/>
                <w:szCs w:val="26"/>
                <w14:textFill>
                  <w14:solidFill>
                    <w14:schemeClr w14:val="tx1"/>
                  </w14:solidFill>
                </w14:textFill>
              </w:rPr>
              <w:t>GCC 9</w:t>
            </w:r>
            <w:r>
              <w:rPr>
                <w:color w:val="000000" w:themeColor="text1"/>
                <w:sz w:val="26"/>
                <w:szCs w:val="26"/>
                <w14:textFill>
                  <w14:solidFill>
                    <w14:schemeClr w14:val="tx1"/>
                  </w14:solidFill>
                </w14:textFill>
              </w:rPr>
              <w:t xml:space="preserve"> and send a payment request when other obligations specified in the contract have been fulfilled.</w:t>
            </w:r>
          </w:p>
          <w:p w14:paraId="708C6D5D">
            <w:pPr>
              <w:widowControl w:val="0"/>
              <w:shd w:val="clear" w:color="auto" w:fill="FFFFFF"/>
              <w:overflowPunct w:val="0"/>
              <w:autoSpaceDE w:val="0"/>
              <w:autoSpaceDN w:val="0"/>
              <w:adjustRightInd w:val="0"/>
              <w:spacing w:before="40" w:after="40" w:line="240" w:lineRule="auto"/>
              <w:ind w:left="205"/>
              <w:jc w:val="both"/>
              <w:textAlignment w:val="baseline"/>
              <w:rPr>
                <w:strike/>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14.2. The Contract Price shall be paid as specified in the </w:t>
            </w:r>
            <w:r>
              <w:rPr>
                <w:b/>
                <w:color w:val="000000" w:themeColor="text1"/>
                <w:sz w:val="26"/>
                <w:szCs w:val="26"/>
                <w14:textFill>
                  <w14:solidFill>
                    <w14:schemeClr w14:val="tx1"/>
                  </w14:solidFill>
                </w14:textFill>
              </w:rPr>
              <w:t>SCC</w:t>
            </w:r>
            <w:r>
              <w:rPr>
                <w:color w:val="000000" w:themeColor="text1"/>
                <w:sz w:val="26"/>
                <w:szCs w:val="26"/>
                <w14:textFill>
                  <w14:solidFill>
                    <w14:schemeClr w14:val="tx1"/>
                  </w14:solidFill>
                </w14:textFill>
              </w:rPr>
              <w:t xml:space="preserve">. </w:t>
            </w:r>
          </w:p>
          <w:p w14:paraId="708C6D5E">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14.3. Payment currencies are currencies specified in the BDs and Bid. </w:t>
            </w:r>
          </w:p>
        </w:tc>
      </w:tr>
      <w:tr w14:paraId="708C6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268" w:type="dxa"/>
          </w:tcPr>
          <w:p w14:paraId="708C6D60">
            <w:pPr>
              <w:pStyle w:val="254"/>
              <w:widowControl w:val="0"/>
              <w:shd w:val="clear" w:color="auto" w:fill="FFFFFF"/>
              <w:tabs>
                <w:tab w:val="clear" w:pos="360"/>
              </w:tabs>
              <w:spacing w:before="40" w:after="40"/>
              <w:ind w:left="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15. Copyright</w:t>
            </w:r>
          </w:p>
        </w:tc>
        <w:tc>
          <w:tcPr>
            <w:tcW w:w="6946" w:type="dxa"/>
          </w:tcPr>
          <w:p w14:paraId="708C6D61">
            <w:pPr>
              <w:pStyle w:val="86"/>
              <w:widowControl w:val="0"/>
              <w:shd w:val="clear" w:color="auto" w:fill="FFFFFF"/>
              <w:spacing w:before="40" w:after="40"/>
              <w:ind w:left="205"/>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Copyright in all drawings, documents and records containing information and data submitted by the Supplier to the Purchaser still belongs to the Supplier. In case such drawings, documents and records are provided to the Purchaser directly or through the Supplier by a third party, the copyright in the drawings, documents and records belongs to that third party.</w:t>
            </w:r>
          </w:p>
        </w:tc>
      </w:tr>
      <w:tr w14:paraId="708C6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63">
            <w:pPr>
              <w:pStyle w:val="156"/>
              <w:widowControl w:val="0"/>
              <w:shd w:val="clear" w:color="auto" w:fill="FFFFFF"/>
              <w:suppressAutoHyphens w:val="0"/>
              <w:overflowPunct w:val="0"/>
              <w:autoSpaceDE w:val="0"/>
              <w:autoSpaceDN w:val="0"/>
              <w:adjustRightInd w:val="0"/>
              <w:spacing w:before="40" w:after="40"/>
              <w:ind w:left="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16. Use of documents and information related to the contract</w:t>
            </w:r>
          </w:p>
        </w:tc>
        <w:tc>
          <w:tcPr>
            <w:tcW w:w="6946" w:type="dxa"/>
          </w:tcPr>
          <w:p w14:paraId="708C6D64">
            <w:pPr>
              <w:pStyle w:val="86"/>
              <w:widowControl w:val="0"/>
              <w:shd w:val="clear" w:color="auto" w:fill="FFFFFF"/>
              <w:tabs>
                <w:tab w:val="left" w:pos="1332"/>
              </w:tabs>
              <w:spacing w:before="40" w:after="40"/>
              <w:ind w:left="208"/>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16.1. The Purchaser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Purchaser to the extent required for the Subcontractor to perform its work under the Contract, in which event the Supplier shall obtain from such Subcontractor an undertaking of confidentiality similar to that imposed on the Supplier </w:t>
            </w:r>
          </w:p>
          <w:p w14:paraId="708C6D65">
            <w:pPr>
              <w:pStyle w:val="86"/>
              <w:widowControl w:val="0"/>
              <w:shd w:val="clear" w:color="auto" w:fill="FFFFFF"/>
              <w:tabs>
                <w:tab w:val="left" w:pos="1332"/>
              </w:tabs>
              <w:spacing w:before="40" w:after="40"/>
              <w:ind w:left="208"/>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16.2. The Purchaser shall not use such documents, data, and other information received from the Supplier for any purposes unrelated to the Contract.  Similarly, the Supplier shall not use such documents, data, and other information received from the Purchaser for any purposes unrelated to the Contract performance.</w:t>
            </w:r>
          </w:p>
          <w:p w14:paraId="708C6D66">
            <w:pPr>
              <w:pStyle w:val="86"/>
              <w:widowControl w:val="0"/>
              <w:shd w:val="clear" w:color="auto" w:fill="FFFFFF"/>
              <w:tabs>
                <w:tab w:val="left" w:pos="1332"/>
              </w:tabs>
              <w:spacing w:before="40" w:after="40"/>
              <w:ind w:left="208"/>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16.3. The obligation of the Purchaser and Supplier under GCC 16.1 and GCC 16.2, however, shall not apply to information that</w:t>
            </w:r>
          </w:p>
          <w:p w14:paraId="708C6D67">
            <w:pPr>
              <w:pStyle w:val="86"/>
              <w:widowControl w:val="0"/>
              <w:shd w:val="clear" w:color="auto" w:fill="FFFFFF"/>
              <w:tabs>
                <w:tab w:val="left" w:pos="1332"/>
              </w:tabs>
              <w:spacing w:before="40" w:after="40"/>
              <w:ind w:left="170"/>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a) Information provided by the Purchaser or Supplier to the competent authority;</w:t>
            </w:r>
          </w:p>
          <w:p w14:paraId="708C6D68">
            <w:pPr>
              <w:pStyle w:val="86"/>
              <w:widowControl w:val="0"/>
              <w:shd w:val="clear" w:color="auto" w:fill="FFFFFF"/>
              <w:tabs>
                <w:tab w:val="left" w:pos="1332"/>
              </w:tabs>
              <w:spacing w:before="40" w:after="40"/>
              <w:ind w:left="170"/>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b) Information has been or will be disclosed through no fault of the Purchaser or the Supplier;</w:t>
            </w:r>
          </w:p>
          <w:p w14:paraId="708C6D69">
            <w:pPr>
              <w:pStyle w:val="86"/>
              <w:widowControl w:val="0"/>
              <w:shd w:val="clear" w:color="auto" w:fill="FFFFFF"/>
              <w:tabs>
                <w:tab w:val="left" w:pos="1332"/>
              </w:tabs>
              <w:spacing w:before="40" w:after="40"/>
              <w:ind w:left="170"/>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c) Information owned by one party at the time of publication and not previously provided directly or indirectly by the other party;</w:t>
            </w:r>
          </w:p>
          <w:p w14:paraId="708C6D6A">
            <w:pPr>
              <w:pStyle w:val="86"/>
              <w:widowControl w:val="0"/>
              <w:shd w:val="clear" w:color="auto" w:fill="FFFFFF"/>
              <w:tabs>
                <w:tab w:val="left" w:pos="1332"/>
              </w:tabs>
              <w:spacing w:before="40" w:after="40"/>
              <w:ind w:left="170"/>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d) Information lawfully received by a party from a third party that has no obligation to keep the information confidential.</w:t>
            </w:r>
          </w:p>
          <w:p w14:paraId="708C6D6B">
            <w:pPr>
              <w:pStyle w:val="86"/>
              <w:widowControl w:val="0"/>
              <w:shd w:val="clear" w:color="auto" w:fill="FFFFFF"/>
              <w:tabs>
                <w:tab w:val="left" w:pos="1332"/>
              </w:tabs>
              <w:spacing w:before="40" w:after="40"/>
              <w:ind w:left="208"/>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16.4. The above provisions of GCC Clause 16 shall not in any way modify any undertaking of confidentiality given by either of the parties hereto prior to the date of the Contract in respect of the Supply or any part thereof.</w:t>
            </w:r>
          </w:p>
          <w:p w14:paraId="708C6D6C">
            <w:pPr>
              <w:pStyle w:val="86"/>
              <w:widowControl w:val="0"/>
              <w:shd w:val="clear" w:color="auto" w:fill="FFFFFF"/>
              <w:tabs>
                <w:tab w:val="left" w:pos="1332"/>
              </w:tabs>
              <w:spacing w:before="40" w:after="40"/>
              <w:ind w:left="170"/>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16.5. The provisions of GCC 16 shall survive completion or termination, for whatever reason, of the Contract. </w:t>
            </w:r>
          </w:p>
        </w:tc>
      </w:tr>
      <w:tr w14:paraId="708C6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6" w:hRule="atLeast"/>
        </w:trPr>
        <w:tc>
          <w:tcPr>
            <w:tcW w:w="2268" w:type="dxa"/>
          </w:tcPr>
          <w:p w14:paraId="708C6D6E">
            <w:pPr>
              <w:pStyle w:val="254"/>
              <w:widowControl w:val="0"/>
              <w:shd w:val="clear" w:color="auto" w:fill="FFFFFF"/>
              <w:tabs>
                <w:tab w:val="clear" w:pos="360"/>
              </w:tabs>
              <w:spacing w:before="40" w:after="40"/>
              <w:ind w:left="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17. Specifications and Standards</w:t>
            </w:r>
          </w:p>
        </w:tc>
        <w:tc>
          <w:tcPr>
            <w:tcW w:w="6946" w:type="dxa"/>
          </w:tcPr>
          <w:p w14:paraId="708C6D6F">
            <w:pPr>
              <w:pStyle w:val="4"/>
              <w:keepNext w:val="0"/>
              <w:widowControl w:val="0"/>
              <w:shd w:val="clear" w:color="auto" w:fill="FFFFFF"/>
              <w:spacing w:before="40" w:after="40" w:line="240" w:lineRule="auto"/>
              <w:ind w:left="170"/>
              <w:jc w:val="both"/>
              <w:rPr>
                <w:rFonts w:ascii="Times New Roman" w:hAnsi="Times New Roman"/>
                <w:b w:val="0"/>
                <w:color w:val="000000" w:themeColor="text1"/>
                <w14:textFill>
                  <w14:solidFill>
                    <w14:schemeClr w14:val="tx1"/>
                  </w14:solidFill>
                </w14:textFill>
              </w:rPr>
            </w:pPr>
            <w:r>
              <w:rPr>
                <w:rFonts w:ascii="Times New Roman" w:hAnsi="Times New Roman"/>
                <w:b w:val="0"/>
                <w:color w:val="000000" w:themeColor="text1"/>
                <w14:textFill>
                  <w14:solidFill>
                    <w14:schemeClr w14:val="tx1"/>
                  </w14:solidFill>
                </w14:textFill>
              </w:rPr>
              <w:t>The Goods and Related Services supplied under this Contract shall conform to the technical specifications and standards mentioned in Section V – Scope of Supply and, when no applicable standard is mentioned, the standard shall be equivalent or superior to the official standards whose application is appropriate to the Goods’ country or territory of origin.</w:t>
            </w:r>
          </w:p>
        </w:tc>
      </w:tr>
      <w:tr w14:paraId="708C6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71">
            <w:pPr>
              <w:pStyle w:val="254"/>
              <w:widowControl w:val="0"/>
              <w:shd w:val="clear" w:color="auto" w:fill="FFFFFF"/>
              <w:tabs>
                <w:tab w:val="clear" w:pos="360"/>
              </w:tabs>
              <w:spacing w:before="40" w:after="40"/>
              <w:ind w:left="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18. Packing and Documents</w:t>
            </w:r>
          </w:p>
        </w:tc>
        <w:tc>
          <w:tcPr>
            <w:tcW w:w="6946" w:type="dxa"/>
          </w:tcPr>
          <w:p w14:paraId="708C6D72">
            <w:pPr>
              <w:pStyle w:val="86"/>
              <w:widowControl w:val="0"/>
              <w:shd w:val="clear" w:color="auto" w:fill="FFFFFF"/>
              <w:spacing w:before="40" w:after="40"/>
              <w:ind w:left="170"/>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18.1. The Supplier shall provide such packing of the Goods as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 </w:t>
            </w:r>
          </w:p>
          <w:p w14:paraId="708C6D73">
            <w:pPr>
              <w:pStyle w:val="86"/>
              <w:widowControl w:val="0"/>
              <w:shd w:val="clear" w:color="auto" w:fill="FFFFFF"/>
              <w:spacing w:before="40" w:after="40"/>
              <w:ind w:left="170"/>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18.2. The packing, marking of the goods, the documents inside and outside the package must comply with the specific requirements in the contract, including the requirements (if any) specified in the </w:t>
            </w:r>
            <w:r>
              <w:rPr>
                <w:b/>
                <w:bCs/>
                <w:color w:val="000000" w:themeColor="text1"/>
                <w:spacing w:val="0"/>
                <w:sz w:val="26"/>
                <w:szCs w:val="26"/>
                <w14:textFill>
                  <w14:solidFill>
                    <w14:schemeClr w14:val="tx1"/>
                  </w14:solidFill>
                </w14:textFill>
              </w:rPr>
              <w:t>SCC</w:t>
            </w:r>
            <w:r>
              <w:rPr>
                <w:color w:val="000000" w:themeColor="text1"/>
                <w:spacing w:val="0"/>
                <w:sz w:val="26"/>
                <w:szCs w:val="26"/>
                <w14:textFill>
                  <w14:solidFill>
                    <w14:schemeClr w14:val="tx1"/>
                  </w14:solidFill>
                </w14:textFill>
              </w:rPr>
              <w:t xml:space="preserve"> and other instructions of the Purchaser/Purchaser.</w:t>
            </w:r>
          </w:p>
        </w:tc>
      </w:tr>
      <w:tr w14:paraId="708C6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75">
            <w:pPr>
              <w:pStyle w:val="254"/>
              <w:widowControl w:val="0"/>
              <w:shd w:val="clear" w:color="auto" w:fill="FFFFFF"/>
              <w:tabs>
                <w:tab w:val="clear" w:pos="360"/>
              </w:tabs>
              <w:spacing w:before="40" w:after="40"/>
              <w:ind w:left="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19. </w:t>
            </w:r>
            <w:r>
              <w:rPr>
                <w:rFonts w:eastAsia="Calibri"/>
                <w:color w:val="000000" w:themeColor="text1"/>
                <w:sz w:val="26"/>
                <w:szCs w:val="26"/>
                <w14:textFill>
                  <w14:solidFill>
                    <w14:schemeClr w14:val="tx1"/>
                  </w14:solidFill>
                </w14:textFill>
              </w:rPr>
              <w:t>Insurance</w:t>
            </w:r>
          </w:p>
        </w:tc>
        <w:tc>
          <w:tcPr>
            <w:tcW w:w="6946" w:type="dxa"/>
          </w:tcPr>
          <w:p w14:paraId="708C6D76">
            <w:pPr>
              <w:pStyle w:val="86"/>
              <w:widowControl w:val="0"/>
              <w:shd w:val="clear" w:color="auto" w:fill="FFFFFF"/>
              <w:spacing w:before="40" w:after="40"/>
              <w:ind w:left="170"/>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Except as otherwise provided in the </w:t>
            </w:r>
            <w:r>
              <w:rPr>
                <w:b/>
                <w:bCs/>
                <w:color w:val="000000" w:themeColor="text1"/>
                <w:spacing w:val="0"/>
                <w:sz w:val="26"/>
                <w:szCs w:val="26"/>
                <w14:textFill>
                  <w14:solidFill>
                    <w14:schemeClr w14:val="tx1"/>
                  </w14:solidFill>
                </w14:textFill>
              </w:rPr>
              <w:t>SCC</w:t>
            </w:r>
            <w:r>
              <w:rPr>
                <w:color w:val="000000" w:themeColor="text1"/>
                <w:spacing w:val="0"/>
                <w:sz w:val="26"/>
                <w:szCs w:val="26"/>
                <w14:textFill>
                  <w14:solidFill>
                    <w14:schemeClr w14:val="tx1"/>
                  </w14:solidFill>
                </w14:textFill>
              </w:rPr>
              <w:t xml:space="preserve">, the goods supplied under the contract must be fully insured against loss or damage that may occur during production or receipt, transportation, storage and delivery under the applicable Incoterms or as set forth in the </w:t>
            </w:r>
            <w:r>
              <w:rPr>
                <w:b/>
                <w:bCs/>
                <w:color w:val="000000" w:themeColor="text1"/>
                <w:spacing w:val="0"/>
                <w:sz w:val="26"/>
                <w:szCs w:val="26"/>
                <w14:textFill>
                  <w14:solidFill>
                    <w14:schemeClr w14:val="tx1"/>
                  </w14:solidFill>
                </w14:textFill>
              </w:rPr>
              <w:t>SCC</w:t>
            </w:r>
            <w:r>
              <w:rPr>
                <w:color w:val="000000" w:themeColor="text1"/>
                <w:spacing w:val="0"/>
                <w:sz w:val="26"/>
                <w:szCs w:val="26"/>
                <w14:textFill>
                  <w14:solidFill>
                    <w14:schemeClr w14:val="tx1"/>
                  </w14:solidFill>
                </w14:textFill>
              </w:rPr>
              <w:t>.</w:t>
            </w:r>
          </w:p>
        </w:tc>
      </w:tr>
      <w:tr w14:paraId="708C6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78">
            <w:pPr>
              <w:widowControl w:val="0"/>
              <w:shd w:val="clear" w:color="auto" w:fill="FFFFFF"/>
              <w:spacing w:before="40" w:after="40" w:line="240" w:lineRule="auto"/>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20. Transportation and Incidental Services </w:t>
            </w:r>
          </w:p>
        </w:tc>
        <w:tc>
          <w:tcPr>
            <w:tcW w:w="6946" w:type="dxa"/>
          </w:tcPr>
          <w:p w14:paraId="708C6D79">
            <w:pPr>
              <w:widowControl w:val="0"/>
              <w:shd w:val="clear" w:color="auto" w:fill="FFFFFF"/>
              <w:spacing w:before="40" w:after="40" w:line="240" w:lineRule="auto"/>
              <w:ind w:left="170"/>
              <w:jc w:val="both"/>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20.1. Unless otherwise specified in the </w:t>
            </w:r>
            <w:r>
              <w:rPr>
                <w:b/>
                <w:bCs/>
                <w:color w:val="000000" w:themeColor="text1"/>
                <w:sz w:val="26"/>
                <w:szCs w:val="26"/>
                <w14:textFill>
                  <w14:solidFill>
                    <w14:schemeClr w14:val="tx1"/>
                  </w14:solidFill>
                </w14:textFill>
              </w:rPr>
              <w:t>SCC</w:t>
            </w:r>
            <w:r>
              <w:rPr>
                <w:color w:val="000000" w:themeColor="text1"/>
                <w:sz w:val="26"/>
                <w:szCs w:val="26"/>
                <w14:textFill>
                  <w14:solidFill>
                    <w14:schemeClr w14:val="tx1"/>
                  </w14:solidFill>
                </w14:textFill>
              </w:rPr>
              <w:t>, the responsibility for transportation of the goods shall be in accordance with the Incoterms terms</w:t>
            </w:r>
            <w:r>
              <w:rPr>
                <w:b/>
                <w:color w:val="000000" w:themeColor="text1"/>
                <w:sz w:val="26"/>
                <w:szCs w:val="26"/>
                <w14:textFill>
                  <w14:solidFill>
                    <w14:schemeClr w14:val="tx1"/>
                  </w14:solidFill>
                </w14:textFill>
              </w:rPr>
              <w:t>.</w:t>
            </w:r>
          </w:p>
          <w:p w14:paraId="708C6D7A">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20.2. The Purchaser may require the Supplier to provide one or more of the following services, including services (if any) as specified in the </w:t>
            </w:r>
            <w:r>
              <w:rPr>
                <w:b/>
                <w:color w:val="000000" w:themeColor="text1"/>
                <w:sz w:val="26"/>
                <w:szCs w:val="26"/>
                <w14:textFill>
                  <w14:solidFill>
                    <w14:schemeClr w14:val="tx1"/>
                  </w14:solidFill>
                </w14:textFill>
              </w:rPr>
              <w:t>SCC</w:t>
            </w:r>
            <w:r>
              <w:rPr>
                <w:color w:val="000000" w:themeColor="text1"/>
                <w:sz w:val="26"/>
                <w:szCs w:val="26"/>
                <w14:textFill>
                  <w14:solidFill>
                    <w14:schemeClr w14:val="tx1"/>
                  </w14:solidFill>
                </w14:textFill>
              </w:rPr>
              <w:t>:</w:t>
            </w:r>
          </w:p>
          <w:p w14:paraId="708C6D7B">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 Carry out the installation or supervise the installation at the site, test the goods;</w:t>
            </w:r>
          </w:p>
          <w:p w14:paraId="708C6D7C">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 Provide necessary tools for assembling and maintaining goods;</w:t>
            </w:r>
          </w:p>
          <w:p w14:paraId="708C6D7D">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 Provide detailed operating and maintenance manuals for each type of goods;</w:t>
            </w:r>
          </w:p>
          <w:p w14:paraId="708C6D7E">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d) Operation or supervision or maintenance, repair of the Goods for a period mutually agreed upon by the parties, provided that such service shall not relieve the Supplier of any warranty obligations under this contract;</w:t>
            </w:r>
          </w:p>
          <w:p w14:paraId="708C6D7F">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e) Instruct the Purchaser's personnel on how to install, test, operate, maintain and repair goods.</w:t>
            </w:r>
          </w:p>
          <w:p w14:paraId="708C6D80">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20.3. In case of non-contractual services, the Purchaser and the Supplier negotiate the cost of performing the services, ensuring that the price does not exceed the price that the Supplier applies for similar services in other contracts.</w:t>
            </w:r>
          </w:p>
        </w:tc>
      </w:tr>
      <w:tr w14:paraId="708C6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82">
            <w:pPr>
              <w:pStyle w:val="254"/>
              <w:widowControl w:val="0"/>
              <w:shd w:val="clear" w:color="auto" w:fill="FFFFFF"/>
              <w:tabs>
                <w:tab w:val="clear" w:pos="360"/>
              </w:tabs>
              <w:spacing w:before="40" w:after="40"/>
              <w:ind w:left="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21. Inspections and Tests</w:t>
            </w:r>
          </w:p>
        </w:tc>
        <w:tc>
          <w:tcPr>
            <w:tcW w:w="6946" w:type="dxa"/>
          </w:tcPr>
          <w:p w14:paraId="708C6D83">
            <w:pPr>
              <w:widowControl w:val="0"/>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21.1. The Supplier shall at its own expense and at no cost to the Purchaser carry out all such tests and/or inspections of the Goods and Related Services in accordance with the provisions of </w:t>
            </w:r>
            <w:r>
              <w:rPr>
                <w:b/>
                <w:color w:val="000000" w:themeColor="text1"/>
                <w:sz w:val="26"/>
                <w:szCs w:val="26"/>
                <w14:textFill>
                  <w14:solidFill>
                    <w14:schemeClr w14:val="tx1"/>
                  </w14:solidFill>
                </w14:textFill>
              </w:rPr>
              <w:t>SCC</w:t>
            </w:r>
            <w:r>
              <w:rPr>
                <w:color w:val="000000" w:themeColor="text1"/>
                <w:sz w:val="26"/>
                <w:szCs w:val="26"/>
                <w14:textFill>
                  <w14:solidFill>
                    <w14:schemeClr w14:val="tx1"/>
                  </w14:solidFill>
                </w14:textFill>
              </w:rPr>
              <w:t>.</w:t>
            </w:r>
          </w:p>
          <w:p w14:paraId="708C6D84">
            <w:pPr>
              <w:widowControl w:val="0"/>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21.2. The inspections and tests may be conducted on the premises of the Supplier or its Subcontractor, at point of delivery, and/or at the final destination of the Goods, or in another place in the Purchaser’s country as specified in the </w:t>
            </w:r>
            <w:r>
              <w:rPr>
                <w:b/>
                <w:color w:val="000000" w:themeColor="text1"/>
                <w:sz w:val="26"/>
                <w:szCs w:val="26"/>
                <w14:textFill>
                  <w14:solidFill>
                    <w14:schemeClr w14:val="tx1"/>
                  </w14:solidFill>
                </w14:textFill>
              </w:rPr>
              <w:t>SCC</w:t>
            </w:r>
            <w:r>
              <w:rPr>
                <w:color w:val="000000" w:themeColor="text1"/>
                <w:sz w:val="26"/>
                <w:szCs w:val="26"/>
                <w14:textFill>
                  <w14:solidFill>
                    <w14:schemeClr w14:val="tx1"/>
                  </w14:solidFill>
                </w14:textFill>
              </w:rPr>
              <w:t>. Subject to GCC 21.3, if conducted on the premises of the Supplier or its Subcontractor, all reasonable facilities and assistance, including access to drawings and production data, shall be furnished to the inspectors at no charge to the Purchaser.</w:t>
            </w:r>
          </w:p>
          <w:p w14:paraId="708C6D85">
            <w:pPr>
              <w:widowControl w:val="0"/>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21.3. The Purchaser or its designated representative shall be entitled to attend the tests and/or inspections referred to in GCC 21.2, provided that the Purchaser bear all of its own costs and expenses incurred in connection with such attendance including, but not limited to, all traveling and board and lodging expenses.</w:t>
            </w:r>
          </w:p>
          <w:p w14:paraId="708C6D86">
            <w:pPr>
              <w:widowControl w:val="0"/>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21.4. Whenever the Supplier is ready to carry out any such test and inspection, it shall give a reasonable advance notice, including the place and time, to the Purchaser. The Supplier shall obtain from any relevant third party or manufacturer any necessary permission or consent to enable the Purchaser or its designated representative to attend the test and/or inspection.</w:t>
            </w:r>
          </w:p>
          <w:p w14:paraId="708C6D87">
            <w:pPr>
              <w:widowControl w:val="0"/>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21.5. The Purchaser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 </w:t>
            </w:r>
          </w:p>
          <w:p w14:paraId="708C6D88">
            <w:pPr>
              <w:widowControl w:val="0"/>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21.6. The Supplier shall provide the Purchaser with a report of the results of any such test and/or inspection.</w:t>
            </w:r>
          </w:p>
          <w:p w14:paraId="708C6D89">
            <w:pPr>
              <w:widowControl w:val="0"/>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21.7. The Purchaser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Purchaser, and shall repeat the test and/or inspection, at no cost to the Purchaser, upon giving a notice pursuant to GCC 21.4.</w:t>
            </w:r>
          </w:p>
          <w:p w14:paraId="708C6D8A">
            <w:pPr>
              <w:widowControl w:val="0"/>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21.8. The Supplier agrees that neither the execution of a test and/or inspection of the Goods or any part thereof, nor the attendance by the Purchaser or its representative, nor the issue of any report pursuant to GCC 21.6, shall release the Supplier from any warranties or other obligations under the Contract. </w:t>
            </w:r>
          </w:p>
        </w:tc>
      </w:tr>
      <w:tr w14:paraId="708C6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8C">
            <w:pPr>
              <w:pStyle w:val="254"/>
              <w:widowControl w:val="0"/>
              <w:shd w:val="clear" w:color="auto" w:fill="FFFFFF"/>
              <w:tabs>
                <w:tab w:val="clear" w:pos="360"/>
              </w:tabs>
              <w:spacing w:before="40" w:after="40"/>
              <w:ind w:left="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22. Penalty and Liquidated Damages</w:t>
            </w:r>
          </w:p>
        </w:tc>
        <w:tc>
          <w:tcPr>
            <w:tcW w:w="6946" w:type="dxa"/>
          </w:tcPr>
          <w:p w14:paraId="708C6D8D">
            <w:pPr>
              <w:pStyle w:val="86"/>
              <w:widowControl w:val="0"/>
              <w:shd w:val="clear" w:color="auto" w:fill="FFFFFF"/>
              <w:spacing w:before="40" w:after="40"/>
              <w:ind w:left="170"/>
              <w:rPr>
                <w:strike/>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The penalty and liquidated damages are specified in the </w:t>
            </w:r>
            <w:r>
              <w:rPr>
                <w:b/>
                <w:color w:val="000000" w:themeColor="text1"/>
                <w:spacing w:val="0"/>
                <w:sz w:val="26"/>
                <w:szCs w:val="26"/>
                <w14:textFill>
                  <w14:solidFill>
                    <w14:schemeClr w14:val="tx1"/>
                  </w14:solidFill>
                </w14:textFill>
              </w:rPr>
              <w:t>SCC</w:t>
            </w:r>
          </w:p>
        </w:tc>
      </w:tr>
      <w:tr w14:paraId="708C6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8F">
            <w:pPr>
              <w:pStyle w:val="254"/>
              <w:widowControl w:val="0"/>
              <w:shd w:val="clear" w:color="auto" w:fill="FFFFFF"/>
              <w:tabs>
                <w:tab w:val="clear" w:pos="360"/>
              </w:tabs>
              <w:spacing w:before="40" w:after="40"/>
              <w:ind w:left="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23. Warranty</w:t>
            </w:r>
          </w:p>
        </w:tc>
        <w:tc>
          <w:tcPr>
            <w:tcW w:w="6946" w:type="dxa"/>
          </w:tcPr>
          <w:p w14:paraId="708C6D90">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23.1. </w:t>
            </w:r>
            <w:r>
              <w:rPr>
                <w:sz w:val="26"/>
                <w:szCs w:val="26"/>
              </w:rPr>
              <w:t xml:space="preserve">The Supplier warrants that all the Goods are new, unused </w:t>
            </w:r>
            <w:r>
              <w:rPr>
                <w:color w:val="000000" w:themeColor="text1"/>
                <w:sz w:val="26"/>
                <w:szCs w:val="26"/>
                <w14:textFill>
                  <w14:solidFill>
                    <w14:schemeClr w14:val="tx1"/>
                  </w14:solidFill>
                </w14:textFill>
              </w:rPr>
              <w:t>in accordance with the stated proposal.</w:t>
            </w:r>
          </w:p>
          <w:p w14:paraId="708C6D91">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23.2. T</w:t>
            </w:r>
            <w:r>
              <w:rPr>
                <w:sz w:val="26"/>
                <w:szCs w:val="26"/>
              </w:rPr>
              <w:t xml:space="preserve">he Supplier further warrants that the Goods shall be free from defects arising from any act or omission of the Supplier or arising from design, materials, and workmanship, under normal use in the conditions prevailing in </w:t>
            </w:r>
            <w:r>
              <w:rPr>
                <w:color w:val="000000" w:themeColor="text1"/>
                <w:sz w:val="26"/>
                <w:szCs w:val="26"/>
                <w14:textFill>
                  <w14:solidFill>
                    <w14:schemeClr w14:val="tx1"/>
                  </w14:solidFill>
                </w14:textFill>
              </w:rPr>
              <w:t>Vietnam.</w:t>
            </w:r>
          </w:p>
          <w:p w14:paraId="708C6D92">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23.3. The warranty period and warranty location are specified in </w:t>
            </w:r>
            <w:r>
              <w:rPr>
                <w:b/>
                <w:color w:val="000000" w:themeColor="text1"/>
                <w:sz w:val="26"/>
                <w:szCs w:val="26"/>
                <w14:textFill>
                  <w14:solidFill>
                    <w14:schemeClr w14:val="tx1"/>
                  </w14:solidFill>
                </w14:textFill>
              </w:rPr>
              <w:t>SCC</w:t>
            </w:r>
            <w:r>
              <w:rPr>
                <w:color w:val="000000" w:themeColor="text1"/>
                <w:sz w:val="26"/>
                <w:szCs w:val="26"/>
                <w14:textFill>
                  <w14:solidFill>
                    <w14:schemeClr w14:val="tx1"/>
                  </w14:solidFill>
                </w14:textFill>
              </w:rPr>
              <w:t>.</w:t>
            </w:r>
          </w:p>
          <w:p w14:paraId="708C6D93">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23.4. </w:t>
            </w:r>
            <w:r>
              <w:rPr>
                <w:sz w:val="26"/>
                <w:szCs w:val="26"/>
              </w:rPr>
              <w:t xml:space="preserve">The Purchaser shall give notice to the Supplier stating the nature of any such defects together with all available evidence thereof, promptly following the discovery thereof, </w:t>
            </w:r>
            <w:r>
              <w:rPr>
                <w:color w:val="000000" w:themeColor="text1"/>
                <w:sz w:val="26"/>
                <w:szCs w:val="26"/>
                <w14:textFill>
                  <w14:solidFill>
                    <w14:schemeClr w14:val="tx1"/>
                  </w14:solidFill>
                </w14:textFill>
              </w:rPr>
              <w:t>together with supporting documents.</w:t>
            </w:r>
            <w:r>
              <w:rPr>
                <w:sz w:val="26"/>
                <w:szCs w:val="26"/>
              </w:rPr>
              <w:t xml:space="preserve"> The Purchaser shall afford all reasonable opportunity for the Supplier to inspect such defects. </w:t>
            </w:r>
          </w:p>
          <w:p w14:paraId="708C6D94">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23.5. </w:t>
            </w:r>
            <w:r>
              <w:rPr>
                <w:sz w:val="26"/>
                <w:szCs w:val="26"/>
              </w:rPr>
              <w:t xml:space="preserve">Upon receipt of such notice, the Supplier shall, within the period specified in the </w:t>
            </w:r>
            <w:r>
              <w:rPr>
                <w:b/>
                <w:bCs/>
                <w:sz w:val="26"/>
                <w:szCs w:val="26"/>
              </w:rPr>
              <w:t>SCC,</w:t>
            </w:r>
            <w:r>
              <w:rPr>
                <w:sz w:val="26"/>
                <w:szCs w:val="26"/>
              </w:rPr>
              <w:t xml:space="preserve"> expeditiously repair or replace the defective Goods or parts thereof, at no cost to the Purchaser</w:t>
            </w:r>
            <w:r>
              <w:rPr>
                <w:color w:val="000000" w:themeColor="text1"/>
                <w:sz w:val="26"/>
                <w:szCs w:val="26"/>
                <w14:textFill>
                  <w14:solidFill>
                    <w14:schemeClr w14:val="tx1"/>
                  </w14:solidFill>
                </w14:textFill>
              </w:rPr>
              <w:t>.</w:t>
            </w:r>
          </w:p>
          <w:p w14:paraId="708C6D95">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23.6. </w:t>
            </w:r>
            <w:r>
              <w:rPr>
                <w:sz w:val="26"/>
                <w:szCs w:val="26"/>
              </w:rPr>
              <w:t xml:space="preserve">If having been notified, the Supplier fails to remedy the defect within the period specified in the </w:t>
            </w:r>
            <w:r>
              <w:rPr>
                <w:b/>
                <w:bCs/>
                <w:sz w:val="26"/>
                <w:szCs w:val="26"/>
              </w:rPr>
              <w:t>SCC,</w:t>
            </w:r>
            <w:r>
              <w:rPr>
                <w:sz w:val="26"/>
                <w:szCs w:val="26"/>
              </w:rPr>
              <w:t xml:space="preserve"> the Purchaser may proceed to take within a reasonable period such remedial action as may be necessary, at the Supplier’s risk and expense and without prejudice to any other rights which the Purchaser may have against the Supplier under the Contract.</w:t>
            </w:r>
          </w:p>
        </w:tc>
      </w:tr>
      <w:tr w14:paraId="708C6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97">
            <w:pPr>
              <w:pStyle w:val="254"/>
              <w:widowControl w:val="0"/>
              <w:shd w:val="clear" w:color="auto" w:fill="FFFFFF"/>
              <w:tabs>
                <w:tab w:val="clear" w:pos="360"/>
              </w:tabs>
              <w:spacing w:before="40" w:after="40"/>
              <w:ind w:left="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24. Patent Indemnity</w:t>
            </w:r>
          </w:p>
        </w:tc>
        <w:tc>
          <w:tcPr>
            <w:tcW w:w="6946" w:type="dxa"/>
          </w:tcPr>
          <w:p w14:paraId="708C6D98">
            <w:pPr>
              <w:pStyle w:val="172"/>
              <w:numPr>
                <w:ilvl w:val="0"/>
                <w:numId w:val="0"/>
              </w:numPr>
              <w:tabs>
                <w:tab w:val="clear" w:pos="619"/>
              </w:tabs>
              <w:ind w:left="274" w:leftChars="98" w:firstLine="4"/>
            </w:pPr>
            <w:r>
              <w:t xml:space="preserve">24.1. The Supplier shall, subject to the Purchaser’s compliance with GCC 24.2, indemnify and hold harmless the Purchaser and its employees and officers from and against any and all suits, actions or administrative proceedings, claims, demands, losses, damages, costs, and expenses of any nature, including attorney’s fees and expenses, which the Purchaser may suffer as a result of any infringement or alleged infringement of any patent, utility model, registered design, trademark, copyright, or other intellectual property right registered or otherwise existing at the date of the Contract by reason of  </w:t>
            </w:r>
          </w:p>
          <w:p w14:paraId="708C6D99">
            <w:pPr>
              <w:pStyle w:val="226"/>
              <w:widowControl w:val="0"/>
              <w:numPr>
                <w:ilvl w:val="2"/>
                <w:numId w:val="1"/>
              </w:numPr>
              <w:tabs>
                <w:tab w:val="clear" w:pos="864"/>
              </w:tabs>
              <w:spacing w:before="40" w:after="40"/>
              <w:ind w:left="1152" w:hanging="54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the installation of the Goods by the Supplier or the use of the Goods in the country where the Site is located; and </w:t>
            </w:r>
          </w:p>
          <w:p w14:paraId="708C6D9A">
            <w:pPr>
              <w:pStyle w:val="226"/>
              <w:widowControl w:val="0"/>
              <w:numPr>
                <w:ilvl w:val="2"/>
                <w:numId w:val="1"/>
              </w:numPr>
              <w:tabs>
                <w:tab w:val="clear" w:pos="864"/>
              </w:tabs>
              <w:spacing w:before="40" w:after="40"/>
              <w:ind w:left="1152" w:hanging="54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the sale in any country of the products produced by the Goods. </w:t>
            </w:r>
          </w:p>
          <w:p w14:paraId="708C6D9B">
            <w:pPr>
              <w:widowControl w:val="0"/>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708C6D9C">
            <w:pPr>
              <w:widowControl w:val="0"/>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24.2. If any proceedings are brought or any claim is made against the Purchaser arising out of the matters referred to in GCC 24.1, the Purchaser shall promptly give the Supplier a notice thereof, and the Supplier may at its own expense and in the Purchaser’s name conduct such proceedings or claim and any negotiations for the settlement of any such proceedings or claim.</w:t>
            </w:r>
          </w:p>
          <w:p w14:paraId="708C6D9D">
            <w:pPr>
              <w:widowControl w:val="0"/>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24.3. If the Supplier fails to notify the Purchaser within 28 days after receipt of such notice that it intends to conduct any such proceedings or claim, then the Purchaser shall be free to conduct the same on its own behalf.</w:t>
            </w:r>
          </w:p>
          <w:p w14:paraId="708C6D9E">
            <w:pPr>
              <w:widowControl w:val="0"/>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24.4. The Purchaser shall, at the Supplier’s request, afford all available assistance to the Supplier in conducting such proceedings or claim, and shall be reimbursed by the Supplier for all reasonable expenses incurred in so doing.</w:t>
            </w:r>
          </w:p>
          <w:p w14:paraId="708C6D9F">
            <w:pPr>
              <w:widowControl w:val="0"/>
              <w:spacing w:before="40" w:after="4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24.5. The Purchaser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Purchaser.</w:t>
            </w:r>
          </w:p>
        </w:tc>
      </w:tr>
      <w:tr w14:paraId="708C6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A1">
            <w:pPr>
              <w:pStyle w:val="254"/>
              <w:widowControl w:val="0"/>
              <w:shd w:val="clear" w:color="auto" w:fill="FFFFFF"/>
              <w:tabs>
                <w:tab w:val="clear" w:pos="360"/>
              </w:tabs>
              <w:spacing w:before="40" w:after="40"/>
              <w:ind w:left="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25. Change in Laws and Regulations</w:t>
            </w:r>
          </w:p>
        </w:tc>
        <w:tc>
          <w:tcPr>
            <w:tcW w:w="6946" w:type="dxa"/>
          </w:tcPr>
          <w:p w14:paraId="708C6DA2">
            <w:pPr>
              <w:pStyle w:val="172"/>
              <w:numPr>
                <w:ilvl w:val="0"/>
                <w:numId w:val="0"/>
              </w:numPr>
            </w:pPr>
            <w:r>
              <w:t>Unless otherwise specified in the Contract, if since the 28 day before the deadline for submission of Bids, any policy is enacted, promulgated, abrogated, changed or declared lapsed in Vietnam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11.</w:t>
            </w:r>
          </w:p>
        </w:tc>
      </w:tr>
      <w:tr w14:paraId="708C6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A4">
            <w:pPr>
              <w:pStyle w:val="254"/>
              <w:widowControl w:val="0"/>
              <w:shd w:val="clear" w:color="auto" w:fill="FFFFFF"/>
              <w:tabs>
                <w:tab w:val="clear" w:pos="360"/>
              </w:tabs>
              <w:spacing w:before="40" w:after="40"/>
              <w:ind w:left="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26. Force Majeure</w:t>
            </w:r>
          </w:p>
        </w:tc>
        <w:tc>
          <w:tcPr>
            <w:tcW w:w="6946" w:type="dxa"/>
          </w:tcPr>
          <w:p w14:paraId="708C6DA5">
            <w:pPr>
              <w:widowControl w:val="0"/>
              <w:shd w:val="clear" w:color="auto" w:fill="FFFFFF"/>
              <w:spacing w:before="40" w:after="40" w:line="240" w:lineRule="auto"/>
              <w:ind w:right="28"/>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26.1. 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14:paraId="708C6DA6">
            <w:pPr>
              <w:widowControl w:val="0"/>
              <w:shd w:val="clear" w:color="auto" w:fill="FFFFFF"/>
              <w:spacing w:before="40" w:after="40" w:line="240" w:lineRule="auto"/>
              <w:ind w:right="28"/>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26.2. When the force majeure event occurs, the failure of a party to perform any of its obligations will not be considered a breach or breach of the Contract, provided that the party affected by this incident: (a) have taken reasonable and careful preventive measures and necessary alternative measures, all for the purpose of performing the terms and conditions of this contract, and (b) continue to perform its obligations under the Contract as long as such performance is reasonable and realistic.</w:t>
            </w:r>
          </w:p>
          <w:p w14:paraId="708C6DA7">
            <w:pPr>
              <w:widowControl w:val="0"/>
              <w:shd w:val="clear" w:color="auto" w:fill="FFFFFF"/>
              <w:spacing w:before="40" w:after="40" w:line="240" w:lineRule="auto"/>
              <w:ind w:right="28"/>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26.3. For purposes of this clause, “Force Majeure” means an event or situation beyond the control of the parties that is not foreseeable, is unavoidable, and its origin is not due to negligence or lack of care on the part of the parties. Such events may include, but not be limited to wars or revolutions, strikes, fires, floods, epidemics, quarantine restrictions and freight embargoes or other State policies and regulations.</w:t>
            </w:r>
          </w:p>
          <w:p w14:paraId="708C6DA8">
            <w:pPr>
              <w:widowControl w:val="0"/>
              <w:shd w:val="clear" w:color="auto" w:fill="FFFFFF"/>
              <w:spacing w:before="40" w:after="40" w:line="240" w:lineRule="auto"/>
              <w:ind w:right="28"/>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26.4. If a Force Majeure situation arises, the Supplier/Purchaser shall promptly notify the Purchaser/ Supplier in writing of such condition and the cause thereof within 14 days from the date of occurrence event. At the same time, transfer to the other party a certificate of such force majeure event issued by a competent organization at the place where the force majeure event occurs.</w:t>
            </w:r>
          </w:p>
          <w:p w14:paraId="708C6DA9">
            <w:pPr>
              <w:widowControl w:val="0"/>
              <w:shd w:val="clear" w:color="auto" w:fill="FFFFFF"/>
              <w:spacing w:before="40" w:after="40" w:line="240" w:lineRule="auto"/>
              <w:ind w:right="28"/>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Supplier shall continue to perform its obligations under the Contract as far as is reasonably practical and shall seek all reasonable alternative means for performance not prevented by the Force Majeure event.</w:t>
            </w:r>
          </w:p>
          <w:p w14:paraId="708C6DAA">
            <w:pPr>
              <w:widowControl w:val="0"/>
              <w:shd w:val="clear" w:color="auto" w:fill="FFFFFF"/>
              <w:spacing w:before="40" w:after="40" w:line="240" w:lineRule="auto"/>
              <w:ind w:right="28"/>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26.5. The period during which a party must complete a work under this Contract is extended by a period equal to the time that the party is unable to perform the work due to a force majeure.</w:t>
            </w:r>
          </w:p>
        </w:tc>
      </w:tr>
      <w:tr w14:paraId="708C6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AC">
            <w:pPr>
              <w:pStyle w:val="156"/>
              <w:widowControl w:val="0"/>
              <w:shd w:val="clear" w:color="auto" w:fill="FFFFFF"/>
              <w:suppressAutoHyphens w:val="0"/>
              <w:overflowPunct w:val="0"/>
              <w:autoSpaceDE w:val="0"/>
              <w:autoSpaceDN w:val="0"/>
              <w:adjustRightInd w:val="0"/>
              <w:spacing w:before="40" w:after="40"/>
              <w:ind w:left="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27. </w:t>
            </w:r>
            <w:r>
              <w:rPr>
                <w:sz w:val="25"/>
                <w:szCs w:val="25"/>
              </w:rPr>
              <w:t>Change Orders and Contract Amendments</w:t>
            </w:r>
          </w:p>
        </w:tc>
        <w:tc>
          <w:tcPr>
            <w:tcW w:w="6946" w:type="dxa"/>
          </w:tcPr>
          <w:p w14:paraId="708C6DAD">
            <w:pPr>
              <w:pStyle w:val="86"/>
              <w:spacing w:before="0" w:after="200"/>
              <w:rPr>
                <w:spacing w:val="0"/>
                <w:sz w:val="25"/>
                <w:szCs w:val="25"/>
              </w:rPr>
            </w:pPr>
            <w:r>
              <w:rPr>
                <w:color w:val="000000" w:themeColor="text1"/>
                <w:sz w:val="26"/>
                <w:szCs w:val="26"/>
                <w14:textFill>
                  <w14:solidFill>
                    <w14:schemeClr w14:val="tx1"/>
                  </w14:solidFill>
                </w14:textFill>
              </w:rPr>
              <w:t xml:space="preserve">27.1. </w:t>
            </w:r>
            <w:r>
              <w:rPr>
                <w:spacing w:val="0"/>
                <w:sz w:val="25"/>
                <w:szCs w:val="25"/>
              </w:rPr>
              <w:t>The Purchaser may at any time order the Supplier to make changes, supplement within the general scope of the Contract in any one or more of the following:</w:t>
            </w:r>
          </w:p>
          <w:p w14:paraId="708C6DAE">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  Change of drawings, designs, or specifications, where Goods to be furnished under the Contract are to be specifically manufactured for the Purchaser;</w:t>
            </w:r>
          </w:p>
          <w:p w14:paraId="708C6DAF">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b) </w:t>
            </w:r>
            <w:r>
              <w:rPr>
                <w:rStyle w:val="640"/>
                <w:lang w:eastAsia="vi-VN"/>
              </w:rPr>
              <w:t xml:space="preserve">Changes </w:t>
            </w:r>
            <w:r>
              <w:rPr>
                <w:color w:val="000000" w:themeColor="text1"/>
                <w:sz w:val="26"/>
                <w:szCs w:val="26"/>
                <w14:textFill>
                  <w14:solidFill>
                    <w14:schemeClr w14:val="tx1"/>
                  </w14:solidFill>
                </w14:textFill>
              </w:rPr>
              <w:t>of</w:t>
            </w:r>
            <w:r>
              <w:rPr>
                <w:rStyle w:val="640"/>
                <w:lang w:eastAsia="vi-VN"/>
              </w:rPr>
              <w:t xml:space="preserve"> the method of shipment</w:t>
            </w:r>
            <w:r>
              <w:rPr>
                <w:color w:val="000000" w:themeColor="text1"/>
                <w:sz w:val="26"/>
                <w:szCs w:val="26"/>
                <w14:textFill>
                  <w14:solidFill>
                    <w14:schemeClr w14:val="tx1"/>
                  </w14:solidFill>
                </w14:textFill>
              </w:rPr>
              <w:t xml:space="preserve"> and packing; </w:t>
            </w:r>
          </w:p>
          <w:p w14:paraId="708C6DB0">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c)  </w:t>
            </w:r>
            <w:r>
              <w:rPr>
                <w:rStyle w:val="640"/>
                <w:lang w:eastAsia="vi-VN"/>
              </w:rPr>
              <w:t xml:space="preserve">Changes </w:t>
            </w:r>
            <w:r>
              <w:rPr>
                <w:color w:val="000000" w:themeColor="text1"/>
                <w:sz w:val="26"/>
                <w:szCs w:val="26"/>
                <w14:textFill>
                  <w14:solidFill>
                    <w14:schemeClr w14:val="tx1"/>
                  </w14:solidFill>
                </w14:textFill>
              </w:rPr>
              <w:t>of</w:t>
            </w:r>
            <w:r>
              <w:rPr>
                <w:rStyle w:val="640"/>
                <w:lang w:eastAsia="vi-VN"/>
              </w:rPr>
              <w:t xml:space="preserve"> the place of delivery</w:t>
            </w:r>
            <w:r>
              <w:rPr>
                <w:color w:val="000000" w:themeColor="text1"/>
                <w:sz w:val="26"/>
                <w:szCs w:val="26"/>
                <w14:textFill>
                  <w14:solidFill>
                    <w14:schemeClr w14:val="tx1"/>
                  </w14:solidFill>
                </w14:textFill>
              </w:rPr>
              <w:t xml:space="preserve">; </w:t>
            </w:r>
          </w:p>
          <w:p w14:paraId="708C6DB1">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d)  </w:t>
            </w:r>
            <w:r>
              <w:rPr>
                <w:rStyle w:val="640"/>
                <w:lang w:eastAsia="vi-VN"/>
              </w:rPr>
              <w:t xml:space="preserve">Changes </w:t>
            </w:r>
            <w:r>
              <w:rPr>
                <w:color w:val="000000" w:themeColor="text1"/>
                <w:sz w:val="26"/>
                <w:szCs w:val="26"/>
                <w14:textFill>
                  <w14:solidFill>
                    <w14:schemeClr w14:val="tx1"/>
                  </w14:solidFill>
                </w14:textFill>
              </w:rPr>
              <w:t>of</w:t>
            </w:r>
            <w:r>
              <w:rPr>
                <w:rStyle w:val="640"/>
                <w:lang w:eastAsia="vi-VN"/>
              </w:rPr>
              <w:t xml:space="preserve"> the </w:t>
            </w:r>
            <w:r>
              <w:rPr>
                <w:color w:val="000000" w:themeColor="text1"/>
                <w:sz w:val="26"/>
                <w:szCs w:val="26"/>
                <w14:textFill>
                  <w14:solidFill>
                    <w14:schemeClr w14:val="tx1"/>
                  </w14:solidFill>
                </w14:textFill>
              </w:rPr>
              <w:t>related services;</w:t>
            </w:r>
          </w:p>
          <w:p w14:paraId="708C6DB2">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e)  Adjust the contract performance schedule as prescribed in GCC 28;</w:t>
            </w:r>
          </w:p>
          <w:p w14:paraId="708C6DB3">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27.2. If any such change, </w:t>
            </w:r>
            <w:r>
              <w:rPr>
                <w:sz w:val="25"/>
                <w:szCs w:val="25"/>
              </w:rPr>
              <w:t>supplement</w:t>
            </w:r>
            <w:r>
              <w:rPr>
                <w:color w:val="000000" w:themeColor="text1"/>
                <w:sz w:val="26"/>
                <w:szCs w:val="26"/>
                <w14:textFill>
                  <w14:solidFill>
                    <w14:schemeClr w14:val="tx1"/>
                  </w14:solidFill>
                </w14:textFill>
              </w:rPr>
              <w:t xml:space="preserve"> causes an increase or decrease in the cost of, or the time required for, the Supplier’s performance of any provisions under the Contract specified in GCC 27.1, an equitable adjustment shall be made in the Contract Price or in the Delivery and Completion Schedule, or both, and the Contract shall accordingly be amended. Any claims by the Supplier for adjustment under this Clause must be asserted within 28 days from the date on which the Supplier receives the Purchaser's request to amend or supplement the contents of the contract. </w:t>
            </w:r>
          </w:p>
          <w:p w14:paraId="708C6DB4">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27.3. In case the Supplier supplies goods with a new version of the same manufacturer, of the same origin, with technical specification, configurations, parameters, etc. equivalent to or better than the version of the goods proposed in the Bids and meets the requirements of the BDs, the Supplier must notify in advance in writing to the Purchaser for consideration. In this case, based on the demand for use, the Purchaser may accept the Supplier's proposal provided that the unit price and other conditions of the contract remain unchanged.</w:t>
            </w:r>
          </w:p>
          <w:p w14:paraId="708C6DB5">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27.4. In case it is necessary to perform related services not mentioned in the contract, the Purchaser and the Supplier shall negotiate and ensure the unit price is suitable to the market price.</w:t>
            </w:r>
          </w:p>
          <w:p w14:paraId="708C6DB6">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27.5. The Purchaser may request the Supplier to add necessary work items and goods in addition to the volume stated in the contract but belongs to the volume of the additional</w:t>
            </w:r>
            <w:r>
              <w:rPr>
                <w:color w:val="000000" w:themeColor="text1"/>
                <w:spacing w:val="-3"/>
                <w:sz w:val="26"/>
                <w:szCs w:val="26"/>
                <w14:textFill>
                  <w14:solidFill>
                    <w14:schemeClr w14:val="tx1"/>
                  </w14:solidFill>
                </w14:textFill>
              </w:rPr>
              <w:t xml:space="preserve"> </w:t>
            </w:r>
            <w:r>
              <w:rPr>
                <w:color w:val="000000" w:themeColor="text1"/>
                <w:sz w:val="26"/>
                <w:szCs w:val="26"/>
                <w14:textFill>
                  <w14:solidFill>
                    <w14:schemeClr w14:val="tx1"/>
                  </w14:solidFill>
                </w14:textFill>
              </w:rPr>
              <w:t>purchasing</w:t>
            </w:r>
            <w:r>
              <w:rPr>
                <w:color w:val="000000" w:themeColor="text1"/>
                <w:spacing w:val="-2"/>
                <w:sz w:val="26"/>
                <w:szCs w:val="26"/>
                <w14:textFill>
                  <w14:solidFill>
                    <w14:schemeClr w14:val="tx1"/>
                  </w14:solidFill>
                </w14:textFill>
              </w:rPr>
              <w:t xml:space="preserve"> </w:t>
            </w:r>
            <w:r>
              <w:rPr>
                <w:color w:val="000000" w:themeColor="text1"/>
                <w:sz w:val="26"/>
                <w:szCs w:val="26"/>
                <w14:textFill>
                  <w14:solidFill>
                    <w14:schemeClr w14:val="tx1"/>
                  </w14:solidFill>
                </w14:textFill>
              </w:rPr>
              <w:t>options with the unit price not exceeding the unit price signed in the contract, in accordance with the market price.</w:t>
            </w:r>
          </w:p>
          <w:p w14:paraId="708C6DB7">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27.6. The Purchaser and the Supplier will conduct negotiations to serve as a basis for signing the contract Annexes in case of contract amendments and supplements.</w:t>
            </w:r>
          </w:p>
          <w:p w14:paraId="708C6DB8">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27.7. During the contract performance, the Supplier may propose cost-saving solutions including at least the following contents:</w:t>
            </w:r>
          </w:p>
          <w:p w14:paraId="708C6DB9">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 Contents of the solutions, explaining the difference from the requirements under the signed contract;</w:t>
            </w:r>
          </w:p>
          <w:p w14:paraId="708C6DBA">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 Comprehensive analysis of the costs and benefits of the solution, including description and estimation of the costs (including life cycle costs) that may arise for the Purchaser in the event of approval of the Purchaser's proposal;</w:t>
            </w:r>
          </w:p>
          <w:p w14:paraId="708C6DBB">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 Impact of the solution on contract performance.</w:t>
            </w:r>
          </w:p>
          <w:p w14:paraId="708C6DBC">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27.8. The Purchaser may accept the Supplier 's proposal if it demonstrates one of the following benefits without affecting the necessary functions of the Goods:</w:t>
            </w:r>
          </w:p>
          <w:p w14:paraId="708C6DBD">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 Shorten delivery time;</w:t>
            </w:r>
          </w:p>
          <w:p w14:paraId="708C6DBE">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 Reduce the contract price or life cycle costs for the Purchaser;</w:t>
            </w:r>
          </w:p>
          <w:p w14:paraId="708C6DBF">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 Improve the quality, efficiency or sustainability of the goods in the contract;</w:t>
            </w:r>
          </w:p>
          <w:p w14:paraId="708C6DC0">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d) Any other benefits for the Purchaser.</w:t>
            </w:r>
          </w:p>
          <w:p w14:paraId="708C6DC1">
            <w:pPr>
              <w:widowControl w:val="0"/>
              <w:shd w:val="clear" w:color="auto" w:fill="FFFFFF"/>
              <w:spacing w:before="40" w:after="40" w:line="240" w:lineRule="auto"/>
              <w:ind w:left="170"/>
              <w:jc w:val="both"/>
              <w:rPr>
                <w:color w:val="000000" w:themeColor="text1"/>
                <w:sz w:val="26"/>
                <w:szCs w:val="26"/>
                <w:shd w:val="clear" w:color="auto" w:fill="FFFFFF"/>
                <w14:textFill>
                  <w14:solidFill>
                    <w14:schemeClr w14:val="tx1"/>
                  </w14:solidFill>
                </w14:textFill>
              </w:rPr>
            </w:pPr>
            <w:r>
              <w:rPr>
                <w:color w:val="000000" w:themeColor="text1"/>
                <w:sz w:val="26"/>
                <w:szCs w:val="26"/>
                <w:shd w:val="clear" w:color="auto" w:fill="FFFFFF"/>
                <w14:textFill>
                  <w14:solidFill>
                    <w14:schemeClr w14:val="tx1"/>
                  </w14:solidFill>
                </w14:textFill>
              </w:rPr>
              <w:t xml:space="preserve">In case the Supplier's proposal is accepted by the Purchaser and the contract price will be reduced, the Purchaser shall pay the Supplier at the rate specified in </w:t>
            </w:r>
            <w:r>
              <w:rPr>
                <w:b/>
                <w:color w:val="000000" w:themeColor="text1"/>
                <w:sz w:val="26"/>
                <w:szCs w:val="26"/>
                <w:shd w:val="clear" w:color="auto" w:fill="FFFFFF"/>
                <w14:textFill>
                  <w14:solidFill>
                    <w14:schemeClr w14:val="tx1"/>
                  </w14:solidFill>
                </w14:textFill>
              </w:rPr>
              <w:t>SCC</w:t>
            </w:r>
            <w:r>
              <w:rPr>
                <w:color w:val="000000" w:themeColor="text1"/>
                <w:sz w:val="26"/>
                <w:szCs w:val="26"/>
                <w:shd w:val="clear" w:color="auto" w:fill="FFFFFF"/>
                <w14:textFill>
                  <w14:solidFill>
                    <w14:schemeClr w14:val="tx1"/>
                  </w14:solidFill>
                </w14:textFill>
              </w:rPr>
              <w:t xml:space="preserve"> for the discount value of the contract.</w:t>
            </w:r>
          </w:p>
          <w:p w14:paraId="708C6DC2">
            <w:pPr>
              <w:widowControl w:val="0"/>
              <w:shd w:val="clear" w:color="auto" w:fill="FFFFFF"/>
              <w:spacing w:before="40" w:after="40" w:line="240" w:lineRule="auto"/>
              <w:ind w:left="170"/>
              <w:jc w:val="both"/>
              <w:rPr>
                <w:color w:val="000000" w:themeColor="text1"/>
                <w:sz w:val="26"/>
                <w:szCs w:val="26"/>
                <w14:textFill>
                  <w14:solidFill>
                    <w14:schemeClr w14:val="tx1"/>
                  </w14:solidFill>
                </w14:textFill>
              </w:rPr>
            </w:pPr>
            <w:r>
              <w:rPr>
                <w:color w:val="000000" w:themeColor="text1"/>
                <w:sz w:val="26"/>
                <w:szCs w:val="26"/>
                <w:shd w:val="clear" w:color="auto" w:fill="FFFFFF"/>
                <w14:textFill>
                  <w14:solidFill>
                    <w14:schemeClr w14:val="tx1"/>
                  </w14:solidFill>
                </w14:textFill>
              </w:rPr>
              <w:t>In case the Supplier's proposal is accepted by the Purchaser and the contract price will be increased but the life cycle costs will be reduced due to the impact of the factors specified at Points a, b, c and d of this clause, the Purchaser shall make payment to the Supplier according to the increased value of the contract.</w:t>
            </w:r>
          </w:p>
        </w:tc>
      </w:tr>
      <w:tr w14:paraId="708C6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C4">
            <w:pPr>
              <w:pStyle w:val="254"/>
              <w:widowControl w:val="0"/>
              <w:shd w:val="clear" w:color="auto" w:fill="FFFFFF"/>
              <w:tabs>
                <w:tab w:val="clear" w:pos="360"/>
              </w:tabs>
              <w:spacing w:before="40" w:after="40"/>
              <w:ind w:left="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28. </w:t>
            </w:r>
            <w:bookmarkStart w:id="436" w:name="_Toc468180070"/>
            <w:r>
              <w:rPr>
                <w:color w:val="000000" w:themeColor="text1"/>
                <w:sz w:val="26"/>
                <w:szCs w:val="26"/>
                <w14:textFill>
                  <w14:solidFill>
                    <w14:schemeClr w14:val="tx1"/>
                  </w14:solidFill>
                </w14:textFill>
              </w:rPr>
              <w:t>Extensions of Time</w:t>
            </w:r>
            <w:bookmarkEnd w:id="436"/>
          </w:p>
        </w:tc>
        <w:tc>
          <w:tcPr>
            <w:tcW w:w="6946" w:type="dxa"/>
          </w:tcPr>
          <w:p w14:paraId="708C6DC5">
            <w:pPr>
              <w:pStyle w:val="86"/>
              <w:widowControl w:val="0"/>
              <w:shd w:val="clear" w:color="auto" w:fill="FFFFFF"/>
              <w:tabs>
                <w:tab w:val="left" w:pos="7434"/>
              </w:tabs>
              <w:spacing w:before="40" w:after="40"/>
              <w:ind w:left="170"/>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28.1. If at any time during performance of the Contract, the Supplier or its Subcontractors should encounter conditions impeding timely delivery of the Goods or completion of Related Services pursuant to GCC 09, the Supplier shall promptly notify the Purchaser in writing of the delay, its likely duration, and its cause. As soon as practicable after receipt of the Supplier’s notice, the Purchaser shall evaluate the situation and may at its discretion extend the Supplier’s time for performance, in which case the extension shall be ratified by the parties by Appendixes on amendments and supplements to the contract.</w:t>
            </w:r>
          </w:p>
          <w:p w14:paraId="708C6DC6">
            <w:pPr>
              <w:pStyle w:val="86"/>
              <w:widowControl w:val="0"/>
              <w:shd w:val="clear" w:color="auto" w:fill="FFFFFF"/>
              <w:tabs>
                <w:tab w:val="left" w:pos="7434"/>
              </w:tabs>
              <w:spacing w:before="40" w:after="40"/>
              <w:ind w:left="170"/>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28.2. Except in case of Force Majeure, as provided under GCC 26, a delay by the Supplier in the performance of its Delivery and Completion obligations shall render the Supplier liable to the imposition of liquidated damages pursuant to GCC 22.</w:t>
            </w:r>
          </w:p>
        </w:tc>
      </w:tr>
      <w:tr w14:paraId="708C6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C8">
            <w:pPr>
              <w:pStyle w:val="254"/>
              <w:widowControl w:val="0"/>
              <w:shd w:val="clear" w:color="auto" w:fill="FFFFFF"/>
              <w:tabs>
                <w:tab w:val="clear" w:pos="360"/>
              </w:tabs>
              <w:spacing w:before="40" w:after="40"/>
              <w:ind w:left="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29. Termination </w:t>
            </w:r>
          </w:p>
        </w:tc>
        <w:tc>
          <w:tcPr>
            <w:tcW w:w="6946" w:type="dxa"/>
          </w:tcPr>
          <w:p w14:paraId="708C6DC9">
            <w:pPr>
              <w:pStyle w:val="86"/>
              <w:widowControl w:val="0"/>
              <w:shd w:val="clear" w:color="auto" w:fill="FFFFFF"/>
              <w:spacing w:before="40" w:after="40"/>
              <w:ind w:left="170"/>
              <w:rPr>
                <w:color w:val="000000" w:themeColor="text1"/>
                <w:spacing w:val="0"/>
                <w:sz w:val="26"/>
                <w:szCs w:val="26"/>
                <w14:textFill>
                  <w14:solidFill>
                    <w14:schemeClr w14:val="tx1"/>
                  </w14:solidFill>
                </w14:textFill>
              </w:rPr>
            </w:pPr>
            <w:r>
              <w:rPr>
                <w:color w:val="000000" w:themeColor="text1"/>
                <w:spacing w:val="0"/>
                <w:sz w:val="26"/>
                <w:szCs w:val="26"/>
                <w14:textFill>
                  <w14:solidFill>
                    <w14:schemeClr w14:val="tx1"/>
                  </w14:solidFill>
                </w14:textFill>
              </w:rPr>
              <w:t xml:space="preserve">29.1. </w:t>
            </w:r>
            <w:r>
              <w:rPr>
                <w:spacing w:val="0"/>
                <w:sz w:val="26"/>
                <w:szCs w:val="26"/>
              </w:rPr>
              <w:t>Termination for Default</w:t>
            </w:r>
          </w:p>
          <w:p w14:paraId="708C6DCA">
            <w:pPr>
              <w:pStyle w:val="226"/>
              <w:widowControl w:val="0"/>
              <w:numPr>
                <w:ilvl w:val="0"/>
                <w:numId w:val="65"/>
              </w:numPr>
              <w:tabs>
                <w:tab w:val="clear" w:pos="864"/>
                <w:tab w:val="clear" w:pos="1152"/>
              </w:tabs>
              <w:spacing w:before="40" w:after="40"/>
              <w:ind w:left="292" w:hanging="29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The Purchaser, without prejudice to any other remedy for breach of Contract, by Notice of default sent to the Supplier, may terminate the Contract in whole or in part: </w:t>
            </w:r>
          </w:p>
          <w:p w14:paraId="708C6DCB">
            <w:pPr>
              <w:pStyle w:val="226"/>
              <w:widowControl w:val="0"/>
              <w:tabs>
                <w:tab w:val="clear" w:pos="864"/>
                <w:tab w:val="clear" w:pos="1152"/>
              </w:tabs>
              <w:spacing w:before="40" w:after="40"/>
              <w:ind w:left="562" w:hanging="28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(i)</w:t>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 xml:space="preserve"> if the Supplier fails to deliver any or all of the Goods within the period specified in the Contract, or within any extension thereof granted by the Purchaser pursuant to GCC 28;</w:t>
            </w:r>
          </w:p>
          <w:p w14:paraId="708C6DCC">
            <w:pPr>
              <w:pStyle w:val="226"/>
              <w:widowControl w:val="0"/>
              <w:tabs>
                <w:tab w:val="clear" w:pos="864"/>
                <w:tab w:val="clear" w:pos="1152"/>
              </w:tabs>
              <w:spacing w:before="40" w:after="40"/>
              <w:ind w:left="560" w:hanging="28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(ii) if the Supplier fails to perform any other obligation under the Contract;</w:t>
            </w:r>
          </w:p>
          <w:p w14:paraId="708C6DCD">
            <w:pPr>
              <w:pStyle w:val="5"/>
              <w:spacing w:before="0" w:after="200"/>
              <w:ind w:left="845" w:hanging="565"/>
              <w:jc w:val="both"/>
              <w:rPr>
                <w:rFonts w:ascii="Times New Roman" w:hAnsi="Times New Roman"/>
                <w:b w:val="0"/>
                <w:bCs w:val="0"/>
                <w:i w:val="0"/>
                <w:iCs w:val="0"/>
                <w:color w:val="000000" w:themeColor="text1"/>
                <w:sz w:val="26"/>
                <w:szCs w:val="26"/>
                <w:lang w:val="en-US" w:eastAsia="fr-FR"/>
                <w14:textFill>
                  <w14:solidFill>
                    <w14:schemeClr w14:val="tx1"/>
                  </w14:solidFill>
                </w14:textFill>
              </w:rPr>
            </w:pPr>
            <w:r>
              <w:rPr>
                <w:rFonts w:ascii="Times New Roman" w:hAnsi="Times New Roman"/>
                <w:b w:val="0"/>
                <w:bCs w:val="0"/>
                <w:i w:val="0"/>
                <w:iCs w:val="0"/>
                <w:color w:val="000000" w:themeColor="text1"/>
                <w:sz w:val="26"/>
                <w:szCs w:val="26"/>
                <w:lang w:val="en-US" w:eastAsia="fr-FR"/>
                <w14:textFill>
                  <w14:solidFill>
                    <w14:schemeClr w14:val="tx1"/>
                  </w14:solidFill>
                </w14:textFill>
              </w:rPr>
              <w:t>(iii)  if the Supplier, in the judgment of the Purchaser has engaged in fraud and corruption, as defined in Article 16 of the Procurement Law, in competing for or in executing the Contract.</w:t>
            </w:r>
          </w:p>
          <w:p w14:paraId="708C6DCE">
            <w:pPr>
              <w:pStyle w:val="226"/>
              <w:widowControl w:val="0"/>
              <w:numPr>
                <w:ilvl w:val="0"/>
                <w:numId w:val="65"/>
              </w:numPr>
              <w:tabs>
                <w:tab w:val="clear" w:pos="864"/>
                <w:tab w:val="clear" w:pos="1152"/>
              </w:tabs>
              <w:spacing w:before="40" w:after="40"/>
              <w:ind w:left="292" w:hanging="29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In the event the Purchaser terminates the Contract in whole or in part, pursuant to GCC 29.1(a), the Purchaser may procure, upon such terms and in such manner as it deems appropriate, Goods or Related Services similar to those undelivered or not performed, and the Supplier shall be liable to the Purchaser for any additional costs for such similar Goods or Related Services. However, the Supplier shall continue performance of the Contract to the extent not terminated.</w:t>
            </w:r>
          </w:p>
          <w:p w14:paraId="708C6DCF">
            <w:pPr>
              <w:pStyle w:val="172"/>
            </w:pPr>
            <w:r>
              <w:t>Termination for Insolvency</w:t>
            </w:r>
          </w:p>
          <w:p w14:paraId="708C6DD0">
            <w:pPr>
              <w:pStyle w:val="4"/>
              <w:jc w:val="both"/>
              <w:rPr>
                <w:rFonts w:ascii="Times New Roman" w:hAnsi="Times New Roman"/>
                <w:b w:val="0"/>
                <w:bCs w:val="0"/>
                <w:color w:val="auto"/>
              </w:rPr>
            </w:pPr>
            <w:r>
              <w:rPr>
                <w:rFonts w:ascii="Times New Roman" w:hAnsi="Times New Roman"/>
                <w:b w:val="0"/>
                <w:bCs w:val="0"/>
              </w:rPr>
              <w:t>The Purchaser may at any time terminate the Contract by giving notice to the Supplier if the Supplier becomes bankrupt or otherwise insol</w:t>
            </w:r>
            <w:r>
              <w:rPr>
                <w:rFonts w:ascii="Times New Roman" w:hAnsi="Times New Roman"/>
                <w:b w:val="0"/>
                <w:bCs w:val="0"/>
                <w:color w:val="auto"/>
              </w:rPr>
              <w:t>vent.  In such event, termination will be without compensation to the Supplier, provided that such termination will not prejudice or affect any right of action or remedy that has accrued or will accrue thereafter to the Purchaser.</w:t>
            </w:r>
          </w:p>
          <w:p w14:paraId="708C6DD1">
            <w:pPr>
              <w:pStyle w:val="172"/>
              <w:rPr>
                <w:color w:val="auto"/>
                <w:highlight w:val="yellow"/>
              </w:rPr>
            </w:pPr>
            <w:r>
              <w:rPr>
                <w:color w:val="auto"/>
              </w:rPr>
              <w:t xml:space="preserve">Termination for convenience </w:t>
            </w:r>
          </w:p>
          <w:p w14:paraId="708C6DD2">
            <w:pPr>
              <w:pStyle w:val="226"/>
              <w:widowControl w:val="0"/>
              <w:numPr>
                <w:ilvl w:val="2"/>
                <w:numId w:val="2"/>
              </w:numPr>
              <w:tabs>
                <w:tab w:val="clear" w:pos="864"/>
                <w:tab w:val="clear" w:pos="1152"/>
              </w:tabs>
              <w:spacing w:before="40" w:after="40"/>
              <w:ind w:left="280" w:hanging="280"/>
              <w:rPr>
                <w:sz w:val="26"/>
                <w:szCs w:val="26"/>
              </w:rPr>
            </w:pPr>
            <w:r>
              <w:rPr>
                <w:color w:val="auto"/>
                <w:sz w:val="26"/>
                <w:szCs w:val="26"/>
              </w:rPr>
              <w:t xml:space="preserve">The Purchaser, by Notice sent to the Supplier, may terminate the Contract, in whole or in part, at any time for its convenience.  </w:t>
            </w:r>
            <w:r>
              <w:rPr>
                <w:sz w:val="26"/>
                <w:szCs w:val="26"/>
              </w:rPr>
              <w:t>The Notice of termination shall specify that termination is for the Purchaser’s convenience, the extent to which performance of the Supplier under the Contract is terminated, and the date upon which such termination becomes effective.</w:t>
            </w:r>
          </w:p>
          <w:p w14:paraId="708C6DD3">
            <w:pPr>
              <w:pStyle w:val="226"/>
              <w:widowControl w:val="0"/>
              <w:numPr>
                <w:ilvl w:val="2"/>
                <w:numId w:val="2"/>
              </w:numPr>
              <w:tabs>
                <w:tab w:val="clear" w:pos="1152"/>
              </w:tabs>
              <w:spacing w:before="40" w:after="40"/>
              <w:ind w:left="280" w:hanging="280"/>
              <w:rPr>
                <w:sz w:val="26"/>
                <w:szCs w:val="26"/>
              </w:rPr>
            </w:pPr>
            <w:r>
              <w:rPr>
                <w:sz w:val="26"/>
                <w:szCs w:val="26"/>
              </w:rPr>
              <w:t xml:space="preserve">The Goods that are complete and ready for shipment within 28 days after the Supplier’s receipt of the Notice of termination shall be accepted by the Purchaser at the Contract terms and prices. For the remaining Goods, the Purchaser may elect </w:t>
            </w:r>
          </w:p>
          <w:p w14:paraId="708C6DD4">
            <w:pPr>
              <w:pStyle w:val="5"/>
              <w:keepNext w:val="0"/>
              <w:keepLines w:val="0"/>
              <w:widowControl w:val="0"/>
              <w:numPr>
                <w:ilvl w:val="6"/>
                <w:numId w:val="31"/>
              </w:numPr>
              <w:spacing w:before="40" w:after="40" w:line="240" w:lineRule="auto"/>
              <w:ind w:left="294" w:hanging="293" w:hangingChars="113"/>
              <w:jc w:val="both"/>
              <w:rPr>
                <w:rFonts w:ascii="Times New Roman" w:hAnsi="Times New Roman"/>
                <w:b w:val="0"/>
                <w:i w:val="0"/>
                <w:color w:val="auto"/>
                <w:sz w:val="26"/>
                <w:szCs w:val="26"/>
                <w:lang w:val="en-US"/>
              </w:rPr>
            </w:pPr>
            <w:r>
              <w:rPr>
                <w:rFonts w:ascii="Times New Roman" w:hAnsi="Times New Roman"/>
                <w:b w:val="0"/>
                <w:i w:val="0"/>
                <w:color w:val="auto"/>
                <w:sz w:val="26"/>
                <w:szCs w:val="26"/>
              </w:rPr>
              <w:t>to</w:t>
            </w:r>
            <w:r>
              <w:rPr>
                <w:rFonts w:ascii="Times New Roman" w:hAnsi="Times New Roman"/>
                <w:color w:val="auto"/>
                <w:sz w:val="26"/>
                <w:szCs w:val="26"/>
              </w:rPr>
              <w:t xml:space="preserve"> </w:t>
            </w:r>
            <w:r>
              <w:rPr>
                <w:rFonts w:ascii="Times New Roman" w:hAnsi="Times New Roman"/>
                <w:b w:val="0"/>
                <w:i w:val="0"/>
                <w:color w:val="auto"/>
                <w:sz w:val="26"/>
                <w:szCs w:val="26"/>
              </w:rPr>
              <w:t>have any portion completed and delivered at the Contract terms and prices; and/or</w:t>
            </w:r>
            <w:r>
              <w:rPr>
                <w:rFonts w:ascii="Times New Roman" w:hAnsi="Times New Roman"/>
                <w:b w:val="0"/>
                <w:i w:val="0"/>
                <w:color w:val="auto"/>
                <w:sz w:val="26"/>
                <w:szCs w:val="26"/>
                <w:lang w:val="en-US"/>
              </w:rPr>
              <w:t>;</w:t>
            </w:r>
          </w:p>
          <w:p w14:paraId="708C6DD5">
            <w:pPr>
              <w:pStyle w:val="5"/>
              <w:keepNext w:val="0"/>
              <w:keepLines w:val="0"/>
              <w:widowControl w:val="0"/>
              <w:numPr>
                <w:ilvl w:val="6"/>
                <w:numId w:val="31"/>
              </w:numPr>
              <w:spacing w:before="40" w:after="40" w:line="240" w:lineRule="auto"/>
              <w:ind w:left="278" w:hanging="278" w:hangingChars="107"/>
              <w:jc w:val="both"/>
              <w:rPr>
                <w:rFonts w:ascii="Times New Roman" w:hAnsi="Times New Roman"/>
                <w:b w:val="0"/>
                <w:bCs w:val="0"/>
                <w:i w:val="0"/>
                <w:iCs w:val="0"/>
                <w:color w:val="auto"/>
                <w:sz w:val="26"/>
                <w:szCs w:val="26"/>
                <w:lang w:val="en-US"/>
              </w:rPr>
            </w:pPr>
            <w:r>
              <w:rPr>
                <w:rFonts w:ascii="Times New Roman" w:hAnsi="Times New Roman"/>
                <w:b w:val="0"/>
                <w:bCs w:val="0"/>
                <w:i w:val="0"/>
                <w:iCs w:val="0"/>
                <w:color w:val="000000" w:themeColor="text1"/>
                <w:sz w:val="26"/>
                <w:szCs w:val="26"/>
                <w14:textFill>
                  <w14:solidFill>
                    <w14:schemeClr w14:val="tx1"/>
                  </w14:solidFill>
                </w14:textFill>
              </w:rPr>
              <w:t>to cancel the remainder and pay to the Supplier an agreed amount for partially completed Goods and Related Services and for materials and parts previously procured by the Supplier.</w:t>
            </w:r>
          </w:p>
        </w:tc>
      </w:tr>
      <w:tr w14:paraId="708C6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08C6DD7">
            <w:pPr>
              <w:pStyle w:val="254"/>
              <w:widowControl w:val="0"/>
              <w:shd w:val="clear" w:color="auto" w:fill="FFFFFF"/>
              <w:tabs>
                <w:tab w:val="clear" w:pos="360"/>
              </w:tabs>
              <w:spacing w:before="40" w:after="40"/>
              <w:ind w:left="0" w:firstLine="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30 Export restrictions</w:t>
            </w:r>
          </w:p>
        </w:tc>
        <w:tc>
          <w:tcPr>
            <w:tcW w:w="6946" w:type="dxa"/>
          </w:tcPr>
          <w:p w14:paraId="708C6DD8">
            <w:pPr>
              <w:pStyle w:val="172"/>
              <w:numPr>
                <w:ilvl w:val="0"/>
                <w:numId w:val="0"/>
              </w:numPr>
            </w:pPr>
            <w:r>
              <w:t>In case the country or territory supplying goods or services has trade regulations that lead to export restrictions, causing difficulties for the Supplier in performing contractual obligations, the Supplier is not required to fulfill the obligation to deliver goods or perform services on the condition that the Supplier provides the Investor with documents proving that it has completed all necessary export procedures, including applying for a license or authorization to export goods or services under the contract. In this case, the Investor may terminate the contract with the Supplier.</w:t>
            </w:r>
          </w:p>
        </w:tc>
      </w:tr>
    </w:tbl>
    <w:p w14:paraId="708C6DDA">
      <w:pPr>
        <w:jc w:val="both"/>
        <w:rPr>
          <w:color w:val="000000" w:themeColor="text1"/>
          <w:sz w:val="26"/>
          <w:szCs w:val="26"/>
          <w14:textFill>
            <w14:solidFill>
              <w14:schemeClr w14:val="tx1"/>
            </w14:solidFill>
          </w14:textFill>
        </w:rPr>
      </w:pPr>
    </w:p>
    <w:p w14:paraId="708C6DDB">
      <w:pPr>
        <w:rPr>
          <w:color w:val="000000" w:themeColor="text1"/>
          <w:sz w:val="26"/>
          <w:szCs w:val="26"/>
          <w14:textFill>
            <w14:solidFill>
              <w14:schemeClr w14:val="tx1"/>
            </w14:solidFill>
          </w14:textFill>
        </w:rPr>
      </w:pPr>
    </w:p>
    <w:p w14:paraId="708C6DDC">
      <w:pPr>
        <w:rPr>
          <w:color w:val="000000" w:themeColor="text1"/>
          <w:sz w:val="26"/>
          <w:szCs w:val="26"/>
          <w14:textFill>
            <w14:solidFill>
              <w14:schemeClr w14:val="tx1"/>
            </w14:solidFill>
          </w14:textFill>
        </w:rPr>
      </w:pPr>
    </w:p>
    <w:p w14:paraId="708C6DDD">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br w:type="page"/>
      </w:r>
    </w:p>
    <w:p w14:paraId="708C6DDE">
      <w:pPr>
        <w:pStyle w:val="65"/>
        <w:widowControl w:val="0"/>
        <w:spacing w:before="120" w:after="120" w:line="264" w:lineRule="auto"/>
        <w:ind w:left="144" w:right="144"/>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 xml:space="preserve">Section VII. </w:t>
      </w:r>
      <w:bookmarkStart w:id="437" w:name="_Toc415063624"/>
      <w:r>
        <w:rPr>
          <w:color w:val="000000" w:themeColor="text1"/>
          <w:sz w:val="28"/>
          <w:szCs w:val="28"/>
          <w14:textFill>
            <w14:solidFill>
              <w14:schemeClr w14:val="tx1"/>
            </w14:solidFill>
          </w14:textFill>
        </w:rPr>
        <w:t>SPECIAL CONDITIONS OF CONTRACT</w:t>
      </w:r>
      <w:bookmarkEnd w:id="437"/>
    </w:p>
    <w:tbl>
      <w:tblPr>
        <w:tblStyle w:val="66"/>
        <w:tblW w:w="91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867"/>
      </w:tblGrid>
      <w:tr w14:paraId="708C6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08C6DDF">
            <w:pPr>
              <w:widowControl w:val="0"/>
              <w:spacing w:before="60" w:after="60" w:line="276" w:lineRule="auto"/>
              <w:ind w:right="34"/>
              <w:rPr>
                <w:b/>
                <w:color w:val="auto"/>
                <w:sz w:val="26"/>
                <w:szCs w:val="26"/>
              </w:rPr>
            </w:pPr>
            <w:r>
              <w:rPr>
                <w:b/>
                <w:color w:val="auto"/>
                <w:sz w:val="26"/>
                <w:szCs w:val="26"/>
              </w:rPr>
              <w:t>GCC 1.1</w:t>
            </w:r>
          </w:p>
        </w:tc>
        <w:tc>
          <w:tcPr>
            <w:tcW w:w="7867" w:type="dxa"/>
          </w:tcPr>
          <w:p w14:paraId="708C6DE0">
            <w:pPr>
              <w:widowControl w:val="0"/>
              <w:shd w:val="clear" w:color="auto" w:fill="FFFFFF"/>
              <w:spacing w:before="40" w:after="40" w:line="240" w:lineRule="auto"/>
              <w:jc w:val="both"/>
              <w:rPr>
                <w:color w:val="auto"/>
                <w:sz w:val="26"/>
                <w:szCs w:val="26"/>
              </w:rPr>
            </w:pPr>
            <w:r>
              <w:rPr>
                <w:color w:val="auto"/>
                <w:sz w:val="26"/>
                <w:szCs w:val="26"/>
              </w:rPr>
              <w:t>The Purchaser: National Power Transmission Corporation (EVNNPT)</w:t>
            </w:r>
          </w:p>
          <w:p w14:paraId="708C6DE1">
            <w:pPr>
              <w:pStyle w:val="10"/>
              <w:widowControl w:val="0"/>
              <w:numPr>
                <w:ilvl w:val="0"/>
                <w:numId w:val="0"/>
              </w:numPr>
              <w:spacing w:before="60" w:line="276" w:lineRule="auto"/>
              <w:ind w:left="-29"/>
              <w:rPr>
                <w:rFonts w:ascii="Times New Roman" w:hAnsi="Times New Roman"/>
                <w:b w:val="0"/>
                <w:i w:val="0"/>
                <w:iCs/>
                <w:color w:val="auto"/>
                <w:sz w:val="26"/>
                <w:szCs w:val="26"/>
              </w:rPr>
            </w:pPr>
            <w:r>
              <w:rPr>
                <w:rFonts w:ascii="Times New Roman" w:hAnsi="Times New Roman"/>
                <w:b w:val="0"/>
                <w:i w:val="0"/>
                <w:iCs/>
                <w:color w:val="auto"/>
                <w:sz w:val="26"/>
                <w:szCs w:val="26"/>
              </w:rPr>
              <w:t>The Purchaser’s Representative: Northern Power Projects Management Board</w:t>
            </w:r>
          </w:p>
          <w:p w14:paraId="708C6DE2">
            <w:pPr>
              <w:rPr>
                <w:color w:val="auto"/>
                <w:spacing w:val="-2"/>
                <w:sz w:val="26"/>
                <w:szCs w:val="26"/>
                <w:bdr w:val="single" w:color="E2E8F0" w:sz="2" w:space="0"/>
                <w:shd w:val="clear" w:color="auto" w:fill="FFFFFF"/>
              </w:rPr>
            </w:pPr>
            <w:r>
              <w:rPr>
                <w:color w:val="auto"/>
                <w:spacing w:val="-2"/>
                <w:sz w:val="26"/>
                <w:szCs w:val="26"/>
                <w:bdr w:val="single" w:color="E2E8F0" w:sz="2" w:space="0"/>
                <w:shd w:val="clear" w:color="auto" w:fill="FFFFFF"/>
              </w:rPr>
              <w:t>+ A/C number:  0000 0694 2935</w:t>
            </w:r>
          </w:p>
          <w:p w14:paraId="708C6DE3">
            <w:pPr>
              <w:rPr>
                <w:color w:val="auto"/>
                <w:lang w:eastAsia="zh-CN"/>
              </w:rPr>
            </w:pPr>
            <w:r>
              <w:rPr>
                <w:color w:val="auto"/>
                <w:spacing w:val="-2"/>
                <w:sz w:val="26"/>
                <w:szCs w:val="26"/>
                <w:bdr w:val="single" w:color="E2E8F0" w:sz="2" w:space="0"/>
                <w:shd w:val="clear" w:color="auto" w:fill="FFFFFF"/>
              </w:rPr>
              <w:t>+ Tại:  SeaBank –</w:t>
            </w:r>
            <w:r>
              <w:rPr>
                <w:color w:val="auto"/>
                <w:sz w:val="26"/>
                <w:szCs w:val="26"/>
              </w:rPr>
              <w:t xml:space="preserve"> </w:t>
            </w:r>
            <w:r>
              <w:rPr>
                <w:color w:val="auto"/>
                <w:spacing w:val="-2"/>
                <w:sz w:val="26"/>
                <w:szCs w:val="26"/>
                <w:bdr w:val="single" w:color="E2E8F0" w:sz="2" w:space="0"/>
                <w:shd w:val="clear" w:color="auto" w:fill="FFFFFF"/>
              </w:rPr>
              <w:t>Northern large enterprise customer center</w:t>
            </w:r>
          </w:p>
        </w:tc>
      </w:tr>
      <w:tr w14:paraId="708C6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08C6DE5">
            <w:pPr>
              <w:widowControl w:val="0"/>
              <w:spacing w:before="60" w:after="60" w:line="276" w:lineRule="auto"/>
              <w:ind w:right="34"/>
              <w:rPr>
                <w:color w:val="auto"/>
                <w:sz w:val="26"/>
                <w:szCs w:val="26"/>
              </w:rPr>
            </w:pPr>
            <w:r>
              <w:rPr>
                <w:b/>
                <w:color w:val="auto"/>
                <w:sz w:val="26"/>
                <w:szCs w:val="26"/>
              </w:rPr>
              <w:t>GCC 1.3</w:t>
            </w:r>
          </w:p>
        </w:tc>
        <w:tc>
          <w:tcPr>
            <w:tcW w:w="7867" w:type="dxa"/>
          </w:tcPr>
          <w:p w14:paraId="708C6DE6">
            <w:pPr>
              <w:pStyle w:val="10"/>
              <w:widowControl w:val="0"/>
              <w:numPr>
                <w:ilvl w:val="0"/>
                <w:numId w:val="0"/>
              </w:numPr>
              <w:spacing w:before="60" w:line="276" w:lineRule="auto"/>
              <w:ind w:left="1584" w:hanging="1584"/>
              <w:rPr>
                <w:rFonts w:ascii="Times New Roman" w:hAnsi="Times New Roman"/>
                <w:b w:val="0"/>
                <w:i w:val="0"/>
                <w:color w:val="auto"/>
                <w:sz w:val="26"/>
                <w:szCs w:val="26"/>
              </w:rPr>
            </w:pPr>
            <w:r>
              <w:rPr>
                <w:rFonts w:ascii="Times New Roman" w:hAnsi="Times New Roman"/>
                <w:color w:val="auto"/>
                <w:sz w:val="26"/>
                <w:szCs w:val="26"/>
              </w:rPr>
              <w:t xml:space="preserve">The Supplier is (Party B): </w:t>
            </w:r>
            <w:r>
              <w:rPr>
                <w:rFonts w:ascii="Times New Roman" w:hAnsi="Times New Roman"/>
                <w:b w:val="0"/>
                <w:color w:val="auto"/>
                <w:sz w:val="26"/>
                <w:szCs w:val="26"/>
              </w:rPr>
              <w:t>[Insert name of the successful Bidder]</w:t>
            </w:r>
          </w:p>
          <w:p w14:paraId="708C6DE7">
            <w:pPr>
              <w:pStyle w:val="10"/>
              <w:widowControl w:val="0"/>
              <w:numPr>
                <w:ilvl w:val="0"/>
                <w:numId w:val="0"/>
              </w:numPr>
              <w:tabs>
                <w:tab w:val="left" w:pos="1597"/>
                <w:tab w:val="left" w:leader="dot" w:pos="3721"/>
                <w:tab w:val="right" w:leader="dot" w:pos="7267"/>
                <w:tab w:val="clear" w:pos="1584"/>
              </w:tabs>
              <w:spacing w:before="60" w:line="276" w:lineRule="auto"/>
              <w:ind w:left="1584" w:hanging="1584"/>
              <w:rPr>
                <w:rFonts w:ascii="Times New Roman" w:hAnsi="Times New Roman"/>
                <w:b w:val="0"/>
                <w:color w:val="auto"/>
                <w:sz w:val="26"/>
                <w:szCs w:val="26"/>
              </w:rPr>
            </w:pPr>
            <w:r>
              <w:rPr>
                <w:rFonts w:ascii="Times New Roman" w:hAnsi="Times New Roman"/>
                <w:b w:val="0"/>
                <w:color w:val="auto"/>
                <w:sz w:val="26"/>
                <w:szCs w:val="26"/>
              </w:rPr>
              <w:t xml:space="preserve">Representative: </w:t>
            </w:r>
            <w:r>
              <w:rPr>
                <w:rFonts w:ascii="Times New Roman" w:hAnsi="Times New Roman"/>
                <w:b w:val="0"/>
                <w:color w:val="auto"/>
                <w:sz w:val="26"/>
                <w:szCs w:val="26"/>
              </w:rPr>
              <w:tab/>
            </w:r>
            <w:r>
              <w:rPr>
                <w:rFonts w:ascii="Times New Roman" w:hAnsi="Times New Roman"/>
                <w:b w:val="0"/>
                <w:color w:val="auto"/>
                <w:sz w:val="26"/>
                <w:szCs w:val="26"/>
              </w:rPr>
              <w:t>Position:</w:t>
            </w:r>
            <w:r>
              <w:rPr>
                <w:rFonts w:ascii="Times New Roman" w:hAnsi="Times New Roman"/>
                <w:b w:val="0"/>
                <w:color w:val="auto"/>
                <w:sz w:val="26"/>
                <w:szCs w:val="26"/>
              </w:rPr>
              <w:tab/>
            </w:r>
          </w:p>
          <w:p w14:paraId="708C6DE8">
            <w:pPr>
              <w:pStyle w:val="10"/>
              <w:widowControl w:val="0"/>
              <w:numPr>
                <w:ilvl w:val="0"/>
                <w:numId w:val="0"/>
              </w:numPr>
              <w:tabs>
                <w:tab w:val="right" w:leader="dot" w:pos="7267"/>
              </w:tabs>
              <w:spacing w:before="60" w:line="276" w:lineRule="auto"/>
              <w:ind w:left="1584" w:hanging="1584"/>
              <w:rPr>
                <w:rFonts w:ascii="Times New Roman" w:hAnsi="Times New Roman"/>
                <w:b w:val="0"/>
                <w:color w:val="auto"/>
                <w:sz w:val="26"/>
                <w:szCs w:val="26"/>
              </w:rPr>
            </w:pPr>
            <w:r>
              <w:rPr>
                <w:rFonts w:ascii="Times New Roman" w:hAnsi="Times New Roman"/>
                <w:b w:val="0"/>
                <w:color w:val="auto"/>
                <w:sz w:val="26"/>
                <w:szCs w:val="26"/>
              </w:rPr>
              <w:t xml:space="preserve">Address: </w:t>
            </w:r>
            <w:r>
              <w:rPr>
                <w:rFonts w:ascii="Times New Roman" w:hAnsi="Times New Roman"/>
                <w:color w:val="auto"/>
                <w:sz w:val="26"/>
                <w:szCs w:val="26"/>
              </w:rPr>
              <w:tab/>
            </w:r>
            <w:r>
              <w:rPr>
                <w:rFonts w:ascii="Times New Roman" w:hAnsi="Times New Roman"/>
                <w:b w:val="0"/>
                <w:color w:val="auto"/>
                <w:sz w:val="26"/>
                <w:szCs w:val="26"/>
              </w:rPr>
              <w:tab/>
            </w:r>
          </w:p>
          <w:p w14:paraId="708C6DE9">
            <w:pPr>
              <w:pStyle w:val="10"/>
              <w:widowControl w:val="0"/>
              <w:numPr>
                <w:ilvl w:val="0"/>
                <w:numId w:val="0"/>
              </w:numPr>
              <w:tabs>
                <w:tab w:val="left" w:leader="dot" w:pos="3721"/>
                <w:tab w:val="right" w:leader="dot" w:pos="7267"/>
              </w:tabs>
              <w:spacing w:before="60" w:line="276" w:lineRule="auto"/>
              <w:ind w:left="1584" w:hanging="1584"/>
              <w:rPr>
                <w:rFonts w:ascii="Times New Roman" w:hAnsi="Times New Roman"/>
                <w:b w:val="0"/>
                <w:color w:val="auto"/>
                <w:sz w:val="26"/>
                <w:szCs w:val="26"/>
              </w:rPr>
            </w:pPr>
            <w:r>
              <w:rPr>
                <w:rFonts w:ascii="Times New Roman" w:hAnsi="Times New Roman"/>
                <w:b w:val="0"/>
                <w:color w:val="auto"/>
                <w:sz w:val="26"/>
                <w:szCs w:val="26"/>
              </w:rPr>
              <w:t>Tel:</w:t>
            </w:r>
            <w:r>
              <w:rPr>
                <w:rFonts w:ascii="Times New Roman" w:hAnsi="Times New Roman"/>
                <w:color w:val="auto"/>
                <w:sz w:val="26"/>
                <w:szCs w:val="26"/>
              </w:rPr>
              <w:tab/>
            </w:r>
            <w:r>
              <w:rPr>
                <w:rFonts w:ascii="Times New Roman" w:hAnsi="Times New Roman"/>
                <w:b w:val="0"/>
                <w:color w:val="auto"/>
                <w:sz w:val="26"/>
                <w:szCs w:val="26"/>
              </w:rPr>
              <w:tab/>
            </w:r>
            <w:r>
              <w:rPr>
                <w:rFonts w:ascii="Times New Roman" w:hAnsi="Times New Roman"/>
                <w:b w:val="0"/>
                <w:color w:val="auto"/>
                <w:sz w:val="26"/>
                <w:szCs w:val="26"/>
              </w:rPr>
              <w:t xml:space="preserve">Fax : </w:t>
            </w:r>
            <w:r>
              <w:rPr>
                <w:rFonts w:ascii="Times New Roman" w:hAnsi="Times New Roman"/>
                <w:b w:val="0"/>
                <w:color w:val="auto"/>
                <w:sz w:val="26"/>
                <w:szCs w:val="26"/>
              </w:rPr>
              <w:tab/>
            </w:r>
          </w:p>
          <w:p w14:paraId="708C6DEA">
            <w:pPr>
              <w:pStyle w:val="10"/>
              <w:widowControl w:val="0"/>
              <w:numPr>
                <w:ilvl w:val="0"/>
                <w:numId w:val="0"/>
              </w:numPr>
              <w:tabs>
                <w:tab w:val="left" w:pos="1597"/>
                <w:tab w:val="right" w:leader="dot" w:pos="7267"/>
                <w:tab w:val="clear" w:pos="1584"/>
              </w:tabs>
              <w:spacing w:before="60" w:line="276" w:lineRule="auto"/>
              <w:ind w:left="1584" w:hanging="1584"/>
              <w:rPr>
                <w:rFonts w:ascii="Times New Roman" w:hAnsi="Times New Roman"/>
                <w:b w:val="0"/>
                <w:color w:val="auto"/>
                <w:sz w:val="26"/>
                <w:szCs w:val="26"/>
              </w:rPr>
            </w:pPr>
            <w:r>
              <w:rPr>
                <w:rFonts w:ascii="Times New Roman" w:hAnsi="Times New Roman"/>
                <w:b w:val="0"/>
                <w:color w:val="auto"/>
                <w:sz w:val="26"/>
                <w:szCs w:val="26"/>
              </w:rPr>
              <w:t>Bank account:</w:t>
            </w:r>
            <w:r>
              <w:rPr>
                <w:rFonts w:ascii="Times New Roman" w:hAnsi="Times New Roman"/>
                <w:color w:val="auto"/>
                <w:sz w:val="26"/>
                <w:szCs w:val="26"/>
              </w:rPr>
              <w:tab/>
            </w:r>
            <w:r>
              <w:rPr>
                <w:rFonts w:ascii="Times New Roman" w:hAnsi="Times New Roman"/>
                <w:b w:val="0"/>
                <w:color w:val="auto"/>
                <w:sz w:val="26"/>
                <w:szCs w:val="26"/>
              </w:rPr>
              <w:tab/>
            </w:r>
          </w:p>
          <w:p w14:paraId="708C6DEB">
            <w:pPr>
              <w:pStyle w:val="10"/>
              <w:widowControl w:val="0"/>
              <w:numPr>
                <w:ilvl w:val="0"/>
                <w:numId w:val="0"/>
              </w:numPr>
              <w:tabs>
                <w:tab w:val="left" w:pos="1597"/>
                <w:tab w:val="right" w:leader="dot" w:pos="7267"/>
                <w:tab w:val="clear" w:pos="1584"/>
              </w:tabs>
              <w:spacing w:before="60" w:line="276" w:lineRule="auto"/>
              <w:ind w:left="1584" w:hanging="1584"/>
              <w:rPr>
                <w:rFonts w:ascii="Times New Roman" w:hAnsi="Times New Roman"/>
                <w:color w:val="auto"/>
                <w:sz w:val="26"/>
                <w:szCs w:val="26"/>
              </w:rPr>
            </w:pPr>
            <w:r>
              <w:rPr>
                <w:rFonts w:ascii="Times New Roman" w:hAnsi="Times New Roman"/>
                <w:b w:val="0"/>
                <w:color w:val="auto"/>
                <w:sz w:val="26"/>
                <w:szCs w:val="26"/>
              </w:rPr>
              <w:t xml:space="preserve">Tax code: </w:t>
            </w:r>
            <w:r>
              <w:rPr>
                <w:rFonts w:ascii="Times New Roman" w:hAnsi="Times New Roman"/>
                <w:color w:val="auto"/>
                <w:sz w:val="26"/>
                <w:szCs w:val="26"/>
              </w:rPr>
              <w:tab/>
            </w:r>
            <w:r>
              <w:rPr>
                <w:rFonts w:ascii="Times New Roman" w:hAnsi="Times New Roman"/>
                <w:b w:val="0"/>
                <w:color w:val="auto"/>
                <w:sz w:val="26"/>
                <w:szCs w:val="26"/>
              </w:rPr>
              <w:tab/>
            </w:r>
          </w:p>
        </w:tc>
      </w:tr>
      <w:tr w14:paraId="708C6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08C6DED">
            <w:pPr>
              <w:widowControl w:val="0"/>
              <w:spacing w:before="60" w:after="60" w:line="276" w:lineRule="auto"/>
              <w:ind w:right="34"/>
              <w:rPr>
                <w:b/>
                <w:color w:val="auto"/>
                <w:sz w:val="26"/>
                <w:szCs w:val="26"/>
              </w:rPr>
            </w:pPr>
            <w:r>
              <w:rPr>
                <w:b/>
                <w:color w:val="auto"/>
                <w:sz w:val="26"/>
                <w:szCs w:val="26"/>
              </w:rPr>
              <w:t>GCC 1.11</w:t>
            </w:r>
          </w:p>
        </w:tc>
        <w:tc>
          <w:tcPr>
            <w:tcW w:w="7867" w:type="dxa"/>
          </w:tcPr>
          <w:p w14:paraId="708C6DEE">
            <w:pPr>
              <w:pStyle w:val="10"/>
              <w:widowControl w:val="0"/>
              <w:numPr>
                <w:ilvl w:val="0"/>
                <w:numId w:val="0"/>
              </w:numPr>
              <w:spacing w:before="60" w:line="276" w:lineRule="auto"/>
              <w:rPr>
                <w:rFonts w:ascii="Times New Roman" w:hAnsi="Times New Roman"/>
                <w:b w:val="0"/>
                <w:bCs/>
                <w:i w:val="0"/>
                <w:color w:val="auto"/>
                <w:sz w:val="26"/>
                <w:szCs w:val="26"/>
              </w:rPr>
            </w:pPr>
            <w:r>
              <w:rPr>
                <w:rFonts w:ascii="Times New Roman" w:hAnsi="Times New Roman"/>
                <w:b w:val="0"/>
                <w:bCs/>
                <w:i w:val="0"/>
                <w:color w:val="auto"/>
                <w:sz w:val="26"/>
                <w:szCs w:val="26"/>
              </w:rPr>
              <w:t>Project site: 500kV Hai Phong substation is located in: An Quang Commune, Hai Phong City, S.R Vietnam</w:t>
            </w:r>
            <w:r>
              <w:rPr>
                <w:rFonts w:ascii="Times New Roman" w:hAnsi="Times New Roman"/>
                <w:b w:val="0"/>
                <w:bCs/>
                <w:iCs/>
                <w:color w:val="auto"/>
                <w:sz w:val="26"/>
                <w:szCs w:val="26"/>
              </w:rPr>
              <w:t xml:space="preserve"> (shall be clarified in the period of contract negotiatio</w:t>
            </w:r>
            <w:r>
              <w:rPr>
                <w:rFonts w:ascii="Times New Roman" w:hAnsi="Times New Roman"/>
                <w:b w:val="0"/>
                <w:bCs/>
                <w:color w:val="auto"/>
                <w:sz w:val="26"/>
                <w:szCs w:val="26"/>
              </w:rPr>
              <w:t>n).</w:t>
            </w:r>
          </w:p>
        </w:tc>
      </w:tr>
      <w:tr w14:paraId="708C6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08C6DF0">
            <w:pPr>
              <w:widowControl w:val="0"/>
              <w:spacing w:before="60" w:after="60" w:line="276" w:lineRule="auto"/>
              <w:ind w:right="34"/>
              <w:rPr>
                <w:b/>
                <w:color w:val="auto"/>
                <w:sz w:val="26"/>
                <w:szCs w:val="26"/>
              </w:rPr>
            </w:pPr>
            <w:r>
              <w:rPr>
                <w:b/>
                <w:color w:val="auto"/>
                <w:sz w:val="26"/>
                <w:szCs w:val="26"/>
              </w:rPr>
              <w:t>GCC 2.2</w:t>
            </w:r>
          </w:p>
        </w:tc>
        <w:tc>
          <w:tcPr>
            <w:tcW w:w="7867" w:type="dxa"/>
          </w:tcPr>
          <w:p w14:paraId="708C6DF1">
            <w:pPr>
              <w:widowControl w:val="0"/>
              <w:tabs>
                <w:tab w:val="right" w:pos="7164"/>
              </w:tabs>
              <w:spacing w:before="60" w:after="60" w:line="276" w:lineRule="auto"/>
              <w:jc w:val="both"/>
              <w:rPr>
                <w:color w:val="auto"/>
                <w:sz w:val="26"/>
                <w:szCs w:val="26"/>
              </w:rPr>
            </w:pPr>
            <w:r>
              <w:rPr>
                <w:color w:val="auto"/>
                <w:sz w:val="26"/>
                <w:szCs w:val="26"/>
              </w:rPr>
              <w:t>The following documents are also part of the contract: __</w:t>
            </w:r>
            <w:r>
              <w:rPr>
                <w:i/>
                <w:color w:val="auto"/>
                <w:sz w:val="26"/>
                <w:szCs w:val="26"/>
              </w:rPr>
              <w:t>[insert additional documents, if any].</w:t>
            </w:r>
          </w:p>
        </w:tc>
      </w:tr>
      <w:tr w14:paraId="708C6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08C6DF3">
            <w:pPr>
              <w:widowControl w:val="0"/>
              <w:spacing w:before="60" w:after="60" w:line="276" w:lineRule="auto"/>
              <w:ind w:right="34"/>
              <w:rPr>
                <w:b/>
                <w:color w:val="auto"/>
                <w:sz w:val="26"/>
                <w:szCs w:val="26"/>
              </w:rPr>
            </w:pPr>
            <w:r>
              <w:rPr>
                <w:b/>
                <w:color w:val="auto"/>
                <w:sz w:val="26"/>
                <w:szCs w:val="26"/>
              </w:rPr>
              <w:t>GCC 3</w:t>
            </w:r>
          </w:p>
        </w:tc>
        <w:tc>
          <w:tcPr>
            <w:tcW w:w="7867" w:type="dxa"/>
          </w:tcPr>
          <w:p w14:paraId="708C6DF4">
            <w:pPr>
              <w:keepNext/>
              <w:tabs>
                <w:tab w:val="right" w:pos="7164"/>
              </w:tabs>
              <w:spacing w:line="320" w:lineRule="atLeast"/>
              <w:jc w:val="both"/>
              <w:rPr>
                <w:color w:val="auto"/>
                <w:sz w:val="26"/>
                <w:szCs w:val="26"/>
              </w:rPr>
            </w:pPr>
            <w:r>
              <w:rPr>
                <w:rStyle w:val="331"/>
                <w:rFonts w:ascii="Times New Roman" w:hAnsi="Times New Roman"/>
                <w:color w:val="auto"/>
              </w:rPr>
              <w:t>According to Document No. 2594/EVNNPT-QLĐT dated July 12, 2022 of EVNNPT on</w:t>
            </w:r>
            <w:r>
              <w:rPr>
                <w:i/>
                <w:iCs/>
                <w:color w:val="auto"/>
                <w:sz w:val="26"/>
                <w:szCs w:val="26"/>
              </w:rPr>
              <w:t xml:space="preserve"> </w:t>
            </w:r>
            <w:r>
              <w:rPr>
                <w:rStyle w:val="331"/>
                <w:rFonts w:ascii="Times New Roman" w:hAnsi="Times New Roman"/>
                <w:color w:val="auto"/>
              </w:rPr>
              <w:t xml:space="preserve">language used in </w:t>
            </w:r>
            <w:r>
              <w:rPr>
                <w:color w:val="auto"/>
                <w:sz w:val="26"/>
                <w:szCs w:val="26"/>
              </w:rPr>
              <w:t>International Competitive Bidding</w:t>
            </w:r>
            <w:r>
              <w:rPr>
                <w:rStyle w:val="331"/>
                <w:rFonts w:ascii="Times New Roman" w:hAnsi="Times New Roman"/>
                <w:color w:val="auto"/>
              </w:rPr>
              <w:t xml:space="preserve"> and Contract</w:t>
            </w:r>
          </w:p>
        </w:tc>
      </w:tr>
      <w:tr w14:paraId="708C6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08C6DF6">
            <w:pPr>
              <w:widowControl w:val="0"/>
              <w:spacing w:before="60" w:after="60" w:line="276" w:lineRule="auto"/>
              <w:ind w:right="34"/>
              <w:rPr>
                <w:b/>
                <w:color w:val="auto"/>
                <w:sz w:val="26"/>
                <w:szCs w:val="26"/>
              </w:rPr>
            </w:pPr>
            <w:r>
              <w:rPr>
                <w:b/>
                <w:color w:val="auto"/>
                <w:sz w:val="26"/>
                <w:szCs w:val="26"/>
              </w:rPr>
              <w:t>GCC 4.1</w:t>
            </w:r>
          </w:p>
        </w:tc>
        <w:tc>
          <w:tcPr>
            <w:tcW w:w="7867" w:type="dxa"/>
          </w:tcPr>
          <w:p w14:paraId="708C6DF7">
            <w:pPr>
              <w:widowControl w:val="0"/>
              <w:tabs>
                <w:tab w:val="right" w:pos="7164"/>
              </w:tabs>
              <w:spacing w:before="60" w:after="60"/>
              <w:jc w:val="both"/>
              <w:rPr>
                <w:color w:val="auto"/>
                <w:sz w:val="26"/>
                <w:szCs w:val="26"/>
              </w:rPr>
            </w:pPr>
            <w:r>
              <w:rPr>
                <w:color w:val="auto"/>
                <w:sz w:val="26"/>
                <w:szCs w:val="26"/>
              </w:rPr>
              <w:t xml:space="preserve">For </w:t>
            </w:r>
            <w:r>
              <w:rPr>
                <w:b/>
                <w:color w:val="auto"/>
                <w:sz w:val="26"/>
                <w:szCs w:val="26"/>
                <w:u w:val="single"/>
              </w:rPr>
              <w:t>notices</w:t>
            </w:r>
            <w:r>
              <w:rPr>
                <w:color w:val="auto"/>
                <w:sz w:val="26"/>
                <w:szCs w:val="26"/>
              </w:rPr>
              <w:t>, address of the Purchaser’s representative shall be:</w:t>
            </w:r>
          </w:p>
          <w:p w14:paraId="708C6DF8">
            <w:pPr>
              <w:widowControl w:val="0"/>
              <w:tabs>
                <w:tab w:val="right" w:pos="7164"/>
              </w:tabs>
              <w:spacing w:before="60" w:after="60"/>
              <w:ind w:firstLine="340"/>
              <w:jc w:val="both"/>
              <w:rPr>
                <w:color w:val="auto"/>
                <w:sz w:val="26"/>
                <w:szCs w:val="26"/>
              </w:rPr>
            </w:pPr>
            <w:r>
              <w:rPr>
                <w:color w:val="auto"/>
                <w:sz w:val="26"/>
                <w:szCs w:val="26"/>
              </w:rPr>
              <w:t xml:space="preserve">Attention: Northern Power Projects Management Board </w:t>
            </w:r>
          </w:p>
          <w:p w14:paraId="708C6DF9">
            <w:pPr>
              <w:widowControl w:val="0"/>
              <w:tabs>
                <w:tab w:val="right" w:pos="7164"/>
              </w:tabs>
              <w:spacing w:before="60" w:after="60"/>
              <w:ind w:firstLine="340"/>
              <w:jc w:val="both"/>
              <w:rPr>
                <w:color w:val="auto"/>
                <w:sz w:val="26"/>
                <w:szCs w:val="26"/>
              </w:rPr>
            </w:pPr>
            <w:r>
              <w:rPr>
                <w:color w:val="auto"/>
                <w:sz w:val="26"/>
                <w:szCs w:val="26"/>
              </w:rPr>
              <w:t>Address: No.4 Nguyen Khac Nhu Street, Ba Dinh Ward, Hanoi, S.R Vietnam</w:t>
            </w:r>
          </w:p>
          <w:p w14:paraId="708C6DFA">
            <w:pPr>
              <w:widowControl w:val="0"/>
              <w:tabs>
                <w:tab w:val="right" w:pos="7164"/>
              </w:tabs>
              <w:spacing w:before="60" w:after="60"/>
              <w:ind w:firstLine="340"/>
              <w:jc w:val="both"/>
              <w:rPr>
                <w:color w:val="auto"/>
                <w:sz w:val="26"/>
                <w:szCs w:val="26"/>
              </w:rPr>
            </w:pPr>
            <w:r>
              <w:rPr>
                <w:color w:val="auto"/>
                <w:sz w:val="26"/>
                <w:szCs w:val="26"/>
              </w:rPr>
              <w:t xml:space="preserve">Tel :  </w:t>
            </w:r>
          </w:p>
          <w:p w14:paraId="708C6DFB">
            <w:pPr>
              <w:widowControl w:val="0"/>
              <w:tabs>
                <w:tab w:val="right" w:pos="7164"/>
              </w:tabs>
              <w:spacing w:before="60" w:after="60"/>
              <w:ind w:firstLine="340"/>
              <w:jc w:val="both"/>
              <w:rPr>
                <w:color w:val="auto"/>
                <w:sz w:val="26"/>
                <w:szCs w:val="26"/>
              </w:rPr>
            </w:pPr>
            <w:r>
              <w:rPr>
                <w:color w:val="auto"/>
                <w:sz w:val="26"/>
                <w:szCs w:val="26"/>
              </w:rPr>
              <w:t xml:space="preserve">Fax : </w:t>
            </w:r>
          </w:p>
          <w:p w14:paraId="708C6DFC">
            <w:pPr>
              <w:widowControl w:val="0"/>
              <w:tabs>
                <w:tab w:val="right" w:pos="7164"/>
              </w:tabs>
              <w:spacing w:before="60" w:after="60"/>
              <w:jc w:val="both"/>
              <w:rPr>
                <w:color w:val="auto"/>
                <w:sz w:val="26"/>
                <w:szCs w:val="26"/>
              </w:rPr>
            </w:pPr>
            <w:r>
              <w:rPr>
                <w:color w:val="auto"/>
                <w:sz w:val="26"/>
                <w:szCs w:val="26"/>
              </w:rPr>
              <w:t xml:space="preserve">For </w:t>
            </w:r>
            <w:r>
              <w:rPr>
                <w:b/>
                <w:color w:val="auto"/>
                <w:sz w:val="26"/>
                <w:szCs w:val="26"/>
                <w:u w:val="single"/>
              </w:rPr>
              <w:t>notices</w:t>
            </w:r>
            <w:r>
              <w:rPr>
                <w:color w:val="auto"/>
                <w:sz w:val="26"/>
                <w:szCs w:val="26"/>
              </w:rPr>
              <w:t>, the Supplier’s address shall be:</w:t>
            </w:r>
          </w:p>
          <w:p w14:paraId="708C6DFD">
            <w:pPr>
              <w:widowControl w:val="0"/>
              <w:tabs>
                <w:tab w:val="right" w:pos="4173"/>
              </w:tabs>
              <w:spacing w:before="60" w:after="60"/>
              <w:ind w:firstLine="340"/>
              <w:jc w:val="both"/>
              <w:rPr>
                <w:color w:val="auto"/>
                <w:sz w:val="26"/>
                <w:szCs w:val="26"/>
              </w:rPr>
            </w:pPr>
            <w:r>
              <w:rPr>
                <w:color w:val="auto"/>
                <w:sz w:val="26"/>
                <w:szCs w:val="26"/>
              </w:rPr>
              <w:t>Attention:</w:t>
            </w:r>
            <w:r>
              <w:rPr>
                <w:color w:val="auto"/>
                <w:sz w:val="26"/>
                <w:szCs w:val="26"/>
              </w:rPr>
              <w:tab/>
            </w:r>
            <w:r>
              <w:rPr>
                <w:color w:val="auto"/>
                <w:sz w:val="26"/>
                <w:szCs w:val="26"/>
              </w:rPr>
              <w:t xml:space="preserve"> __________________</w:t>
            </w:r>
            <w:r>
              <w:rPr>
                <w:color w:val="auto"/>
                <w:sz w:val="26"/>
                <w:szCs w:val="26"/>
              </w:rPr>
              <w:tab/>
            </w:r>
          </w:p>
          <w:p w14:paraId="708C6DFE">
            <w:pPr>
              <w:widowControl w:val="0"/>
              <w:tabs>
                <w:tab w:val="right" w:pos="4173"/>
              </w:tabs>
              <w:spacing w:before="60" w:after="60"/>
              <w:ind w:firstLine="340"/>
              <w:jc w:val="both"/>
              <w:rPr>
                <w:color w:val="auto"/>
                <w:sz w:val="26"/>
                <w:szCs w:val="26"/>
              </w:rPr>
            </w:pPr>
            <w:r>
              <w:rPr>
                <w:color w:val="auto"/>
                <w:sz w:val="26"/>
                <w:szCs w:val="26"/>
              </w:rPr>
              <w:t xml:space="preserve">Address: </w:t>
            </w:r>
            <w:r>
              <w:rPr>
                <w:color w:val="auto"/>
                <w:sz w:val="26"/>
                <w:szCs w:val="26"/>
              </w:rPr>
              <w:tab/>
            </w:r>
            <w:r>
              <w:rPr>
                <w:color w:val="auto"/>
                <w:sz w:val="26"/>
                <w:szCs w:val="26"/>
              </w:rPr>
              <w:t>___________________</w:t>
            </w:r>
          </w:p>
          <w:p w14:paraId="708C6DFF">
            <w:pPr>
              <w:widowControl w:val="0"/>
              <w:tabs>
                <w:tab w:val="right" w:pos="4173"/>
              </w:tabs>
              <w:spacing w:before="60" w:after="60"/>
              <w:ind w:firstLine="340"/>
              <w:jc w:val="both"/>
              <w:rPr>
                <w:color w:val="auto"/>
                <w:sz w:val="26"/>
                <w:szCs w:val="26"/>
              </w:rPr>
            </w:pPr>
            <w:r>
              <w:rPr>
                <w:color w:val="auto"/>
                <w:sz w:val="26"/>
                <w:szCs w:val="26"/>
              </w:rPr>
              <w:t xml:space="preserve">Tel : </w:t>
            </w:r>
            <w:r>
              <w:rPr>
                <w:color w:val="auto"/>
                <w:sz w:val="26"/>
                <w:szCs w:val="26"/>
              </w:rPr>
              <w:tab/>
            </w:r>
            <w:r>
              <w:rPr>
                <w:color w:val="auto"/>
                <w:sz w:val="26"/>
                <w:szCs w:val="26"/>
              </w:rPr>
              <w:t>_______________________</w:t>
            </w:r>
          </w:p>
          <w:p w14:paraId="708C6E00">
            <w:pPr>
              <w:spacing w:line="320" w:lineRule="atLeast"/>
              <w:jc w:val="both"/>
              <w:rPr>
                <w:color w:val="auto"/>
                <w:sz w:val="26"/>
                <w:szCs w:val="26"/>
              </w:rPr>
            </w:pPr>
            <w:r>
              <w:rPr>
                <w:color w:val="auto"/>
                <w:sz w:val="26"/>
                <w:szCs w:val="26"/>
              </w:rPr>
              <w:t xml:space="preserve">Fax : </w:t>
            </w:r>
            <w:r>
              <w:rPr>
                <w:color w:val="auto"/>
                <w:sz w:val="26"/>
                <w:szCs w:val="26"/>
              </w:rPr>
              <w:tab/>
            </w:r>
            <w:r>
              <w:rPr>
                <w:color w:val="auto"/>
                <w:sz w:val="26"/>
                <w:szCs w:val="26"/>
              </w:rPr>
              <w:t>_______________________</w:t>
            </w:r>
          </w:p>
        </w:tc>
      </w:tr>
      <w:tr w14:paraId="708C6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08C6E02">
            <w:pPr>
              <w:widowControl w:val="0"/>
              <w:spacing w:before="60" w:after="60" w:line="276" w:lineRule="auto"/>
              <w:ind w:right="34"/>
              <w:rPr>
                <w:b/>
                <w:color w:val="auto"/>
                <w:sz w:val="26"/>
                <w:szCs w:val="26"/>
              </w:rPr>
            </w:pPr>
            <w:r>
              <w:rPr>
                <w:b/>
                <w:color w:val="auto"/>
                <w:sz w:val="26"/>
                <w:szCs w:val="26"/>
              </w:rPr>
              <w:t>GCC 5.1</w:t>
            </w:r>
          </w:p>
          <w:p w14:paraId="708C6E03">
            <w:pPr>
              <w:rPr>
                <w:color w:val="auto"/>
                <w:sz w:val="26"/>
                <w:szCs w:val="26"/>
              </w:rPr>
            </w:pPr>
          </w:p>
          <w:p w14:paraId="708C6E04">
            <w:pPr>
              <w:rPr>
                <w:color w:val="auto"/>
                <w:sz w:val="26"/>
                <w:szCs w:val="26"/>
              </w:rPr>
            </w:pPr>
          </w:p>
          <w:p w14:paraId="708C6E05">
            <w:pPr>
              <w:rPr>
                <w:color w:val="auto"/>
                <w:sz w:val="26"/>
                <w:szCs w:val="26"/>
              </w:rPr>
            </w:pPr>
          </w:p>
          <w:p w14:paraId="708C6E06">
            <w:pPr>
              <w:rPr>
                <w:color w:val="auto"/>
                <w:sz w:val="26"/>
                <w:szCs w:val="26"/>
              </w:rPr>
            </w:pPr>
          </w:p>
          <w:p w14:paraId="708C6E07">
            <w:pPr>
              <w:rPr>
                <w:color w:val="auto"/>
                <w:sz w:val="26"/>
                <w:szCs w:val="26"/>
              </w:rPr>
            </w:pPr>
          </w:p>
          <w:p w14:paraId="708C6E08">
            <w:pPr>
              <w:jc w:val="center"/>
              <w:rPr>
                <w:color w:val="auto"/>
                <w:sz w:val="26"/>
                <w:szCs w:val="26"/>
              </w:rPr>
            </w:pPr>
          </w:p>
        </w:tc>
        <w:tc>
          <w:tcPr>
            <w:tcW w:w="7867" w:type="dxa"/>
          </w:tcPr>
          <w:p w14:paraId="708C6E09">
            <w:pPr>
              <w:widowControl w:val="0"/>
              <w:shd w:val="clear" w:color="auto" w:fill="FFFFFF"/>
              <w:spacing w:before="40" w:after="40" w:line="240" w:lineRule="auto"/>
              <w:jc w:val="both"/>
              <w:rPr>
                <w:color w:val="auto"/>
                <w:sz w:val="26"/>
                <w:szCs w:val="26"/>
              </w:rPr>
            </w:pPr>
            <w:r>
              <w:rPr>
                <w:color w:val="auto"/>
                <w:sz w:val="26"/>
                <w:szCs w:val="26"/>
              </w:rPr>
              <w:t>- The amount of Performance Security shall be of ten percent (10%) of Contract Price.</w:t>
            </w:r>
          </w:p>
          <w:p w14:paraId="708C6E0A">
            <w:pPr>
              <w:widowControl w:val="0"/>
              <w:shd w:val="clear" w:color="auto" w:fill="FFFFFF"/>
              <w:spacing w:before="40" w:after="40" w:line="240" w:lineRule="auto"/>
              <w:jc w:val="both"/>
              <w:rPr>
                <w:color w:val="auto"/>
                <w:sz w:val="26"/>
                <w:szCs w:val="26"/>
              </w:rPr>
            </w:pPr>
            <w:r>
              <w:rPr>
                <w:color w:val="auto"/>
                <w:sz w:val="26"/>
                <w:szCs w:val="26"/>
              </w:rPr>
              <w:t>- The performance security shall be valid from the effective date of the contract until the end of the 30th day after all goods and related services (if any) are completed and Purchaser received warranty security.</w:t>
            </w:r>
          </w:p>
          <w:p w14:paraId="708C6E0B">
            <w:pPr>
              <w:widowControl w:val="0"/>
              <w:spacing w:before="40" w:after="40" w:line="240" w:lineRule="auto"/>
              <w:jc w:val="both"/>
              <w:rPr>
                <w:color w:val="auto"/>
                <w:sz w:val="26"/>
                <w:szCs w:val="26"/>
              </w:rPr>
            </w:pPr>
            <w:r>
              <w:rPr>
                <w:color w:val="auto"/>
                <w:sz w:val="26"/>
                <w:szCs w:val="26"/>
              </w:rPr>
              <w:t>- In case up to the expiry date of Performance Security, but the Supplier has not yet fulfilled all requirements of the contract, the Supplier shall accordingly extend the Performance security. This cost shall be borne by the Supplier.</w:t>
            </w:r>
          </w:p>
          <w:p w14:paraId="708C6E0C">
            <w:pPr>
              <w:widowControl w:val="0"/>
              <w:shd w:val="clear" w:color="auto" w:fill="FFFFFF"/>
              <w:spacing w:before="40" w:after="40" w:line="240" w:lineRule="auto"/>
              <w:jc w:val="both"/>
              <w:rPr>
                <w:color w:val="auto"/>
                <w:sz w:val="26"/>
                <w:szCs w:val="26"/>
              </w:rPr>
            </w:pPr>
            <w:r>
              <w:rPr>
                <w:color w:val="auto"/>
                <w:sz w:val="26"/>
                <w:szCs w:val="26"/>
              </w:rPr>
              <w:t>- In case of consortium, each member must submit a contract performance security with a level of security corresponding to the contract value that each member performs. If the consortium has an agreement that the leader of the consortium shall submit the contract performance security, the leader of the consortium shall submit the performance security with a value of ten percent (10%) of the contract value and each consortium member must submit a contract performance security to the leader of the consortium corresponding to the contract value performed by them.</w:t>
            </w:r>
          </w:p>
          <w:p w14:paraId="708C6E0D">
            <w:pPr>
              <w:widowControl w:val="0"/>
              <w:shd w:val="clear" w:color="auto" w:fill="FFFFFF"/>
              <w:spacing w:before="40" w:after="40" w:line="240" w:lineRule="auto"/>
              <w:jc w:val="both"/>
              <w:rPr>
                <w:color w:val="auto"/>
                <w:sz w:val="26"/>
                <w:szCs w:val="26"/>
              </w:rPr>
            </w:pPr>
            <w:r>
              <w:rPr>
                <w:color w:val="auto"/>
                <w:sz w:val="26"/>
                <w:szCs w:val="26"/>
              </w:rPr>
              <w:t>- During the contract performance, the Supplier must ensure that the contract performance security value is ten percent (10%) of the contract value in all cases.</w:t>
            </w:r>
          </w:p>
          <w:p w14:paraId="708C6E0E">
            <w:pPr>
              <w:widowControl w:val="0"/>
              <w:shd w:val="clear" w:color="auto" w:fill="FFFFFF"/>
              <w:spacing w:before="40" w:after="40" w:line="240" w:lineRule="auto"/>
              <w:jc w:val="both"/>
              <w:outlineLvl w:val="3"/>
              <w:rPr>
                <w:color w:val="auto"/>
                <w:sz w:val="26"/>
                <w:szCs w:val="26"/>
              </w:rPr>
            </w:pPr>
            <w:r>
              <w:rPr>
                <w:color w:val="auto"/>
                <w:sz w:val="26"/>
                <w:szCs w:val="26"/>
              </w:rPr>
              <w:t>- The Supplier shall not be reimbursed its performance security in the following cases:</w:t>
            </w:r>
          </w:p>
          <w:p w14:paraId="708C6E0F">
            <w:pPr>
              <w:widowControl w:val="0"/>
              <w:shd w:val="clear" w:color="auto" w:fill="FFFFFF"/>
              <w:spacing w:before="40" w:after="40" w:line="240" w:lineRule="auto"/>
              <w:ind w:left="170"/>
              <w:jc w:val="both"/>
              <w:outlineLvl w:val="3"/>
              <w:rPr>
                <w:color w:val="auto"/>
                <w:sz w:val="26"/>
                <w:szCs w:val="26"/>
              </w:rPr>
            </w:pPr>
            <w:r>
              <w:rPr>
                <w:color w:val="auto"/>
                <w:sz w:val="26"/>
                <w:szCs w:val="26"/>
              </w:rPr>
              <w:t>a) Refusing to perform the contract after contract’s effectiveness;</w:t>
            </w:r>
          </w:p>
          <w:p w14:paraId="708C6E10">
            <w:pPr>
              <w:widowControl w:val="0"/>
              <w:shd w:val="clear" w:color="auto" w:fill="FFFFFF"/>
              <w:spacing w:before="40" w:after="40" w:line="240" w:lineRule="auto"/>
              <w:ind w:left="170"/>
              <w:jc w:val="both"/>
              <w:outlineLvl w:val="3"/>
              <w:rPr>
                <w:color w:val="auto"/>
                <w:sz w:val="26"/>
                <w:szCs w:val="26"/>
              </w:rPr>
            </w:pPr>
            <w:r>
              <w:rPr>
                <w:color w:val="auto"/>
                <w:sz w:val="26"/>
                <w:szCs w:val="26"/>
              </w:rPr>
              <w:t>b) Breach of contract agreements;</w:t>
            </w:r>
          </w:p>
          <w:p w14:paraId="708C6E11">
            <w:pPr>
              <w:widowControl w:val="0"/>
              <w:shd w:val="clear" w:color="auto" w:fill="FFFFFF"/>
              <w:spacing w:before="40" w:after="40" w:line="240" w:lineRule="auto"/>
              <w:jc w:val="both"/>
              <w:rPr>
                <w:color w:val="auto"/>
                <w:sz w:val="26"/>
                <w:szCs w:val="26"/>
              </w:rPr>
            </w:pPr>
            <w:r>
              <w:rPr>
                <w:color w:val="auto"/>
                <w:sz w:val="26"/>
                <w:szCs w:val="26"/>
              </w:rPr>
              <w:t xml:space="preserve">   c) Delay of contract performance due to Supplier’s fault but the Supplier refuses to extend the validity of performance security.</w:t>
            </w:r>
          </w:p>
          <w:p w14:paraId="708C6E12">
            <w:pPr>
              <w:widowControl w:val="0"/>
              <w:shd w:val="clear" w:color="auto" w:fill="FFFFFF"/>
              <w:spacing w:before="40" w:after="40" w:line="240" w:lineRule="auto"/>
              <w:jc w:val="both"/>
              <w:rPr>
                <w:color w:val="auto"/>
                <w:sz w:val="26"/>
                <w:szCs w:val="26"/>
              </w:rPr>
            </w:pPr>
            <w:r>
              <w:rPr>
                <w:color w:val="auto"/>
                <w:sz w:val="26"/>
                <w:szCs w:val="26"/>
              </w:rPr>
              <w:t xml:space="preserve">   d) The Supplier fails to extend the guarantee on time according to the provisions of the Contract; </w:t>
            </w:r>
          </w:p>
          <w:p w14:paraId="708C6E13">
            <w:pPr>
              <w:widowControl w:val="0"/>
              <w:shd w:val="clear" w:color="auto" w:fill="FFFFFF"/>
              <w:spacing w:before="40" w:after="40" w:line="240" w:lineRule="auto"/>
              <w:ind w:firstLine="175"/>
              <w:jc w:val="both"/>
              <w:rPr>
                <w:color w:val="auto"/>
                <w:sz w:val="26"/>
                <w:szCs w:val="26"/>
              </w:rPr>
            </w:pPr>
            <w:r>
              <w:rPr>
                <w:color w:val="auto"/>
                <w:sz w:val="26"/>
                <w:szCs w:val="26"/>
              </w:rPr>
              <w:t>e) Purchaser has evidence that the Supplier has used the payment for this contract for the wrong purpose.</w:t>
            </w:r>
          </w:p>
          <w:p w14:paraId="708C6E14">
            <w:pPr>
              <w:widowControl w:val="0"/>
              <w:shd w:val="clear" w:color="auto" w:fill="FFFFFF"/>
              <w:spacing w:before="40" w:after="40" w:line="240" w:lineRule="auto"/>
              <w:jc w:val="both"/>
              <w:rPr>
                <w:color w:val="auto"/>
                <w:sz w:val="26"/>
                <w:szCs w:val="26"/>
              </w:rPr>
            </w:pPr>
            <w:r>
              <w:rPr>
                <w:color w:val="auto"/>
                <w:sz w:val="26"/>
                <w:szCs w:val="26"/>
              </w:rPr>
              <w:t>- In case of consortium, any member of consortium violates the provisions of the above mentioned cases, the Purchaser has the right to confiscate the performance security according to current regulations.</w:t>
            </w:r>
          </w:p>
          <w:p w14:paraId="708C6E15">
            <w:pPr>
              <w:widowControl w:val="0"/>
              <w:shd w:val="clear" w:color="auto" w:fill="FFFFFF"/>
              <w:spacing w:before="40" w:after="40" w:line="240" w:lineRule="auto"/>
              <w:jc w:val="both"/>
              <w:rPr>
                <w:color w:val="auto"/>
                <w:sz w:val="26"/>
                <w:szCs w:val="26"/>
              </w:rPr>
            </w:pPr>
            <w:r>
              <w:rPr>
                <w:color w:val="auto"/>
                <w:sz w:val="26"/>
                <w:szCs w:val="26"/>
              </w:rPr>
              <w:t xml:space="preserve">- If Supplier has not fulfilled its contractual obligations at </w:t>
            </w:r>
            <w:r>
              <w:rPr>
                <w:b/>
                <w:bCs/>
                <w:color w:val="auto"/>
                <w:sz w:val="26"/>
                <w:szCs w:val="26"/>
              </w:rPr>
              <w:t>30 days</w:t>
            </w:r>
            <w:r>
              <w:rPr>
                <w:color w:val="auto"/>
                <w:sz w:val="26"/>
                <w:szCs w:val="26"/>
              </w:rPr>
              <w:t xml:space="preserve"> before the expiry date of the Performance Security, Supplier must extend the validity of the Performance Security with the value and validity as above mentioned request and submit to Purchaser at least 21 days before the expiration of the Contract Performance Security.</w:t>
            </w:r>
          </w:p>
          <w:p w14:paraId="708C6E16">
            <w:pPr>
              <w:widowControl w:val="0"/>
              <w:shd w:val="clear" w:color="auto" w:fill="FFFFFF"/>
              <w:spacing w:before="40" w:after="40" w:line="240" w:lineRule="auto"/>
              <w:jc w:val="both"/>
              <w:rPr>
                <w:color w:val="auto"/>
                <w:sz w:val="26"/>
                <w:szCs w:val="26"/>
              </w:rPr>
            </w:pPr>
            <w:r>
              <w:rPr>
                <w:color w:val="auto"/>
                <w:sz w:val="26"/>
                <w:szCs w:val="26"/>
              </w:rPr>
              <w:t xml:space="preserve">- In case the Project is accepted, handed over and put into use, but Supplier </w:t>
            </w:r>
            <w:r>
              <w:rPr>
                <w:bCs/>
                <w:color w:val="auto"/>
                <w:sz w:val="26"/>
                <w:szCs w:val="26"/>
              </w:rPr>
              <w:t>has not fulfilled all obligations</w:t>
            </w:r>
            <w:r>
              <w:rPr>
                <w:color w:val="auto"/>
                <w:sz w:val="26"/>
                <w:szCs w:val="26"/>
              </w:rPr>
              <w:t xml:space="preserve"> under the contract, the Supplier must extend the contract performance guarantee.</w:t>
            </w:r>
          </w:p>
          <w:p w14:paraId="708C6E17">
            <w:pPr>
              <w:widowControl w:val="0"/>
              <w:shd w:val="clear" w:color="auto" w:fill="FFFFFF"/>
              <w:spacing w:before="40" w:after="40" w:line="240" w:lineRule="auto"/>
              <w:jc w:val="both"/>
              <w:rPr>
                <w:color w:val="auto"/>
                <w:sz w:val="26"/>
                <w:szCs w:val="26"/>
              </w:rPr>
            </w:pPr>
            <w:r>
              <w:rPr>
                <w:color w:val="auto"/>
                <w:sz w:val="26"/>
                <w:szCs w:val="26"/>
              </w:rPr>
              <w:t xml:space="preserve">- The performance security shall be paid to the Purchaser as compensation for any damages arising from the Supplier's failure to fulfill its obligations and responsibilities under the Contract. In case of contract violating by the Supplier, the Purchaser shall have the right to confiscate the Supplier's performance security. </w:t>
            </w:r>
          </w:p>
          <w:p w14:paraId="708C6E18">
            <w:pPr>
              <w:widowControl w:val="0"/>
              <w:shd w:val="clear" w:color="auto" w:fill="FFFFFF"/>
              <w:spacing w:before="40" w:after="40" w:line="240" w:lineRule="auto"/>
              <w:jc w:val="both"/>
              <w:rPr>
                <w:color w:val="auto"/>
                <w:sz w:val="26"/>
                <w:szCs w:val="26"/>
              </w:rPr>
            </w:pPr>
            <w:r>
              <w:rPr>
                <w:color w:val="auto"/>
                <w:sz w:val="26"/>
                <w:szCs w:val="26"/>
              </w:rPr>
              <w:t>- The performance security shall be submitted to the Purchaser within 03 working days from the date the Purchaser issues the Acceptance Letter of Bid and awards the contract.</w:t>
            </w:r>
          </w:p>
        </w:tc>
      </w:tr>
      <w:tr w14:paraId="708C6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271" w:type="dxa"/>
          </w:tcPr>
          <w:p w14:paraId="708C6E1A">
            <w:pPr>
              <w:widowControl w:val="0"/>
              <w:spacing w:before="60" w:after="60" w:line="276" w:lineRule="auto"/>
              <w:ind w:right="34"/>
              <w:rPr>
                <w:b/>
                <w:color w:val="auto"/>
                <w:sz w:val="26"/>
                <w:szCs w:val="26"/>
              </w:rPr>
            </w:pPr>
            <w:r>
              <w:rPr>
                <w:b/>
                <w:color w:val="auto"/>
                <w:sz w:val="26"/>
                <w:szCs w:val="26"/>
              </w:rPr>
              <w:t>GCC 5.4</w:t>
            </w:r>
          </w:p>
        </w:tc>
        <w:tc>
          <w:tcPr>
            <w:tcW w:w="7867" w:type="dxa"/>
          </w:tcPr>
          <w:p w14:paraId="708C6E1B">
            <w:pPr>
              <w:widowControl w:val="0"/>
              <w:spacing w:before="60" w:after="60"/>
              <w:jc w:val="both"/>
              <w:rPr>
                <w:color w:val="auto"/>
                <w:sz w:val="26"/>
                <w:szCs w:val="26"/>
              </w:rPr>
            </w:pPr>
            <w:r>
              <w:rPr>
                <w:color w:val="auto"/>
                <w:sz w:val="26"/>
                <w:szCs w:val="26"/>
              </w:rPr>
              <w:t xml:space="preserve">The Performance Security shall be reimbursed to the Supplier by the Purchaser not later thirty (30) days after all goods and related services (if any) are completed and Purchaser received warranty security. </w:t>
            </w:r>
          </w:p>
        </w:tc>
      </w:tr>
      <w:tr w14:paraId="708C6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1271" w:type="dxa"/>
          </w:tcPr>
          <w:p w14:paraId="708C6E1D">
            <w:pPr>
              <w:widowControl w:val="0"/>
              <w:spacing w:before="60" w:after="60" w:line="276" w:lineRule="auto"/>
              <w:ind w:right="34"/>
              <w:rPr>
                <w:b/>
                <w:color w:val="auto"/>
                <w:sz w:val="26"/>
                <w:szCs w:val="26"/>
              </w:rPr>
            </w:pPr>
            <w:r>
              <w:rPr>
                <w:b/>
                <w:color w:val="auto"/>
                <w:sz w:val="26"/>
                <w:szCs w:val="26"/>
              </w:rPr>
              <w:t>GCC 6.1</w:t>
            </w:r>
          </w:p>
        </w:tc>
        <w:tc>
          <w:tcPr>
            <w:tcW w:w="7867" w:type="dxa"/>
          </w:tcPr>
          <w:p w14:paraId="708C6E1E">
            <w:pPr>
              <w:widowControl w:val="0"/>
              <w:spacing w:before="60" w:after="60" w:line="276" w:lineRule="auto"/>
              <w:jc w:val="both"/>
              <w:rPr>
                <w:color w:val="auto"/>
                <w:sz w:val="26"/>
                <w:szCs w:val="26"/>
              </w:rPr>
            </w:pPr>
            <w:r>
              <w:rPr>
                <w:color w:val="auto"/>
                <w:sz w:val="26"/>
                <w:szCs w:val="26"/>
              </w:rPr>
              <w:t>List of subcontractors: _________</w:t>
            </w:r>
            <w:r>
              <w:rPr>
                <w:i/>
                <w:color w:val="auto"/>
                <w:sz w:val="26"/>
                <w:szCs w:val="26"/>
              </w:rPr>
              <w:t>[insert the List of subcontractors that is consistent with the list in the Bid].</w:t>
            </w:r>
          </w:p>
        </w:tc>
      </w:tr>
      <w:tr w14:paraId="708C6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271" w:type="dxa"/>
          </w:tcPr>
          <w:p w14:paraId="708C6E20">
            <w:pPr>
              <w:widowControl w:val="0"/>
              <w:spacing w:before="60" w:after="60" w:line="276" w:lineRule="auto"/>
              <w:ind w:right="34"/>
              <w:rPr>
                <w:b/>
                <w:color w:val="auto"/>
                <w:sz w:val="26"/>
                <w:szCs w:val="26"/>
              </w:rPr>
            </w:pPr>
            <w:r>
              <w:rPr>
                <w:b/>
                <w:color w:val="auto"/>
                <w:sz w:val="26"/>
                <w:szCs w:val="26"/>
              </w:rPr>
              <w:t>GCC 7.2</w:t>
            </w:r>
          </w:p>
        </w:tc>
        <w:tc>
          <w:tcPr>
            <w:tcW w:w="7867" w:type="dxa"/>
          </w:tcPr>
          <w:p w14:paraId="708C6E21">
            <w:pPr>
              <w:widowControl w:val="0"/>
              <w:numPr>
                <w:ilvl w:val="12"/>
                <w:numId w:val="0"/>
              </w:numPr>
              <w:shd w:val="clear" w:color="auto" w:fill="FFFFFF"/>
              <w:spacing w:before="40" w:after="40" w:line="240" w:lineRule="auto"/>
              <w:jc w:val="both"/>
              <w:rPr>
                <w:bCs/>
                <w:snapToGrid w:val="0"/>
                <w:color w:val="auto"/>
                <w:sz w:val="26"/>
                <w:szCs w:val="26"/>
              </w:rPr>
            </w:pPr>
            <w:r>
              <w:rPr>
                <w:bCs/>
                <w:snapToGrid w:val="0"/>
                <w:color w:val="auto"/>
                <w:sz w:val="26"/>
                <w:szCs w:val="26"/>
              </w:rPr>
              <w:t>The Purchaser and the Supplier shall make every effort to resolve amicably by direct negotiation any disagreement or dispute arising between them under or in connection with the Contract.</w:t>
            </w:r>
          </w:p>
          <w:p w14:paraId="708C6E22">
            <w:pPr>
              <w:widowControl w:val="0"/>
              <w:numPr>
                <w:ilvl w:val="12"/>
                <w:numId w:val="0"/>
              </w:numPr>
              <w:spacing w:before="60" w:after="60"/>
              <w:jc w:val="both"/>
              <w:rPr>
                <w:bCs/>
                <w:snapToGrid w:val="0"/>
                <w:color w:val="auto"/>
                <w:sz w:val="26"/>
                <w:szCs w:val="26"/>
              </w:rPr>
            </w:pPr>
            <w:r>
              <w:rPr>
                <w:bCs/>
                <w:snapToGrid w:val="0"/>
                <w:color w:val="auto"/>
                <w:sz w:val="26"/>
                <w:szCs w:val="26"/>
              </w:rPr>
              <w:t>If the parties fail to resolve the disputes within 28 days from the commencement date of the negotiation (or any mutual agreed period), the disputes shall be settled by The Vietnam International Arbitration Centre at the Vietnam Chamber of Commerce and Industry (the “VIAC”).</w:t>
            </w:r>
          </w:p>
        </w:tc>
      </w:tr>
      <w:tr w14:paraId="708C6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08C6E24">
            <w:pPr>
              <w:widowControl w:val="0"/>
              <w:spacing w:before="60" w:after="60" w:line="276" w:lineRule="auto"/>
              <w:ind w:right="34"/>
              <w:rPr>
                <w:b/>
                <w:color w:val="auto"/>
                <w:sz w:val="26"/>
                <w:szCs w:val="26"/>
              </w:rPr>
            </w:pPr>
            <w:r>
              <w:rPr>
                <w:b/>
                <w:color w:val="auto"/>
                <w:sz w:val="26"/>
                <w:szCs w:val="26"/>
              </w:rPr>
              <w:t>GCC 9</w:t>
            </w:r>
          </w:p>
        </w:tc>
        <w:tc>
          <w:tcPr>
            <w:tcW w:w="7867" w:type="dxa"/>
          </w:tcPr>
          <w:p w14:paraId="708C6E25">
            <w:pPr>
              <w:widowControl w:val="0"/>
              <w:shd w:val="clear" w:color="auto" w:fill="FFFFFF"/>
              <w:tabs>
                <w:tab w:val="left" w:pos="450"/>
              </w:tabs>
              <w:spacing w:before="40" w:after="40" w:line="240" w:lineRule="auto"/>
              <w:jc w:val="both"/>
              <w:rPr>
                <w:b/>
                <w:bCs/>
                <w:snapToGrid w:val="0"/>
                <w:color w:val="auto"/>
                <w:sz w:val="26"/>
                <w:szCs w:val="26"/>
              </w:rPr>
            </w:pPr>
            <w:r>
              <w:rPr>
                <w:b/>
                <w:bCs/>
                <w:snapToGrid w:val="0"/>
                <w:color w:val="auto"/>
                <w:sz w:val="26"/>
                <w:szCs w:val="26"/>
              </w:rPr>
              <w:t>Delivery and Documents:</w:t>
            </w:r>
          </w:p>
          <w:p w14:paraId="708C6E26">
            <w:pPr>
              <w:pStyle w:val="97"/>
              <w:widowControl w:val="0"/>
              <w:numPr>
                <w:ilvl w:val="3"/>
                <w:numId w:val="66"/>
              </w:numPr>
              <w:shd w:val="clear" w:color="auto" w:fill="FFFFFF"/>
              <w:spacing w:before="40" w:after="40"/>
              <w:ind w:left="321" w:hanging="321"/>
              <w:rPr>
                <w:color w:val="auto"/>
                <w:sz w:val="26"/>
                <w:szCs w:val="26"/>
              </w:rPr>
            </w:pPr>
            <w:r>
              <w:rPr>
                <w:color w:val="auto"/>
                <w:sz w:val="26"/>
                <w:szCs w:val="26"/>
              </w:rPr>
              <w:t>The goods shall be delivered as required in Section V: Scope of Supply.</w:t>
            </w:r>
          </w:p>
          <w:p w14:paraId="708C6E27">
            <w:pPr>
              <w:widowControl w:val="0"/>
              <w:shd w:val="clear" w:color="auto" w:fill="FFFFFF"/>
              <w:tabs>
                <w:tab w:val="left" w:pos="450"/>
              </w:tabs>
              <w:spacing w:before="40" w:after="40" w:line="240" w:lineRule="auto"/>
              <w:jc w:val="both"/>
              <w:rPr>
                <w:bCs/>
                <w:color w:val="auto"/>
                <w:sz w:val="26"/>
                <w:szCs w:val="26"/>
              </w:rPr>
            </w:pPr>
            <w:r>
              <w:rPr>
                <w:bCs/>
                <w:color w:val="auto"/>
                <w:sz w:val="26"/>
                <w:szCs w:val="26"/>
              </w:rPr>
              <w:t>2. Notice and Documents:</w:t>
            </w:r>
          </w:p>
          <w:p w14:paraId="708C6E28">
            <w:pPr>
              <w:widowControl w:val="0"/>
              <w:shd w:val="clear" w:color="auto" w:fill="FFFFFF"/>
              <w:tabs>
                <w:tab w:val="left" w:pos="450"/>
              </w:tabs>
              <w:spacing w:before="40" w:after="40" w:line="240" w:lineRule="auto"/>
              <w:jc w:val="both"/>
              <w:rPr>
                <w:b/>
                <w:i/>
                <w:snapToGrid w:val="0"/>
                <w:color w:val="auto"/>
                <w:sz w:val="26"/>
                <w:szCs w:val="26"/>
              </w:rPr>
            </w:pPr>
            <w:r>
              <w:rPr>
                <w:b/>
                <w:i/>
                <w:snapToGrid w:val="0"/>
                <w:color w:val="auto"/>
                <w:sz w:val="26"/>
                <w:szCs w:val="26"/>
              </w:rPr>
              <w:t>For Goods supplied from abroad:</w:t>
            </w:r>
          </w:p>
          <w:p w14:paraId="708C6E29">
            <w:pPr>
              <w:widowControl w:val="0"/>
              <w:shd w:val="clear" w:color="auto" w:fill="FFFFFF"/>
              <w:tabs>
                <w:tab w:val="left" w:pos="360"/>
              </w:tabs>
              <w:spacing w:before="40" w:after="40" w:line="240" w:lineRule="auto"/>
              <w:jc w:val="both"/>
              <w:rPr>
                <w:bCs/>
                <w:snapToGrid w:val="0"/>
                <w:color w:val="auto"/>
                <w:sz w:val="26"/>
                <w:szCs w:val="26"/>
              </w:rPr>
            </w:pPr>
            <w:r>
              <w:rPr>
                <w:bCs/>
                <w:snapToGrid w:val="0"/>
                <w:color w:val="auto"/>
                <w:sz w:val="26"/>
                <w:szCs w:val="26"/>
              </w:rPr>
              <w:t>(a) Upon the shipment of goods, and not later than seven (07) days after shipment the Supplier shall notify the Purchaser and the Insurance company by fax or telex of the full details of shipments:</w:t>
            </w:r>
          </w:p>
          <w:p w14:paraId="708C6E2A">
            <w:pPr>
              <w:pStyle w:val="97"/>
              <w:widowControl w:val="0"/>
              <w:numPr>
                <w:ilvl w:val="0"/>
                <w:numId w:val="67"/>
              </w:numPr>
              <w:shd w:val="clear" w:color="auto" w:fill="FFFFFF"/>
              <w:tabs>
                <w:tab w:val="left" w:pos="747"/>
                <w:tab w:val="left" w:pos="888"/>
                <w:tab w:val="right" w:pos="7164"/>
                <w:tab w:val="clear" w:pos="955"/>
              </w:tabs>
              <w:spacing w:before="40" w:after="40"/>
              <w:ind w:left="747" w:hanging="426"/>
              <w:rPr>
                <w:i/>
                <w:color w:val="auto"/>
                <w:sz w:val="26"/>
                <w:szCs w:val="26"/>
              </w:rPr>
            </w:pPr>
            <w:r>
              <w:rPr>
                <w:i/>
                <w:color w:val="auto"/>
                <w:sz w:val="26"/>
                <w:szCs w:val="26"/>
              </w:rPr>
              <w:t>One original and five (5) copies of Commercial Invoice signed by Supplier showing the description of the Goods, quantity, unit price, and total amount;</w:t>
            </w:r>
          </w:p>
          <w:p w14:paraId="708C6E2B">
            <w:pPr>
              <w:widowControl w:val="0"/>
              <w:numPr>
                <w:ilvl w:val="0"/>
                <w:numId w:val="67"/>
              </w:numPr>
              <w:shd w:val="clear" w:color="auto" w:fill="FFFFFF"/>
              <w:tabs>
                <w:tab w:val="left" w:pos="747"/>
                <w:tab w:val="left" w:pos="888"/>
                <w:tab w:val="clear" w:pos="955"/>
              </w:tabs>
              <w:spacing w:before="40" w:after="40" w:line="240" w:lineRule="auto"/>
              <w:ind w:left="747" w:hanging="426"/>
              <w:jc w:val="both"/>
              <w:rPr>
                <w:i/>
                <w:color w:val="auto"/>
                <w:sz w:val="26"/>
                <w:szCs w:val="26"/>
              </w:rPr>
            </w:pPr>
            <w:r>
              <w:rPr>
                <w:i/>
                <w:color w:val="auto"/>
                <w:sz w:val="26"/>
                <w:szCs w:val="26"/>
              </w:rPr>
              <w:t xml:space="preserve">1/3 original and five (5) copies of the negotiable, clean, on-board bill of lading, marked “freight prepaid” up to seaport, Vietnam, </w:t>
            </w:r>
          </w:p>
          <w:p w14:paraId="708C6E2C">
            <w:pPr>
              <w:pStyle w:val="97"/>
              <w:widowControl w:val="0"/>
              <w:numPr>
                <w:ilvl w:val="0"/>
                <w:numId w:val="67"/>
              </w:numPr>
              <w:shd w:val="clear" w:color="auto" w:fill="FFFFFF"/>
              <w:tabs>
                <w:tab w:val="left" w:pos="747"/>
                <w:tab w:val="left" w:pos="888"/>
                <w:tab w:val="clear" w:pos="955"/>
              </w:tabs>
              <w:spacing w:before="40" w:after="40"/>
              <w:ind w:left="747" w:hanging="426"/>
              <w:rPr>
                <w:i/>
                <w:color w:val="auto"/>
                <w:sz w:val="26"/>
                <w:szCs w:val="26"/>
              </w:rPr>
            </w:pPr>
            <w:r>
              <w:rPr>
                <w:i/>
                <w:color w:val="auto"/>
                <w:sz w:val="26"/>
                <w:szCs w:val="26"/>
              </w:rPr>
              <w:t>Or six (06) copies of Airway bill up to Airport, Vietnam</w:t>
            </w:r>
          </w:p>
          <w:p w14:paraId="708C6E2D">
            <w:pPr>
              <w:widowControl w:val="0"/>
              <w:numPr>
                <w:ilvl w:val="0"/>
                <w:numId w:val="67"/>
              </w:numPr>
              <w:shd w:val="clear" w:color="auto" w:fill="FFFFFF"/>
              <w:tabs>
                <w:tab w:val="left" w:pos="747"/>
                <w:tab w:val="left" w:pos="888"/>
                <w:tab w:val="clear" w:pos="955"/>
              </w:tabs>
              <w:spacing w:before="40" w:after="40" w:line="240" w:lineRule="auto"/>
              <w:ind w:left="747" w:hanging="426"/>
              <w:jc w:val="both"/>
              <w:rPr>
                <w:i/>
                <w:color w:val="auto"/>
                <w:sz w:val="26"/>
                <w:szCs w:val="26"/>
              </w:rPr>
            </w:pPr>
            <w:r>
              <w:rPr>
                <w:i/>
                <w:color w:val="auto"/>
                <w:sz w:val="26"/>
                <w:szCs w:val="26"/>
              </w:rPr>
              <w:t>One original and five (5) copies of the detailed packing list identifying description of Goods, contents, dimension and net/gross weight of each package, and total net/gross weight.</w:t>
            </w:r>
          </w:p>
          <w:p w14:paraId="708C6E2E">
            <w:pPr>
              <w:widowControl w:val="0"/>
              <w:numPr>
                <w:ilvl w:val="0"/>
                <w:numId w:val="67"/>
              </w:numPr>
              <w:shd w:val="clear" w:color="auto" w:fill="FFFFFF"/>
              <w:tabs>
                <w:tab w:val="left" w:pos="747"/>
                <w:tab w:val="left" w:pos="888"/>
                <w:tab w:val="clear" w:pos="955"/>
              </w:tabs>
              <w:spacing w:before="40" w:after="40" w:line="240" w:lineRule="auto"/>
              <w:ind w:left="747" w:hanging="426"/>
              <w:jc w:val="both"/>
              <w:rPr>
                <w:i/>
                <w:color w:val="auto"/>
                <w:sz w:val="26"/>
                <w:szCs w:val="26"/>
              </w:rPr>
            </w:pPr>
            <w:r>
              <w:rPr>
                <w:i/>
                <w:color w:val="auto"/>
                <w:sz w:val="26"/>
                <w:szCs w:val="26"/>
              </w:rPr>
              <w:t>One original and five (5) copies of Insurance certificate covering 110% of invoice value showing the clause “All risks”.</w:t>
            </w:r>
          </w:p>
          <w:p w14:paraId="708C6E2F">
            <w:pPr>
              <w:widowControl w:val="0"/>
              <w:numPr>
                <w:ilvl w:val="0"/>
                <w:numId w:val="67"/>
              </w:numPr>
              <w:shd w:val="clear" w:color="auto" w:fill="FFFFFF"/>
              <w:tabs>
                <w:tab w:val="left" w:pos="747"/>
                <w:tab w:val="left" w:pos="888"/>
                <w:tab w:val="clear" w:pos="955"/>
              </w:tabs>
              <w:spacing w:before="40" w:after="40" w:line="240" w:lineRule="auto"/>
              <w:ind w:left="747" w:hanging="426"/>
              <w:jc w:val="both"/>
              <w:rPr>
                <w:i/>
                <w:color w:val="auto"/>
                <w:sz w:val="26"/>
                <w:szCs w:val="26"/>
              </w:rPr>
            </w:pPr>
            <w:r>
              <w:rPr>
                <w:i/>
                <w:color w:val="auto"/>
                <w:sz w:val="26"/>
                <w:szCs w:val="26"/>
              </w:rPr>
              <w:t>One original and five (5) copies of Certificate of origin (C/O)</w:t>
            </w:r>
          </w:p>
          <w:p w14:paraId="708C6E30">
            <w:pPr>
              <w:widowControl w:val="0"/>
              <w:numPr>
                <w:ilvl w:val="0"/>
                <w:numId w:val="67"/>
              </w:numPr>
              <w:shd w:val="clear" w:color="auto" w:fill="FFFFFF"/>
              <w:tabs>
                <w:tab w:val="left" w:pos="747"/>
                <w:tab w:val="left" w:pos="888"/>
                <w:tab w:val="clear" w:pos="955"/>
              </w:tabs>
              <w:spacing w:before="40" w:after="40" w:line="240" w:lineRule="auto"/>
              <w:ind w:left="747" w:hanging="426"/>
              <w:jc w:val="both"/>
              <w:rPr>
                <w:i/>
                <w:color w:val="auto"/>
                <w:sz w:val="26"/>
                <w:szCs w:val="26"/>
              </w:rPr>
            </w:pPr>
            <w:r>
              <w:rPr>
                <w:i/>
                <w:color w:val="auto"/>
                <w:sz w:val="26"/>
                <w:szCs w:val="26"/>
              </w:rPr>
              <w:t>One original and five (5) copies of Manufacturer’s or Supplier’s certificate on quantity and quality;</w:t>
            </w:r>
          </w:p>
          <w:p w14:paraId="708C6E31">
            <w:pPr>
              <w:widowControl w:val="0"/>
              <w:numPr>
                <w:ilvl w:val="0"/>
                <w:numId w:val="67"/>
              </w:numPr>
              <w:shd w:val="clear" w:color="auto" w:fill="FFFFFF"/>
              <w:tabs>
                <w:tab w:val="left" w:pos="747"/>
                <w:tab w:val="left" w:pos="888"/>
                <w:tab w:val="clear" w:pos="955"/>
              </w:tabs>
              <w:spacing w:before="40" w:after="40" w:line="240" w:lineRule="auto"/>
              <w:ind w:left="747" w:hanging="426"/>
              <w:jc w:val="both"/>
              <w:rPr>
                <w:i/>
                <w:color w:val="auto"/>
                <w:sz w:val="26"/>
                <w:szCs w:val="26"/>
              </w:rPr>
            </w:pPr>
            <w:r>
              <w:rPr>
                <w:i/>
                <w:color w:val="auto"/>
                <w:sz w:val="26"/>
                <w:szCs w:val="26"/>
              </w:rPr>
              <w:t>One original and five (5) copies of Manufacturer’s or Supplier’s warranty certificate;</w:t>
            </w:r>
          </w:p>
          <w:p w14:paraId="708C6E32">
            <w:pPr>
              <w:widowControl w:val="0"/>
              <w:numPr>
                <w:ilvl w:val="0"/>
                <w:numId w:val="67"/>
              </w:numPr>
              <w:shd w:val="clear" w:color="auto" w:fill="FFFFFF"/>
              <w:tabs>
                <w:tab w:val="left" w:pos="747"/>
                <w:tab w:val="left" w:pos="888"/>
                <w:tab w:val="clear" w:pos="955"/>
              </w:tabs>
              <w:spacing w:before="40" w:after="40" w:line="240" w:lineRule="auto"/>
              <w:ind w:left="747" w:hanging="426"/>
              <w:jc w:val="both"/>
              <w:rPr>
                <w:i/>
                <w:color w:val="auto"/>
                <w:sz w:val="26"/>
                <w:szCs w:val="26"/>
              </w:rPr>
            </w:pPr>
            <w:r>
              <w:rPr>
                <w:i/>
                <w:color w:val="auto"/>
                <w:sz w:val="26"/>
                <w:szCs w:val="26"/>
              </w:rPr>
              <w:t>One original and five (5) copies of Manufacturer’s factory test report.</w:t>
            </w:r>
          </w:p>
          <w:p w14:paraId="708C6E33">
            <w:pPr>
              <w:widowControl w:val="0"/>
              <w:shd w:val="clear" w:color="auto" w:fill="FFFFFF"/>
              <w:tabs>
                <w:tab w:val="right" w:pos="7164"/>
              </w:tabs>
              <w:spacing w:before="40" w:after="40" w:line="240" w:lineRule="auto"/>
              <w:ind w:left="59"/>
              <w:jc w:val="both"/>
              <w:rPr>
                <w:color w:val="auto"/>
                <w:sz w:val="26"/>
                <w:szCs w:val="26"/>
              </w:rPr>
            </w:pPr>
            <w:r>
              <w:rPr>
                <w:color w:val="auto"/>
                <w:sz w:val="26"/>
                <w:szCs w:val="26"/>
              </w:rPr>
              <w:t xml:space="preserve">The Purchaser shall receive the above documents at least one week before arrival of the Goods at arrival port and, if not received, the Purchaser shall refuse to receive Goods and </w:t>
            </w:r>
            <w:r>
              <w:rPr>
                <w:bCs/>
                <w:color w:val="auto"/>
                <w:sz w:val="26"/>
                <w:szCs w:val="26"/>
              </w:rPr>
              <w:t>the Supplier will be responsible for any consequent expenses</w:t>
            </w:r>
          </w:p>
          <w:p w14:paraId="708C6E34">
            <w:pPr>
              <w:pStyle w:val="317"/>
              <w:widowControl w:val="0"/>
              <w:shd w:val="clear" w:color="auto" w:fill="FFFFFF"/>
              <w:spacing w:before="40" w:after="40"/>
              <w:ind w:left="34" w:firstLine="0"/>
              <w:rPr>
                <w:rFonts w:ascii="Times New Roman" w:hAnsi="Times New Roman"/>
                <w:color w:val="auto"/>
                <w:sz w:val="26"/>
                <w:szCs w:val="26"/>
                <w:lang w:val="en-GB"/>
              </w:rPr>
            </w:pPr>
            <w:r>
              <w:rPr>
                <w:rFonts w:ascii="Times New Roman" w:hAnsi="Times New Roman"/>
                <w:color w:val="auto"/>
                <w:sz w:val="26"/>
                <w:szCs w:val="26"/>
                <w:lang w:val="en-GB"/>
              </w:rPr>
              <w:t>(b) In case of delivery by Airfreight, the Supplier shall inform the Purchaser by Cable/Telex/Fax at least three (03) days before the Departure and thereafter on the same day of dispatching all required information and instructions for the case of Airfreight:</w:t>
            </w:r>
          </w:p>
          <w:p w14:paraId="708C6E35">
            <w:pPr>
              <w:widowControl w:val="0"/>
              <w:shd w:val="clear" w:color="auto" w:fill="FFFFFF"/>
              <w:tabs>
                <w:tab w:val="left" w:pos="442"/>
              </w:tabs>
              <w:spacing w:before="40" w:after="40" w:line="240" w:lineRule="auto"/>
              <w:ind w:left="456"/>
              <w:jc w:val="both"/>
              <w:rPr>
                <w:bCs/>
                <w:snapToGrid w:val="0"/>
                <w:color w:val="auto"/>
                <w:sz w:val="26"/>
                <w:szCs w:val="26"/>
              </w:rPr>
            </w:pPr>
            <w:r>
              <w:rPr>
                <w:bCs/>
                <w:snapToGrid w:val="0"/>
                <w:color w:val="auto"/>
                <w:sz w:val="26"/>
                <w:szCs w:val="26"/>
              </w:rPr>
              <w:t>a. Name of Air-transport Company;</w:t>
            </w:r>
          </w:p>
          <w:p w14:paraId="708C6E36">
            <w:pPr>
              <w:widowControl w:val="0"/>
              <w:shd w:val="clear" w:color="auto" w:fill="FFFFFF"/>
              <w:tabs>
                <w:tab w:val="left" w:pos="442"/>
              </w:tabs>
              <w:spacing w:before="40" w:after="40" w:line="240" w:lineRule="auto"/>
              <w:ind w:left="456"/>
              <w:jc w:val="both"/>
              <w:rPr>
                <w:bCs/>
                <w:snapToGrid w:val="0"/>
                <w:color w:val="auto"/>
                <w:sz w:val="26"/>
                <w:szCs w:val="26"/>
              </w:rPr>
            </w:pPr>
            <w:r>
              <w:rPr>
                <w:bCs/>
                <w:snapToGrid w:val="0"/>
                <w:color w:val="auto"/>
                <w:sz w:val="26"/>
                <w:szCs w:val="26"/>
              </w:rPr>
              <w:t>b. Number and date of flight;</w:t>
            </w:r>
          </w:p>
          <w:p w14:paraId="708C6E37">
            <w:pPr>
              <w:widowControl w:val="0"/>
              <w:shd w:val="clear" w:color="auto" w:fill="FFFFFF"/>
              <w:tabs>
                <w:tab w:val="left" w:pos="442"/>
              </w:tabs>
              <w:spacing w:before="40" w:after="40" w:line="240" w:lineRule="auto"/>
              <w:ind w:left="456"/>
              <w:jc w:val="both"/>
              <w:rPr>
                <w:bCs/>
                <w:snapToGrid w:val="0"/>
                <w:color w:val="auto"/>
                <w:sz w:val="26"/>
                <w:szCs w:val="26"/>
              </w:rPr>
            </w:pPr>
            <w:r>
              <w:rPr>
                <w:bCs/>
                <w:snapToGrid w:val="0"/>
                <w:color w:val="auto"/>
                <w:sz w:val="26"/>
                <w:szCs w:val="26"/>
              </w:rPr>
              <w:t>c. Number and date of AWB etc ..,</w:t>
            </w:r>
          </w:p>
          <w:p w14:paraId="708C6E38">
            <w:pPr>
              <w:widowControl w:val="0"/>
              <w:shd w:val="clear" w:color="auto" w:fill="FFFFFF"/>
              <w:spacing w:before="40" w:after="40" w:line="240" w:lineRule="auto"/>
              <w:jc w:val="both"/>
              <w:rPr>
                <w:color w:val="auto"/>
                <w:sz w:val="26"/>
                <w:szCs w:val="26"/>
                <w:lang w:val="en-GB"/>
              </w:rPr>
            </w:pPr>
            <w:r>
              <w:rPr>
                <w:color w:val="auto"/>
                <w:sz w:val="26"/>
                <w:szCs w:val="26"/>
                <w:lang w:val="en-GB"/>
              </w:rPr>
              <w:t>The Supplier shall send the Purchaser the necessary documents such as AWB, immediately the date of AWB covering the dispatch of Goods to ensure a safe receipt of Goods at the Airport of Destination.</w:t>
            </w:r>
          </w:p>
          <w:p w14:paraId="708C6E39">
            <w:pPr>
              <w:widowControl w:val="0"/>
              <w:shd w:val="clear" w:color="auto" w:fill="FFFFFF"/>
              <w:tabs>
                <w:tab w:val="left" w:pos="450"/>
              </w:tabs>
              <w:spacing w:before="40" w:after="40" w:line="240" w:lineRule="auto"/>
              <w:jc w:val="both"/>
              <w:rPr>
                <w:b/>
                <w:i/>
                <w:snapToGrid w:val="0"/>
                <w:color w:val="auto"/>
                <w:sz w:val="26"/>
                <w:szCs w:val="26"/>
              </w:rPr>
            </w:pPr>
            <w:r>
              <w:rPr>
                <w:b/>
                <w:i/>
                <w:snapToGrid w:val="0"/>
                <w:color w:val="auto"/>
                <w:sz w:val="26"/>
                <w:szCs w:val="26"/>
              </w:rPr>
              <w:t>For Goods from within the Purchaser’s</w:t>
            </w:r>
            <w:r>
              <w:rPr>
                <w:b/>
                <w:snapToGrid w:val="0"/>
                <w:color w:val="auto"/>
                <w:sz w:val="26"/>
                <w:szCs w:val="26"/>
              </w:rPr>
              <w:t xml:space="preserve"> </w:t>
            </w:r>
            <w:r>
              <w:rPr>
                <w:b/>
                <w:i/>
                <w:snapToGrid w:val="0"/>
                <w:color w:val="auto"/>
                <w:sz w:val="26"/>
                <w:szCs w:val="26"/>
              </w:rPr>
              <w:t>country:</w:t>
            </w:r>
          </w:p>
          <w:p w14:paraId="708C6E3A">
            <w:pPr>
              <w:widowControl w:val="0"/>
              <w:shd w:val="clear" w:color="auto" w:fill="FFFFFF"/>
              <w:spacing w:before="40" w:after="40" w:line="240" w:lineRule="auto"/>
              <w:jc w:val="both"/>
              <w:rPr>
                <w:bCs/>
                <w:snapToGrid w:val="0"/>
                <w:color w:val="auto"/>
                <w:sz w:val="26"/>
                <w:szCs w:val="26"/>
              </w:rPr>
            </w:pPr>
            <w:r>
              <w:rPr>
                <w:bCs/>
                <w:snapToGrid w:val="0"/>
                <w:color w:val="auto"/>
                <w:sz w:val="26"/>
                <w:szCs w:val="26"/>
              </w:rPr>
              <w:t>Prior to each delivery, the Supplier shall notify the Purchaser and mail the following documents to the Purchaser:</w:t>
            </w:r>
          </w:p>
          <w:p w14:paraId="708C6E3B">
            <w:pPr>
              <w:pStyle w:val="97"/>
              <w:widowControl w:val="0"/>
              <w:numPr>
                <w:ilvl w:val="0"/>
                <w:numId w:val="68"/>
              </w:numPr>
              <w:shd w:val="clear" w:color="auto" w:fill="FFFFFF"/>
              <w:tabs>
                <w:tab w:val="left" w:pos="484"/>
              </w:tabs>
              <w:spacing w:before="40" w:after="40"/>
              <w:rPr>
                <w:bCs/>
                <w:snapToGrid w:val="0"/>
                <w:color w:val="auto"/>
                <w:sz w:val="26"/>
                <w:szCs w:val="26"/>
              </w:rPr>
            </w:pPr>
            <w:r>
              <w:rPr>
                <w:bCs/>
                <w:snapToGrid w:val="0"/>
                <w:color w:val="auto"/>
                <w:sz w:val="26"/>
                <w:szCs w:val="26"/>
              </w:rPr>
              <w:t>The original and five (5) copies of the Supplier’s invoice showing Goods’ description, quantity, unit price, and total amount;</w:t>
            </w:r>
          </w:p>
          <w:p w14:paraId="708C6E3C">
            <w:pPr>
              <w:widowControl w:val="0"/>
              <w:numPr>
                <w:ilvl w:val="0"/>
                <w:numId w:val="68"/>
              </w:numPr>
              <w:shd w:val="clear" w:color="auto" w:fill="FFFFFF"/>
              <w:tabs>
                <w:tab w:val="left" w:pos="484"/>
              </w:tabs>
              <w:spacing w:before="40" w:after="40" w:line="240" w:lineRule="auto"/>
              <w:jc w:val="both"/>
              <w:rPr>
                <w:bCs/>
                <w:snapToGrid w:val="0"/>
                <w:color w:val="auto"/>
                <w:sz w:val="26"/>
                <w:szCs w:val="26"/>
              </w:rPr>
            </w:pPr>
            <w:r>
              <w:rPr>
                <w:bCs/>
                <w:snapToGrid w:val="0"/>
                <w:color w:val="auto"/>
                <w:sz w:val="26"/>
                <w:szCs w:val="26"/>
              </w:rPr>
              <w:t>The original and five (5) copies off delivery note, railway receipt, or truck receipt;</w:t>
            </w:r>
          </w:p>
          <w:p w14:paraId="708C6E3D">
            <w:pPr>
              <w:widowControl w:val="0"/>
              <w:numPr>
                <w:ilvl w:val="0"/>
                <w:numId w:val="68"/>
              </w:numPr>
              <w:shd w:val="clear" w:color="auto" w:fill="FFFFFF"/>
              <w:tabs>
                <w:tab w:val="left" w:pos="484"/>
              </w:tabs>
              <w:spacing w:before="40" w:after="40" w:line="240" w:lineRule="auto"/>
              <w:jc w:val="both"/>
              <w:rPr>
                <w:bCs/>
                <w:snapToGrid w:val="0"/>
                <w:color w:val="auto"/>
                <w:sz w:val="26"/>
                <w:szCs w:val="26"/>
              </w:rPr>
            </w:pPr>
            <w:r>
              <w:rPr>
                <w:bCs/>
                <w:snapToGrid w:val="0"/>
                <w:color w:val="auto"/>
                <w:sz w:val="26"/>
                <w:szCs w:val="26"/>
              </w:rPr>
              <w:t>The original and five (5) copies of Manufacturer’s or Supplier’s warranty certificate;</w:t>
            </w:r>
          </w:p>
          <w:p w14:paraId="708C6E3E">
            <w:pPr>
              <w:widowControl w:val="0"/>
              <w:numPr>
                <w:ilvl w:val="0"/>
                <w:numId w:val="68"/>
              </w:numPr>
              <w:shd w:val="clear" w:color="auto" w:fill="FFFFFF"/>
              <w:tabs>
                <w:tab w:val="left" w:pos="484"/>
              </w:tabs>
              <w:spacing w:before="40" w:after="40" w:line="240" w:lineRule="auto"/>
              <w:jc w:val="both"/>
              <w:rPr>
                <w:bCs/>
                <w:snapToGrid w:val="0"/>
                <w:color w:val="auto"/>
                <w:sz w:val="26"/>
                <w:szCs w:val="26"/>
              </w:rPr>
            </w:pPr>
            <w:r>
              <w:rPr>
                <w:bCs/>
                <w:snapToGrid w:val="0"/>
                <w:color w:val="auto"/>
                <w:sz w:val="26"/>
                <w:szCs w:val="26"/>
              </w:rPr>
              <w:t>The original and five (5) copies of Inspection certificate, issued by the Supplier’s factory;</w:t>
            </w:r>
          </w:p>
          <w:p w14:paraId="708C6E3F">
            <w:pPr>
              <w:widowControl w:val="0"/>
              <w:numPr>
                <w:ilvl w:val="0"/>
                <w:numId w:val="68"/>
              </w:numPr>
              <w:shd w:val="clear" w:color="auto" w:fill="FFFFFF"/>
              <w:tabs>
                <w:tab w:val="left" w:pos="484"/>
              </w:tabs>
              <w:spacing w:before="40" w:after="40" w:line="240" w:lineRule="auto"/>
              <w:jc w:val="both"/>
              <w:rPr>
                <w:bCs/>
                <w:snapToGrid w:val="0"/>
                <w:color w:val="auto"/>
                <w:sz w:val="26"/>
                <w:szCs w:val="26"/>
              </w:rPr>
            </w:pPr>
            <w:r>
              <w:rPr>
                <w:color w:val="auto"/>
                <w:sz w:val="26"/>
                <w:szCs w:val="26"/>
              </w:rPr>
              <w:t xml:space="preserve"> The </w:t>
            </w:r>
            <w:r>
              <w:rPr>
                <w:bCs/>
                <w:snapToGrid w:val="0"/>
                <w:color w:val="auto"/>
                <w:sz w:val="26"/>
                <w:szCs w:val="26"/>
              </w:rPr>
              <w:t>original</w:t>
            </w:r>
            <w:r>
              <w:rPr>
                <w:color w:val="auto"/>
                <w:sz w:val="26"/>
                <w:szCs w:val="26"/>
              </w:rPr>
              <w:t xml:space="preserve"> and five (05) copies of Manufacturer’s or Supplier’s quality and quantity certificate;</w:t>
            </w:r>
          </w:p>
          <w:p w14:paraId="708C6E40">
            <w:pPr>
              <w:widowControl w:val="0"/>
              <w:numPr>
                <w:ilvl w:val="0"/>
                <w:numId w:val="68"/>
              </w:numPr>
              <w:shd w:val="clear" w:color="auto" w:fill="FFFFFF"/>
              <w:tabs>
                <w:tab w:val="left" w:pos="484"/>
              </w:tabs>
              <w:spacing w:before="40" w:after="40" w:line="240" w:lineRule="auto"/>
              <w:jc w:val="both"/>
              <w:rPr>
                <w:bCs/>
                <w:snapToGrid w:val="0"/>
                <w:color w:val="auto"/>
                <w:sz w:val="26"/>
                <w:szCs w:val="26"/>
              </w:rPr>
            </w:pPr>
            <w:r>
              <w:rPr>
                <w:bCs/>
                <w:snapToGrid w:val="0"/>
                <w:color w:val="auto"/>
                <w:sz w:val="26"/>
                <w:szCs w:val="26"/>
              </w:rPr>
              <w:t>The original and five (5) copies of certificate of origin (for imported goods only).</w:t>
            </w:r>
          </w:p>
          <w:p w14:paraId="708C6E41">
            <w:pPr>
              <w:widowControl w:val="0"/>
              <w:shd w:val="clear" w:color="auto" w:fill="FFFFFF"/>
              <w:tabs>
                <w:tab w:val="left" w:pos="450"/>
              </w:tabs>
              <w:spacing w:before="40" w:after="40" w:line="240" w:lineRule="auto"/>
              <w:jc w:val="both"/>
              <w:rPr>
                <w:bCs/>
                <w:snapToGrid w:val="0"/>
                <w:color w:val="auto"/>
                <w:sz w:val="26"/>
                <w:szCs w:val="26"/>
              </w:rPr>
            </w:pPr>
            <w:r>
              <w:rPr>
                <w:bCs/>
                <w:snapToGrid w:val="0"/>
                <w:color w:val="auto"/>
                <w:sz w:val="26"/>
                <w:szCs w:val="26"/>
              </w:rPr>
              <w:t>The above documents shall be received by the Purchaser before arrival of the Goods and, if not received, the Supplier will be responsible for any consequent expenses.</w:t>
            </w:r>
          </w:p>
          <w:p w14:paraId="708C6E42">
            <w:pPr>
              <w:widowControl w:val="0"/>
              <w:shd w:val="clear" w:color="auto" w:fill="FFFFFF"/>
              <w:tabs>
                <w:tab w:val="left" w:pos="450"/>
                <w:tab w:val="left" w:pos="4575"/>
              </w:tabs>
              <w:spacing w:before="40" w:after="40" w:line="240" w:lineRule="auto"/>
              <w:jc w:val="both"/>
              <w:rPr>
                <w:b/>
                <w:bCs/>
                <w:i/>
                <w:snapToGrid w:val="0"/>
                <w:color w:val="auto"/>
                <w:sz w:val="26"/>
                <w:szCs w:val="26"/>
              </w:rPr>
            </w:pPr>
            <w:r>
              <w:rPr>
                <w:b/>
                <w:bCs/>
                <w:i/>
                <w:snapToGrid w:val="0"/>
                <w:color w:val="auto"/>
                <w:sz w:val="26"/>
                <w:szCs w:val="26"/>
              </w:rPr>
              <w:t>Technical Documents:</w:t>
            </w:r>
            <w:r>
              <w:rPr>
                <w:b/>
                <w:bCs/>
                <w:i/>
                <w:snapToGrid w:val="0"/>
                <w:color w:val="auto"/>
                <w:sz w:val="26"/>
                <w:szCs w:val="26"/>
              </w:rPr>
              <w:tab/>
            </w:r>
          </w:p>
          <w:p w14:paraId="708C6E43">
            <w:pPr>
              <w:widowControl w:val="0"/>
              <w:shd w:val="clear" w:color="auto" w:fill="FFFFFF"/>
              <w:spacing w:before="40" w:after="40" w:line="240" w:lineRule="auto"/>
              <w:jc w:val="both"/>
              <w:rPr>
                <w:b/>
                <w:bCs/>
                <w:color w:val="auto"/>
                <w:sz w:val="26"/>
                <w:szCs w:val="26"/>
              </w:rPr>
            </w:pPr>
            <w:r>
              <w:rPr>
                <w:b/>
                <w:bCs/>
                <w:color w:val="auto"/>
                <w:sz w:val="26"/>
                <w:szCs w:val="26"/>
              </w:rPr>
              <w:t>Technical documents for all goods:</w:t>
            </w:r>
          </w:p>
          <w:p w14:paraId="708C6E44">
            <w:pPr>
              <w:pStyle w:val="97"/>
              <w:widowControl w:val="0"/>
              <w:numPr>
                <w:ilvl w:val="3"/>
                <w:numId w:val="69"/>
              </w:numPr>
              <w:shd w:val="clear" w:color="auto" w:fill="FFFFFF"/>
              <w:spacing w:before="40" w:after="40"/>
              <w:ind w:left="463" w:hanging="425"/>
              <w:rPr>
                <w:color w:val="auto"/>
                <w:sz w:val="26"/>
                <w:szCs w:val="26"/>
              </w:rPr>
            </w:pPr>
            <w:r>
              <w:rPr>
                <w:color w:val="auto"/>
                <w:sz w:val="26"/>
                <w:szCs w:val="26"/>
              </w:rPr>
              <w:t xml:space="preserve">The Supplier shall directly submit all technical documents concerned to the Goods as specified in Technical Specification of contract to the Purchaser in two (02) copies as well as to </w:t>
            </w:r>
            <w:r>
              <w:rPr>
                <w:rFonts w:eastAsia="Calibri"/>
                <w:b/>
                <w:bCs/>
                <w:color w:val="auto"/>
                <w:sz w:val="26"/>
                <w:szCs w:val="26"/>
              </w:rPr>
              <w:t xml:space="preserve">Power Engineering Consulting Joint Stock Company 3 </w:t>
            </w:r>
            <w:r>
              <w:rPr>
                <w:b/>
                <w:bCs/>
                <w:color w:val="auto"/>
                <w:sz w:val="26"/>
                <w:szCs w:val="26"/>
              </w:rPr>
              <w:t>(PECC3)</w:t>
            </w:r>
            <w:r>
              <w:rPr>
                <w:color w:val="auto"/>
                <w:sz w:val="26"/>
                <w:szCs w:val="26"/>
              </w:rPr>
              <w:t xml:space="preserve"> in one (01) copy by Express Courier and all charges/cost relating to the submission shall be borne by the Supplier.</w:t>
            </w:r>
          </w:p>
          <w:p w14:paraId="708C6E45">
            <w:pPr>
              <w:widowControl w:val="0"/>
              <w:shd w:val="clear" w:color="auto" w:fill="FFFFFF"/>
              <w:spacing w:before="40" w:after="40" w:line="240" w:lineRule="auto"/>
              <w:ind w:left="1080"/>
              <w:jc w:val="center"/>
              <w:rPr>
                <w:color w:val="auto"/>
                <w:sz w:val="26"/>
                <w:szCs w:val="26"/>
              </w:rPr>
            </w:pPr>
            <w:r>
              <w:rPr>
                <w:b/>
                <w:bCs/>
                <w:color w:val="auto"/>
                <w:sz w:val="26"/>
                <w:szCs w:val="26"/>
              </w:rPr>
              <w:t>Power Engineering Consulting Joint Stock Company 3</w:t>
            </w:r>
            <w:r>
              <w:rPr>
                <w:color w:val="auto"/>
                <w:sz w:val="26"/>
                <w:szCs w:val="26"/>
              </w:rPr>
              <w:t>, add: No.32 Ngo Thoi Nhiem Street, Xuan Hoa Ward, Ho Chi Minh City, S.R Vietnam</w:t>
            </w:r>
          </w:p>
          <w:p w14:paraId="708C6E46">
            <w:pPr>
              <w:pStyle w:val="97"/>
              <w:widowControl w:val="0"/>
              <w:numPr>
                <w:ilvl w:val="3"/>
                <w:numId w:val="69"/>
              </w:numPr>
              <w:shd w:val="clear" w:color="auto" w:fill="FFFFFF"/>
              <w:spacing w:before="40" w:after="40"/>
              <w:ind w:left="463" w:hanging="425"/>
              <w:rPr>
                <w:color w:val="auto"/>
                <w:sz w:val="26"/>
                <w:szCs w:val="26"/>
              </w:rPr>
            </w:pPr>
            <w:r>
              <w:rPr>
                <w:color w:val="auto"/>
                <w:sz w:val="26"/>
                <w:szCs w:val="26"/>
              </w:rPr>
              <w:t>During the design process, the Supplier shall furnish to the Purchaser all drawings and technical specifications of the goods for the Purchaser’s review.</w:t>
            </w:r>
          </w:p>
          <w:p w14:paraId="708C6E47">
            <w:pPr>
              <w:pStyle w:val="97"/>
              <w:widowControl w:val="0"/>
              <w:numPr>
                <w:ilvl w:val="3"/>
                <w:numId w:val="69"/>
              </w:numPr>
              <w:shd w:val="clear" w:color="auto" w:fill="FFFFFF"/>
              <w:spacing w:before="40" w:after="40"/>
              <w:ind w:left="463" w:hanging="425"/>
              <w:rPr>
                <w:color w:val="auto"/>
                <w:sz w:val="26"/>
                <w:szCs w:val="26"/>
              </w:rPr>
            </w:pPr>
            <w:r>
              <w:rPr>
                <w:color w:val="auto"/>
                <w:sz w:val="26"/>
                <w:szCs w:val="26"/>
              </w:rPr>
              <w:t>All the technical documents relating to the manufacture, design and technical documents for purpose of civil works design of the Purchaser shall be submitted to the Purchaser by the Supplier within four (04) weeks from the contract signing date. All remaining documents shall be submitted within six (06) weeks from the contract signing date.</w:t>
            </w:r>
          </w:p>
          <w:p w14:paraId="708C6E48">
            <w:pPr>
              <w:pStyle w:val="97"/>
              <w:widowControl w:val="0"/>
              <w:numPr>
                <w:ilvl w:val="3"/>
                <w:numId w:val="69"/>
              </w:numPr>
              <w:shd w:val="clear" w:color="auto" w:fill="FFFFFF"/>
              <w:spacing w:before="40" w:after="40"/>
              <w:ind w:left="463" w:hanging="425"/>
              <w:rPr>
                <w:color w:val="auto"/>
                <w:sz w:val="26"/>
                <w:szCs w:val="26"/>
              </w:rPr>
            </w:pPr>
            <w:r>
              <w:rPr>
                <w:color w:val="auto"/>
                <w:sz w:val="26"/>
                <w:szCs w:val="26"/>
              </w:rPr>
              <w:t>All the drawings and relating document shall be submitted to the Purchaser by the Supplier in three (03) copies (two for the Purchaser, one for Consultant company), clearly marked “Drawings for approval”.</w:t>
            </w:r>
          </w:p>
          <w:p w14:paraId="708C6E49">
            <w:pPr>
              <w:widowControl w:val="0"/>
              <w:shd w:val="clear" w:color="auto" w:fill="FFFFFF"/>
              <w:tabs>
                <w:tab w:val="left" w:pos="484"/>
              </w:tabs>
              <w:spacing w:before="40" w:after="40" w:line="240" w:lineRule="auto"/>
              <w:jc w:val="both"/>
              <w:rPr>
                <w:color w:val="auto"/>
                <w:sz w:val="26"/>
                <w:szCs w:val="26"/>
              </w:rPr>
            </w:pPr>
            <w:r>
              <w:rPr>
                <w:color w:val="auto"/>
                <w:sz w:val="26"/>
                <w:szCs w:val="26"/>
              </w:rPr>
              <w:tab/>
            </w:r>
            <w:r>
              <w:rPr>
                <w:color w:val="auto"/>
                <w:sz w:val="26"/>
                <w:szCs w:val="26"/>
              </w:rPr>
              <w:t>Within three (03) weeks after receipt by the Purchaser of the above documents, the Purchaser shall return to the Supplier a copy of those documents, of which the modifications (if any) shall be clearly indicated.</w:t>
            </w:r>
          </w:p>
          <w:p w14:paraId="708C6E4A">
            <w:pPr>
              <w:pStyle w:val="97"/>
              <w:widowControl w:val="0"/>
              <w:numPr>
                <w:ilvl w:val="3"/>
                <w:numId w:val="69"/>
              </w:numPr>
              <w:shd w:val="clear" w:color="auto" w:fill="FFFFFF"/>
              <w:spacing w:before="40" w:after="40"/>
              <w:ind w:left="463" w:hanging="425"/>
              <w:rPr>
                <w:color w:val="auto"/>
                <w:sz w:val="26"/>
                <w:szCs w:val="26"/>
              </w:rPr>
            </w:pPr>
            <w:r>
              <w:rPr>
                <w:color w:val="auto"/>
                <w:sz w:val="26"/>
                <w:szCs w:val="26"/>
              </w:rPr>
              <w:t>All the drawings return to the Supplier marked “Return to modify” shall be modified by the Supplier within 1 week and resubmit to the Purchaser for further review. If the Supplier accepts all the modifications in the drawings marked “Return to modify”, they shall manufacture the goods continuously.</w:t>
            </w:r>
          </w:p>
          <w:p w14:paraId="708C6E4B">
            <w:pPr>
              <w:widowControl w:val="0"/>
              <w:shd w:val="clear" w:color="auto" w:fill="FFFFFF"/>
              <w:tabs>
                <w:tab w:val="left" w:pos="484"/>
              </w:tabs>
              <w:spacing w:before="40" w:after="40" w:line="240" w:lineRule="auto"/>
              <w:jc w:val="both"/>
              <w:rPr>
                <w:color w:val="auto"/>
                <w:sz w:val="26"/>
                <w:szCs w:val="26"/>
              </w:rPr>
            </w:pPr>
            <w:r>
              <w:rPr>
                <w:color w:val="auto"/>
                <w:sz w:val="26"/>
                <w:szCs w:val="26"/>
              </w:rPr>
              <w:tab/>
            </w:r>
            <w:r>
              <w:rPr>
                <w:color w:val="auto"/>
                <w:sz w:val="26"/>
                <w:szCs w:val="26"/>
              </w:rPr>
              <w:t>If the Purchaser fails to take such action within four (04) weeks, the documents shall be deemed to have approved by the Purchaser.</w:t>
            </w:r>
          </w:p>
          <w:p w14:paraId="708C6E4C">
            <w:pPr>
              <w:widowControl w:val="0"/>
              <w:shd w:val="clear" w:color="auto" w:fill="FFFFFF"/>
              <w:tabs>
                <w:tab w:val="left" w:pos="484"/>
              </w:tabs>
              <w:spacing w:before="40" w:after="40" w:line="240" w:lineRule="auto"/>
              <w:jc w:val="both"/>
              <w:rPr>
                <w:color w:val="auto"/>
                <w:sz w:val="26"/>
                <w:szCs w:val="26"/>
              </w:rPr>
            </w:pPr>
            <w:r>
              <w:rPr>
                <w:color w:val="auto"/>
                <w:sz w:val="26"/>
                <w:szCs w:val="26"/>
              </w:rPr>
              <w:tab/>
            </w:r>
            <w:r>
              <w:rPr>
                <w:color w:val="auto"/>
                <w:sz w:val="26"/>
                <w:szCs w:val="26"/>
              </w:rPr>
              <w:t xml:space="preserve">The Supplier shall submit to the Purchaser Ten (10) sets (hard copy) of final technical drawings/documents accompanied with one (01) Usb and five (05) CDs shall be sent to the Purchaser after approval in which one (01) set (hard copy) shall be sent directly to consulting company </w:t>
            </w:r>
            <w:r>
              <w:rPr>
                <w:b/>
                <w:bCs/>
                <w:color w:val="auto"/>
                <w:sz w:val="26"/>
                <w:szCs w:val="26"/>
              </w:rPr>
              <w:t>(PECC3)</w:t>
            </w:r>
            <w:r>
              <w:rPr>
                <w:color w:val="auto"/>
                <w:sz w:val="26"/>
                <w:szCs w:val="26"/>
              </w:rPr>
              <w:t>.</w:t>
            </w:r>
          </w:p>
          <w:p w14:paraId="708C6E4D">
            <w:pPr>
              <w:pStyle w:val="97"/>
              <w:widowControl w:val="0"/>
              <w:numPr>
                <w:ilvl w:val="3"/>
                <w:numId w:val="69"/>
              </w:numPr>
              <w:shd w:val="clear" w:color="auto" w:fill="FFFFFF"/>
              <w:spacing w:before="40" w:after="40"/>
              <w:ind w:left="463" w:hanging="425"/>
              <w:rPr>
                <w:color w:val="auto"/>
                <w:sz w:val="26"/>
                <w:szCs w:val="26"/>
              </w:rPr>
            </w:pPr>
            <w:r>
              <w:rPr>
                <w:color w:val="auto"/>
                <w:sz w:val="26"/>
                <w:szCs w:val="26"/>
              </w:rPr>
              <w:t>The review of the drawings of the Purchaser or his Consultant shall not relieve the Supplier of any responsibility or liability imposed upon it by any provision of the Contract, particularly the responsibility and liability on the quality and delivery of the Goods.</w:t>
            </w:r>
          </w:p>
          <w:p w14:paraId="708C6E4E">
            <w:pPr>
              <w:pStyle w:val="97"/>
              <w:widowControl w:val="0"/>
              <w:numPr>
                <w:ilvl w:val="3"/>
                <w:numId w:val="69"/>
              </w:numPr>
              <w:shd w:val="clear" w:color="auto" w:fill="FFFFFF"/>
              <w:spacing w:before="40" w:after="40"/>
              <w:ind w:left="463" w:hanging="425"/>
              <w:rPr>
                <w:color w:val="auto"/>
                <w:sz w:val="26"/>
                <w:szCs w:val="26"/>
              </w:rPr>
            </w:pPr>
            <w:r>
              <w:rPr>
                <w:color w:val="auto"/>
                <w:sz w:val="26"/>
                <w:szCs w:val="26"/>
              </w:rPr>
              <w:t xml:space="preserve">During contract performance (including technical approving, manufacturing, …), Supplier shall notify if there will be any discrepancy in comparison with Contract and point to them for the Purchaser’s consideration. </w:t>
            </w:r>
          </w:p>
          <w:p w14:paraId="708C6E4F">
            <w:pPr>
              <w:pStyle w:val="97"/>
              <w:widowControl w:val="0"/>
              <w:shd w:val="clear" w:color="auto" w:fill="FFFFFF"/>
              <w:spacing w:before="40" w:after="40"/>
              <w:ind w:left="34"/>
              <w:rPr>
                <w:color w:val="auto"/>
                <w:sz w:val="26"/>
                <w:szCs w:val="26"/>
              </w:rPr>
            </w:pPr>
            <w:r>
              <w:rPr>
                <w:color w:val="auto"/>
                <w:sz w:val="26"/>
                <w:szCs w:val="26"/>
              </w:rPr>
              <w:t>In case, there is any discrepancy without notifying or pointing out which delay energizing of project or other problems, Supplier shall be considered as breach of contract.</w:t>
            </w:r>
            <w:r>
              <w:rPr>
                <w:color w:val="auto"/>
                <w:sz w:val="26"/>
                <w:szCs w:val="26"/>
              </w:rPr>
              <w:tab/>
            </w:r>
          </w:p>
          <w:p w14:paraId="708C6E50">
            <w:pPr>
              <w:pStyle w:val="97"/>
              <w:widowControl w:val="0"/>
              <w:numPr>
                <w:ilvl w:val="3"/>
                <w:numId w:val="69"/>
              </w:numPr>
              <w:shd w:val="clear" w:color="auto" w:fill="FFFFFF"/>
              <w:spacing w:before="40" w:after="40"/>
              <w:ind w:left="463" w:hanging="425"/>
              <w:rPr>
                <w:color w:val="auto"/>
                <w:sz w:val="26"/>
                <w:szCs w:val="26"/>
              </w:rPr>
            </w:pPr>
            <w:r>
              <w:rPr>
                <w:color w:val="auto"/>
                <w:sz w:val="26"/>
                <w:szCs w:val="26"/>
              </w:rPr>
              <w:t>Prior to each shipment, the Supplier shall send to the Purchaser two (02) copies of documents of installation, operation and maintenance; and two (02) copies of test reports.</w:t>
            </w:r>
          </w:p>
          <w:p w14:paraId="708C6E51">
            <w:pPr>
              <w:widowControl w:val="0"/>
              <w:shd w:val="clear" w:color="auto" w:fill="FFFFFF"/>
              <w:tabs>
                <w:tab w:val="left" w:pos="484"/>
              </w:tabs>
              <w:spacing w:before="40" w:after="40" w:line="240" w:lineRule="auto"/>
              <w:jc w:val="both"/>
              <w:rPr>
                <w:color w:val="auto"/>
                <w:sz w:val="26"/>
                <w:szCs w:val="26"/>
              </w:rPr>
            </w:pPr>
            <w:r>
              <w:rPr>
                <w:color w:val="auto"/>
                <w:sz w:val="26"/>
                <w:szCs w:val="26"/>
              </w:rPr>
              <w:tab/>
            </w:r>
            <w:r>
              <w:rPr>
                <w:color w:val="auto"/>
                <w:sz w:val="26"/>
                <w:szCs w:val="26"/>
              </w:rPr>
              <w:t>The document of installation, operation and maintenance including at least as follows:</w:t>
            </w:r>
          </w:p>
          <w:p w14:paraId="708C6E52">
            <w:pPr>
              <w:widowControl w:val="0"/>
              <w:numPr>
                <w:ilvl w:val="0"/>
                <w:numId w:val="70"/>
              </w:numPr>
              <w:shd w:val="clear" w:color="auto" w:fill="FFFFFF"/>
              <w:tabs>
                <w:tab w:val="left" w:pos="721"/>
              </w:tabs>
              <w:spacing w:before="40" w:after="40" w:line="240" w:lineRule="auto"/>
              <w:ind w:left="0" w:firstLine="484"/>
              <w:jc w:val="both"/>
              <w:rPr>
                <w:color w:val="auto"/>
                <w:sz w:val="26"/>
                <w:szCs w:val="26"/>
              </w:rPr>
            </w:pPr>
            <w:r>
              <w:rPr>
                <w:color w:val="auto"/>
                <w:sz w:val="26"/>
                <w:szCs w:val="26"/>
              </w:rPr>
              <w:t>Average design lifetime of equipment, conditions of operation to ensure achievement of the design lifetime.</w:t>
            </w:r>
          </w:p>
          <w:p w14:paraId="708C6E53">
            <w:pPr>
              <w:widowControl w:val="0"/>
              <w:numPr>
                <w:ilvl w:val="0"/>
                <w:numId w:val="70"/>
              </w:numPr>
              <w:shd w:val="clear" w:color="auto" w:fill="FFFFFF"/>
              <w:tabs>
                <w:tab w:val="left" w:pos="721"/>
              </w:tabs>
              <w:spacing w:before="40" w:after="40" w:line="240" w:lineRule="auto"/>
              <w:ind w:left="0" w:firstLine="484"/>
              <w:jc w:val="both"/>
              <w:rPr>
                <w:color w:val="auto"/>
                <w:sz w:val="26"/>
                <w:szCs w:val="26"/>
              </w:rPr>
            </w:pPr>
            <w:r>
              <w:rPr>
                <w:color w:val="auto"/>
                <w:sz w:val="26"/>
                <w:szCs w:val="26"/>
              </w:rPr>
              <w:t xml:space="preserve">Detailed instructions of preservation, transportation, installation, testing after installation.  </w:t>
            </w:r>
          </w:p>
          <w:p w14:paraId="708C6E54">
            <w:pPr>
              <w:widowControl w:val="0"/>
              <w:numPr>
                <w:ilvl w:val="0"/>
                <w:numId w:val="70"/>
              </w:numPr>
              <w:shd w:val="clear" w:color="auto" w:fill="FFFFFF"/>
              <w:tabs>
                <w:tab w:val="left" w:pos="721"/>
              </w:tabs>
              <w:spacing w:before="40" w:after="40" w:line="240" w:lineRule="auto"/>
              <w:ind w:left="0" w:firstLine="484"/>
              <w:jc w:val="both"/>
              <w:rPr>
                <w:color w:val="auto"/>
                <w:sz w:val="26"/>
                <w:szCs w:val="26"/>
              </w:rPr>
            </w:pPr>
            <w:r>
              <w:rPr>
                <w:color w:val="auto"/>
                <w:sz w:val="26"/>
                <w:szCs w:val="26"/>
              </w:rPr>
              <w:t xml:space="preserve">Instructions of operating equipment in normal condition, handling unusual expressions; warning the abnormal operating modes affect to quality, lifetime of equipment (including classification of the level of influence to equipment by the abnormal operating modes)       </w:t>
            </w:r>
          </w:p>
          <w:p w14:paraId="708C6E55">
            <w:pPr>
              <w:widowControl w:val="0"/>
              <w:numPr>
                <w:ilvl w:val="0"/>
                <w:numId w:val="70"/>
              </w:numPr>
              <w:shd w:val="clear" w:color="auto" w:fill="FFFFFF"/>
              <w:tabs>
                <w:tab w:val="left" w:pos="721"/>
              </w:tabs>
              <w:spacing w:before="40" w:after="40" w:line="240" w:lineRule="auto"/>
              <w:ind w:left="0" w:firstLine="484"/>
              <w:jc w:val="both"/>
              <w:rPr>
                <w:color w:val="auto"/>
                <w:sz w:val="26"/>
                <w:szCs w:val="26"/>
              </w:rPr>
            </w:pPr>
            <w:r>
              <w:rPr>
                <w:color w:val="auto"/>
                <w:sz w:val="26"/>
                <w:szCs w:val="26"/>
              </w:rPr>
              <w:t xml:space="preserve">Detailed instructions of inspection, supervision, monitoring the signals on equipment to detect the risk of equipment damage.   </w:t>
            </w:r>
          </w:p>
          <w:p w14:paraId="708C6E56">
            <w:pPr>
              <w:widowControl w:val="0"/>
              <w:numPr>
                <w:ilvl w:val="0"/>
                <w:numId w:val="70"/>
              </w:numPr>
              <w:shd w:val="clear" w:color="auto" w:fill="FFFFFF"/>
              <w:tabs>
                <w:tab w:val="left" w:pos="721"/>
              </w:tabs>
              <w:spacing w:before="40" w:after="40" w:line="240" w:lineRule="auto"/>
              <w:ind w:left="0" w:firstLine="484"/>
              <w:jc w:val="both"/>
              <w:rPr>
                <w:color w:val="auto"/>
                <w:sz w:val="26"/>
                <w:szCs w:val="26"/>
              </w:rPr>
            </w:pPr>
            <w:r>
              <w:rPr>
                <w:color w:val="auto"/>
                <w:sz w:val="26"/>
                <w:szCs w:val="26"/>
              </w:rPr>
              <w:t>Instructions of testing equipment after putting into operation, including testing items must perform, the parameters and evaluation method to ensure equipment operated reliably.</w:t>
            </w:r>
          </w:p>
          <w:p w14:paraId="708C6E57">
            <w:pPr>
              <w:widowControl w:val="0"/>
              <w:numPr>
                <w:ilvl w:val="0"/>
                <w:numId w:val="70"/>
              </w:numPr>
              <w:shd w:val="clear" w:color="auto" w:fill="FFFFFF"/>
              <w:tabs>
                <w:tab w:val="left" w:pos="721"/>
              </w:tabs>
              <w:spacing w:before="40" w:after="40" w:line="240" w:lineRule="auto"/>
              <w:ind w:left="0" w:firstLine="484"/>
              <w:jc w:val="both"/>
              <w:rPr>
                <w:color w:val="auto"/>
                <w:sz w:val="26"/>
                <w:szCs w:val="26"/>
              </w:rPr>
            </w:pPr>
            <w:r>
              <w:rPr>
                <w:color w:val="auto"/>
                <w:sz w:val="26"/>
                <w:szCs w:val="26"/>
              </w:rPr>
              <w:t xml:space="preserve">Instructions of periodic maintenance; replacing parts; repairing damaged component to ensure equipment operated correctly. </w:t>
            </w:r>
          </w:p>
          <w:p w14:paraId="708C6E58">
            <w:pPr>
              <w:widowControl w:val="0"/>
              <w:numPr>
                <w:ilvl w:val="0"/>
                <w:numId w:val="70"/>
              </w:numPr>
              <w:shd w:val="clear" w:color="auto" w:fill="FFFFFF"/>
              <w:tabs>
                <w:tab w:val="left" w:pos="721"/>
              </w:tabs>
              <w:spacing w:before="40" w:after="40" w:line="240" w:lineRule="auto"/>
              <w:ind w:left="0" w:firstLine="484"/>
              <w:jc w:val="both"/>
              <w:rPr>
                <w:color w:val="auto"/>
                <w:sz w:val="26"/>
                <w:szCs w:val="26"/>
              </w:rPr>
            </w:pPr>
            <w:r>
              <w:rPr>
                <w:color w:val="auto"/>
                <w:sz w:val="26"/>
                <w:szCs w:val="26"/>
              </w:rPr>
              <w:t>Requirements of training, necessary tools/equipment for operation, testing, inspection, monitoring, maintenance, repairing equipment; recommendation of spare parts and replacement conditions.</w:t>
            </w:r>
          </w:p>
          <w:p w14:paraId="708C6E59">
            <w:pPr>
              <w:widowControl w:val="0"/>
              <w:shd w:val="clear" w:color="auto" w:fill="FFFFFF"/>
              <w:tabs>
                <w:tab w:val="left" w:pos="484"/>
              </w:tabs>
              <w:spacing w:before="40" w:after="40" w:line="240" w:lineRule="auto"/>
              <w:jc w:val="both"/>
              <w:rPr>
                <w:color w:val="auto"/>
                <w:sz w:val="26"/>
                <w:szCs w:val="26"/>
              </w:rPr>
            </w:pPr>
            <w:r>
              <w:rPr>
                <w:color w:val="auto"/>
                <w:sz w:val="26"/>
                <w:szCs w:val="26"/>
              </w:rPr>
              <w:tab/>
            </w:r>
            <w:r>
              <w:rPr>
                <w:color w:val="auto"/>
                <w:sz w:val="26"/>
                <w:szCs w:val="26"/>
              </w:rPr>
              <w:t>After the last shipment, the Supplier shall gather all the documents of installation, operation and maintenance and test reports of all partial shipments to send to the Purchaser in six (06) copies of documents of installation, operation and maintenance and one (01) original &amp; (05) copies of test reports</w:t>
            </w:r>
            <w:r>
              <w:rPr>
                <w:color w:val="auto"/>
                <w:sz w:val="26"/>
                <w:szCs w:val="26"/>
                <w:lang w:val="vi-VN"/>
              </w:rPr>
              <w:t xml:space="preserve"> </w:t>
            </w:r>
            <w:r>
              <w:rPr>
                <w:color w:val="auto"/>
                <w:sz w:val="26"/>
                <w:szCs w:val="26"/>
              </w:rPr>
              <w:t xml:space="preserve">and two (02) CDs of all above mentioned documents. </w:t>
            </w:r>
          </w:p>
          <w:p w14:paraId="708C6E5A">
            <w:pPr>
              <w:widowControl w:val="0"/>
              <w:shd w:val="clear" w:color="auto" w:fill="FFFFFF"/>
              <w:tabs>
                <w:tab w:val="left" w:pos="484"/>
              </w:tabs>
              <w:spacing w:before="40" w:after="40" w:line="240" w:lineRule="auto"/>
              <w:jc w:val="both"/>
              <w:rPr>
                <w:color w:val="auto"/>
                <w:sz w:val="26"/>
                <w:szCs w:val="26"/>
              </w:rPr>
            </w:pPr>
            <w:r>
              <w:rPr>
                <w:color w:val="auto"/>
                <w:sz w:val="26"/>
                <w:szCs w:val="26"/>
              </w:rPr>
              <w:tab/>
            </w:r>
            <w:r>
              <w:rPr>
                <w:color w:val="auto"/>
                <w:sz w:val="26"/>
                <w:szCs w:val="26"/>
              </w:rPr>
              <w:t>All the above technical documents shall be received by the Purchaser before arrival of the Goods and, if not received, the Supplier will be responsible for any consequent expenses.</w:t>
            </w:r>
          </w:p>
          <w:p w14:paraId="708C6E5B">
            <w:pPr>
              <w:pStyle w:val="97"/>
              <w:widowControl w:val="0"/>
              <w:numPr>
                <w:ilvl w:val="3"/>
                <w:numId w:val="69"/>
              </w:numPr>
              <w:shd w:val="clear" w:color="auto" w:fill="FFFFFF"/>
              <w:spacing w:before="40" w:after="40"/>
              <w:ind w:left="463" w:hanging="425"/>
              <w:rPr>
                <w:color w:val="auto"/>
                <w:sz w:val="26"/>
                <w:szCs w:val="26"/>
              </w:rPr>
            </w:pPr>
            <w:r>
              <w:rPr>
                <w:color w:val="auto"/>
                <w:sz w:val="26"/>
                <w:szCs w:val="26"/>
              </w:rPr>
              <w:t>It is to be understood, however, that approval of drawings will not relieve the Supplier from any responsibility for executing the Works in accordance with the Contract.</w:t>
            </w:r>
          </w:p>
          <w:p w14:paraId="708C6E5C">
            <w:pPr>
              <w:widowControl w:val="0"/>
              <w:shd w:val="clear" w:color="auto" w:fill="FFFFFF"/>
              <w:tabs>
                <w:tab w:val="left" w:pos="484"/>
              </w:tabs>
              <w:spacing w:before="40" w:after="40" w:line="240" w:lineRule="auto"/>
              <w:jc w:val="both"/>
              <w:rPr>
                <w:color w:val="auto"/>
                <w:sz w:val="26"/>
                <w:szCs w:val="26"/>
              </w:rPr>
            </w:pPr>
            <w:r>
              <w:rPr>
                <w:color w:val="auto"/>
                <w:sz w:val="26"/>
                <w:szCs w:val="26"/>
              </w:rPr>
              <w:tab/>
            </w:r>
            <w:r>
              <w:rPr>
                <w:color w:val="auto"/>
                <w:sz w:val="26"/>
                <w:szCs w:val="26"/>
              </w:rPr>
              <w:t>The approval of the Engineer will not prejudice the right of the Employer to reject equipment if it does not give complete satisfaction in service.</w:t>
            </w:r>
          </w:p>
          <w:p w14:paraId="708C6E5D">
            <w:pPr>
              <w:pStyle w:val="97"/>
              <w:widowControl w:val="0"/>
              <w:numPr>
                <w:ilvl w:val="3"/>
                <w:numId w:val="69"/>
              </w:numPr>
              <w:shd w:val="clear" w:color="auto" w:fill="FFFFFF"/>
              <w:spacing w:before="40" w:after="40"/>
              <w:ind w:left="463" w:hanging="425"/>
              <w:rPr>
                <w:color w:val="auto"/>
                <w:sz w:val="26"/>
                <w:szCs w:val="26"/>
              </w:rPr>
            </w:pPr>
            <w:r>
              <w:rPr>
                <w:color w:val="auto"/>
                <w:sz w:val="26"/>
                <w:szCs w:val="26"/>
              </w:rPr>
              <w:t>The stipulations of this Clause supplement these specified in the Technical Specification. Whenever there is any difference and/or conflict, the Clauses in the Technical Specifications shall prevail.</w:t>
            </w:r>
          </w:p>
          <w:p w14:paraId="708C6E5E">
            <w:pPr>
              <w:pStyle w:val="15"/>
              <w:widowControl w:val="0"/>
              <w:shd w:val="clear" w:color="auto" w:fill="FFFFFF"/>
              <w:spacing w:before="40" w:after="40" w:line="240" w:lineRule="auto"/>
              <w:ind w:left="59"/>
              <w:jc w:val="both"/>
              <w:rPr>
                <w:color w:val="auto"/>
                <w:sz w:val="26"/>
                <w:szCs w:val="26"/>
                <w:u w:val="single"/>
              </w:rPr>
            </w:pPr>
            <w:r>
              <w:rPr>
                <w:b/>
                <w:color w:val="auto"/>
                <w:sz w:val="26"/>
                <w:szCs w:val="26"/>
                <w:u w:val="single"/>
              </w:rPr>
              <w:t>Notes:</w:t>
            </w:r>
          </w:p>
          <w:p w14:paraId="708C6E5F">
            <w:pPr>
              <w:pStyle w:val="97"/>
              <w:widowControl w:val="0"/>
              <w:numPr>
                <w:ilvl w:val="0"/>
                <w:numId w:val="71"/>
              </w:numPr>
              <w:shd w:val="clear" w:color="auto" w:fill="FFFFFF"/>
              <w:tabs>
                <w:tab w:val="left" w:pos="406"/>
              </w:tabs>
              <w:spacing w:before="40" w:after="40"/>
              <w:ind w:left="0" w:firstLine="141"/>
              <w:contextualSpacing w:val="0"/>
              <w:rPr>
                <w:color w:val="auto"/>
                <w:sz w:val="26"/>
                <w:szCs w:val="26"/>
              </w:rPr>
            </w:pPr>
            <w:r>
              <w:rPr>
                <w:color w:val="auto"/>
                <w:sz w:val="26"/>
                <w:szCs w:val="26"/>
              </w:rPr>
              <w:t>The Insurance Certificate could be replaced by Insurance Policy.</w:t>
            </w:r>
          </w:p>
          <w:p w14:paraId="708C6E60">
            <w:pPr>
              <w:pStyle w:val="97"/>
              <w:widowControl w:val="0"/>
              <w:numPr>
                <w:ilvl w:val="0"/>
                <w:numId w:val="71"/>
              </w:numPr>
              <w:shd w:val="clear" w:color="auto" w:fill="FFFFFF"/>
              <w:tabs>
                <w:tab w:val="left" w:pos="406"/>
              </w:tabs>
              <w:spacing w:before="40" w:after="40"/>
              <w:ind w:left="0" w:firstLine="141"/>
              <w:contextualSpacing w:val="0"/>
              <w:rPr>
                <w:color w:val="auto"/>
                <w:sz w:val="26"/>
                <w:szCs w:val="26"/>
              </w:rPr>
            </w:pPr>
            <w:r>
              <w:rPr>
                <w:color w:val="auto"/>
                <w:sz w:val="26"/>
                <w:szCs w:val="26"/>
              </w:rPr>
              <w:t>The above documents shall be accepted by the Purchaser before arrival of the Goods at the final destination.</w:t>
            </w:r>
          </w:p>
          <w:p w14:paraId="708C6E61">
            <w:pPr>
              <w:pStyle w:val="97"/>
              <w:widowControl w:val="0"/>
              <w:numPr>
                <w:ilvl w:val="0"/>
                <w:numId w:val="71"/>
              </w:numPr>
              <w:shd w:val="clear" w:color="auto" w:fill="FFFFFF"/>
              <w:tabs>
                <w:tab w:val="left" w:pos="406"/>
              </w:tabs>
              <w:spacing w:before="40" w:after="40"/>
              <w:ind w:left="0" w:firstLine="141"/>
              <w:contextualSpacing w:val="0"/>
              <w:rPr>
                <w:color w:val="auto"/>
                <w:sz w:val="26"/>
                <w:szCs w:val="26"/>
              </w:rPr>
            </w:pPr>
            <w:r>
              <w:rPr>
                <w:color w:val="auto"/>
                <w:sz w:val="26"/>
                <w:szCs w:val="26"/>
              </w:rPr>
              <w:t>The Purchaser may refuse to receive the goods without incurring any liability, if the provided documents of the Supplier are inconsistent with the provisions of the contract.</w:t>
            </w:r>
          </w:p>
          <w:p w14:paraId="708C6E62">
            <w:pPr>
              <w:pStyle w:val="97"/>
              <w:widowControl w:val="0"/>
              <w:numPr>
                <w:ilvl w:val="0"/>
                <w:numId w:val="71"/>
              </w:numPr>
              <w:shd w:val="clear" w:color="auto" w:fill="FFFFFF"/>
              <w:tabs>
                <w:tab w:val="left" w:pos="406"/>
              </w:tabs>
              <w:spacing w:before="40" w:after="40"/>
              <w:ind w:left="0" w:firstLine="141"/>
              <w:contextualSpacing w:val="0"/>
              <w:rPr>
                <w:color w:val="auto"/>
                <w:sz w:val="26"/>
                <w:szCs w:val="26"/>
              </w:rPr>
            </w:pPr>
            <w:r>
              <w:rPr>
                <w:color w:val="auto"/>
                <w:sz w:val="26"/>
                <w:szCs w:val="26"/>
              </w:rPr>
              <w:t>The Supplier is not allowed changing the C/O, specifications of equipment except the approval of Purchaser. In case the Supplier arbitrarily change above items without permission of the Purchaser then the Supplier shall be considered breach of the Contract.</w:t>
            </w:r>
          </w:p>
          <w:p w14:paraId="708C6E63">
            <w:pPr>
              <w:pStyle w:val="97"/>
              <w:widowControl w:val="0"/>
              <w:numPr>
                <w:ilvl w:val="0"/>
                <w:numId w:val="71"/>
              </w:numPr>
              <w:shd w:val="clear" w:color="auto" w:fill="FFFFFF"/>
              <w:tabs>
                <w:tab w:val="left" w:pos="406"/>
              </w:tabs>
              <w:spacing w:before="40" w:after="40"/>
              <w:ind w:left="0" w:firstLine="141"/>
              <w:contextualSpacing w:val="0"/>
              <w:rPr>
                <w:color w:val="auto"/>
                <w:sz w:val="26"/>
                <w:szCs w:val="26"/>
              </w:rPr>
            </w:pPr>
            <w:r>
              <w:rPr>
                <w:color w:val="auto"/>
                <w:sz w:val="26"/>
                <w:szCs w:val="26"/>
              </w:rPr>
              <w:t>During contract performance, Supplier shall be responsibility to propose legal representative that attended the meeting when the Purchaser requests.</w:t>
            </w:r>
          </w:p>
          <w:p w14:paraId="708C6E64">
            <w:pPr>
              <w:pStyle w:val="97"/>
              <w:widowControl w:val="0"/>
              <w:numPr>
                <w:ilvl w:val="3"/>
                <w:numId w:val="69"/>
              </w:numPr>
              <w:shd w:val="clear" w:color="auto" w:fill="FFFFFF"/>
              <w:spacing w:before="40" w:after="40"/>
              <w:ind w:left="463" w:hanging="425"/>
              <w:rPr>
                <w:color w:val="auto"/>
                <w:sz w:val="26"/>
                <w:szCs w:val="26"/>
              </w:rPr>
            </w:pPr>
            <w:r>
              <w:rPr>
                <w:color w:val="auto"/>
                <w:sz w:val="26"/>
                <w:szCs w:val="26"/>
              </w:rPr>
              <w:t>For Approval and Final drawings and documents:</w:t>
            </w:r>
          </w:p>
          <w:p w14:paraId="708C6E65">
            <w:pPr>
              <w:widowControl w:val="0"/>
              <w:shd w:val="clear" w:color="auto" w:fill="FFFFFF"/>
              <w:tabs>
                <w:tab w:val="left" w:pos="484"/>
              </w:tabs>
              <w:spacing w:before="40" w:after="40" w:line="240" w:lineRule="auto"/>
              <w:jc w:val="both"/>
              <w:rPr>
                <w:bCs/>
                <w:snapToGrid w:val="0"/>
                <w:color w:val="auto"/>
                <w:sz w:val="26"/>
                <w:szCs w:val="26"/>
              </w:rPr>
            </w:pPr>
            <w:r>
              <w:rPr>
                <w:bCs/>
                <w:snapToGrid w:val="0"/>
                <w:color w:val="auto"/>
                <w:sz w:val="26"/>
                <w:szCs w:val="26"/>
              </w:rPr>
              <w:t xml:space="preserve">Three (03) sets of drawings and documents for approval shall be sent by the Supplier to the Purchaser within time as specified in Schedule of delivery, in which one (01) set shall be sent directly to </w:t>
            </w:r>
            <w:r>
              <w:rPr>
                <w:color w:val="auto"/>
                <w:sz w:val="26"/>
                <w:szCs w:val="26"/>
              </w:rPr>
              <w:t xml:space="preserve">Power Engineering Consulting Joint Stock Company </w:t>
            </w:r>
            <w:r>
              <w:rPr>
                <w:color w:val="auto"/>
                <w:sz w:val="26"/>
                <w:szCs w:val="26"/>
                <w:shd w:val="clear" w:color="auto" w:fill="FFFFFF"/>
              </w:rPr>
              <w:t>No.3</w:t>
            </w:r>
            <w:r>
              <w:rPr>
                <w:b/>
                <w:color w:val="auto"/>
                <w:sz w:val="26"/>
                <w:szCs w:val="26"/>
                <w:shd w:val="clear" w:color="auto" w:fill="FFFFFF"/>
              </w:rPr>
              <w:t xml:space="preserve"> </w:t>
            </w:r>
            <w:r>
              <w:rPr>
                <w:b/>
                <w:bCs/>
                <w:color w:val="auto"/>
                <w:sz w:val="26"/>
                <w:szCs w:val="26"/>
              </w:rPr>
              <w:t>(PECC3)</w:t>
            </w:r>
            <w:r>
              <w:rPr>
                <w:bCs/>
                <w:snapToGrid w:val="0"/>
                <w:color w:val="auto"/>
                <w:sz w:val="26"/>
                <w:szCs w:val="26"/>
              </w:rPr>
              <w:t>.</w:t>
            </w:r>
          </w:p>
          <w:p w14:paraId="708C6E66">
            <w:pPr>
              <w:widowControl w:val="0"/>
              <w:shd w:val="clear" w:color="auto" w:fill="FFFFFF"/>
              <w:tabs>
                <w:tab w:val="left" w:pos="484"/>
              </w:tabs>
              <w:spacing w:before="40" w:after="40" w:line="240" w:lineRule="auto"/>
              <w:jc w:val="both"/>
              <w:rPr>
                <w:color w:val="auto"/>
                <w:sz w:val="26"/>
                <w:szCs w:val="26"/>
              </w:rPr>
            </w:pPr>
            <w:r>
              <w:rPr>
                <w:color w:val="auto"/>
                <w:sz w:val="26"/>
                <w:szCs w:val="26"/>
              </w:rPr>
              <w:t>The Purchaser shall signify his approval or disapproval of the drawings submitted by Supplier and shall return one (1) copy to the Supplier. If he fails to do so within the time given in the Schedule of Delivery of the Contract or if no time limit is specified, within 03 weeks of receipt, they shall be deemed to be approved.</w:t>
            </w:r>
          </w:p>
          <w:p w14:paraId="708C6E67">
            <w:pPr>
              <w:widowControl w:val="0"/>
              <w:shd w:val="clear" w:color="auto" w:fill="FFFFFF"/>
              <w:tabs>
                <w:tab w:val="left" w:pos="484"/>
              </w:tabs>
              <w:spacing w:before="40" w:after="40" w:line="240" w:lineRule="auto"/>
              <w:jc w:val="both"/>
              <w:rPr>
                <w:color w:val="auto"/>
                <w:sz w:val="26"/>
                <w:szCs w:val="26"/>
              </w:rPr>
            </w:pPr>
            <w:r>
              <w:rPr>
                <w:color w:val="auto"/>
                <w:sz w:val="26"/>
                <w:szCs w:val="26"/>
              </w:rPr>
              <w:t>Approved drawings shall be signed or otherwise identified by the Purchaser.</w:t>
            </w:r>
          </w:p>
          <w:p w14:paraId="708C6E68">
            <w:pPr>
              <w:widowControl w:val="0"/>
              <w:shd w:val="clear" w:color="auto" w:fill="FFFFFF"/>
              <w:tabs>
                <w:tab w:val="left" w:pos="484"/>
              </w:tabs>
              <w:spacing w:before="40" w:after="40" w:line="240" w:lineRule="auto"/>
              <w:jc w:val="both"/>
              <w:rPr>
                <w:bCs/>
                <w:snapToGrid w:val="0"/>
                <w:color w:val="auto"/>
                <w:sz w:val="26"/>
                <w:szCs w:val="26"/>
              </w:rPr>
            </w:pPr>
            <w:r>
              <w:rPr>
                <w:bCs/>
                <w:snapToGrid w:val="0"/>
                <w:color w:val="auto"/>
                <w:sz w:val="26"/>
                <w:szCs w:val="26"/>
              </w:rPr>
              <w:t xml:space="preserve">Eight (08) sets of </w:t>
            </w:r>
            <w:r>
              <w:rPr>
                <w:color w:val="auto"/>
                <w:sz w:val="26"/>
                <w:szCs w:val="26"/>
              </w:rPr>
              <w:t>all</w:t>
            </w:r>
            <w:r>
              <w:rPr>
                <w:bCs/>
                <w:snapToGrid w:val="0"/>
                <w:color w:val="auto"/>
                <w:sz w:val="26"/>
                <w:szCs w:val="26"/>
              </w:rPr>
              <w:t xml:space="preserve"> final drawings and documents shall be sent by the Supplier to the Purchaser within time as specified in Schedule of delivery. In which, one (01) set shall be sent directly to </w:t>
            </w:r>
            <w:r>
              <w:rPr>
                <w:color w:val="auto"/>
                <w:sz w:val="26"/>
                <w:szCs w:val="26"/>
              </w:rPr>
              <w:t xml:space="preserve">Power Engineering Consulting Joint Stock Company </w:t>
            </w:r>
            <w:r>
              <w:rPr>
                <w:bCs/>
                <w:color w:val="auto"/>
                <w:sz w:val="26"/>
                <w:szCs w:val="26"/>
                <w:shd w:val="clear" w:color="auto" w:fill="FFFFFF"/>
              </w:rPr>
              <w:t>No.3</w:t>
            </w:r>
            <w:r>
              <w:rPr>
                <w:color w:val="auto"/>
                <w:sz w:val="26"/>
                <w:szCs w:val="26"/>
              </w:rPr>
              <w:t xml:space="preserve"> </w:t>
            </w:r>
            <w:r>
              <w:rPr>
                <w:b/>
                <w:bCs/>
                <w:color w:val="auto"/>
                <w:sz w:val="26"/>
                <w:szCs w:val="26"/>
              </w:rPr>
              <w:t>(PECC3)</w:t>
            </w:r>
            <w:r>
              <w:rPr>
                <w:bCs/>
                <w:snapToGrid w:val="0"/>
                <w:color w:val="auto"/>
                <w:sz w:val="26"/>
                <w:szCs w:val="26"/>
              </w:rPr>
              <w:t>.</w:t>
            </w:r>
          </w:p>
          <w:p w14:paraId="708C6E69">
            <w:pPr>
              <w:widowControl w:val="0"/>
              <w:shd w:val="clear" w:color="auto" w:fill="FFFFFF"/>
              <w:tabs>
                <w:tab w:val="left" w:pos="484"/>
              </w:tabs>
              <w:spacing w:before="40" w:after="40" w:line="240" w:lineRule="auto"/>
              <w:jc w:val="both"/>
              <w:rPr>
                <w:color w:val="auto"/>
                <w:sz w:val="26"/>
                <w:szCs w:val="26"/>
              </w:rPr>
            </w:pPr>
            <w:r>
              <w:rPr>
                <w:color w:val="auto"/>
                <w:sz w:val="26"/>
                <w:szCs w:val="26"/>
              </w:rPr>
              <w:t>The Purchaser’s approval does not release the Supplier’s obligation from quality of the equipment and warranty according to GCC Clause 23.</w:t>
            </w:r>
          </w:p>
          <w:p w14:paraId="708C6E6A">
            <w:pPr>
              <w:widowControl w:val="0"/>
              <w:shd w:val="clear" w:color="auto" w:fill="FFFFFF"/>
              <w:tabs>
                <w:tab w:val="left" w:pos="484"/>
              </w:tabs>
              <w:spacing w:before="40" w:after="40" w:line="240" w:lineRule="auto"/>
              <w:jc w:val="both"/>
              <w:rPr>
                <w:iCs/>
                <w:color w:val="auto"/>
                <w:sz w:val="26"/>
                <w:szCs w:val="26"/>
              </w:rPr>
            </w:pPr>
            <w:r>
              <w:rPr>
                <w:rStyle w:val="331"/>
                <w:rFonts w:ascii="Times New Roman" w:hAnsi="Times New Roman"/>
                <w:iCs/>
                <w:color w:val="auto"/>
              </w:rPr>
              <w:t>During the installation and connection process, if</w:t>
            </w:r>
            <w:r>
              <w:rPr>
                <w:iCs/>
                <w:color w:val="auto"/>
                <w:sz w:val="26"/>
                <w:szCs w:val="26"/>
              </w:rPr>
              <w:t xml:space="preserve"> </w:t>
            </w:r>
            <w:r>
              <w:rPr>
                <w:rStyle w:val="331"/>
                <w:rFonts w:ascii="Times New Roman" w:hAnsi="Times New Roman"/>
                <w:iCs/>
                <w:color w:val="auto"/>
              </w:rPr>
              <w:t>there is any discrepancy between the contract goods</w:t>
            </w:r>
            <w:r>
              <w:rPr>
                <w:iCs/>
                <w:color w:val="auto"/>
                <w:sz w:val="26"/>
                <w:szCs w:val="26"/>
              </w:rPr>
              <w:t xml:space="preserve"> </w:t>
            </w:r>
            <w:r>
              <w:rPr>
                <w:rStyle w:val="331"/>
                <w:rFonts w:ascii="Times New Roman" w:hAnsi="Times New Roman"/>
                <w:iCs/>
                <w:color w:val="auto"/>
              </w:rPr>
              <w:t>and the related documents as well as drawing which were supplied to the Purchaser by the</w:t>
            </w:r>
            <w:r>
              <w:rPr>
                <w:iCs/>
                <w:color w:val="auto"/>
                <w:sz w:val="26"/>
                <w:szCs w:val="26"/>
              </w:rPr>
              <w:br w:type="textWrapping"/>
            </w:r>
            <w:r>
              <w:rPr>
                <w:rStyle w:val="331"/>
                <w:rFonts w:ascii="Times New Roman" w:hAnsi="Times New Roman"/>
                <w:iCs/>
                <w:color w:val="auto"/>
              </w:rPr>
              <w:t>Supplier, the Supplier is liable to revise and provide</w:t>
            </w:r>
            <w:r>
              <w:rPr>
                <w:iCs/>
                <w:color w:val="auto"/>
                <w:sz w:val="26"/>
                <w:szCs w:val="26"/>
              </w:rPr>
              <w:t xml:space="preserve"> </w:t>
            </w:r>
            <w:r>
              <w:rPr>
                <w:rStyle w:val="331"/>
                <w:rFonts w:ascii="Times New Roman" w:hAnsi="Times New Roman"/>
                <w:iCs/>
                <w:color w:val="auto"/>
              </w:rPr>
              <w:t>at its own expense of the required replacement of</w:t>
            </w:r>
            <w:r>
              <w:rPr>
                <w:iCs/>
                <w:color w:val="auto"/>
                <w:sz w:val="26"/>
                <w:szCs w:val="26"/>
              </w:rPr>
              <w:t xml:space="preserve"> </w:t>
            </w:r>
            <w:r>
              <w:rPr>
                <w:rStyle w:val="331"/>
                <w:rFonts w:ascii="Times New Roman" w:hAnsi="Times New Roman"/>
                <w:iCs/>
                <w:color w:val="auto"/>
              </w:rPr>
              <w:t>the defective drawings and documents within two</w:t>
            </w:r>
            <w:r>
              <w:rPr>
                <w:iCs/>
                <w:color w:val="auto"/>
                <w:sz w:val="26"/>
                <w:szCs w:val="26"/>
              </w:rPr>
              <w:t xml:space="preserve"> </w:t>
            </w:r>
            <w:r>
              <w:rPr>
                <w:rStyle w:val="331"/>
                <w:rFonts w:ascii="Times New Roman" w:hAnsi="Times New Roman"/>
                <w:iCs/>
                <w:color w:val="auto"/>
              </w:rPr>
              <w:t>(2) weeks after receipt of Purchaser’s notice. The</w:t>
            </w:r>
            <w:r>
              <w:rPr>
                <w:iCs/>
                <w:color w:val="auto"/>
                <w:sz w:val="26"/>
                <w:szCs w:val="26"/>
              </w:rPr>
              <w:br w:type="textWrapping"/>
            </w:r>
            <w:r>
              <w:rPr>
                <w:rStyle w:val="331"/>
                <w:rFonts w:ascii="Times New Roman" w:hAnsi="Times New Roman"/>
                <w:iCs/>
                <w:color w:val="auto"/>
              </w:rPr>
              <w:t>Supplier is also liable to pay for which caused by</w:t>
            </w:r>
            <w:r>
              <w:rPr>
                <w:iCs/>
                <w:color w:val="auto"/>
                <w:sz w:val="26"/>
                <w:szCs w:val="26"/>
              </w:rPr>
              <w:t xml:space="preserve"> </w:t>
            </w:r>
            <w:r>
              <w:rPr>
                <w:rStyle w:val="331"/>
                <w:rFonts w:ascii="Times New Roman" w:hAnsi="Times New Roman"/>
                <w:iCs/>
                <w:color w:val="auto"/>
              </w:rPr>
              <w:t>that discrepancy.</w:t>
            </w:r>
          </w:p>
          <w:p w14:paraId="708C6E6B">
            <w:pPr>
              <w:widowControl w:val="0"/>
              <w:shd w:val="clear" w:color="auto" w:fill="FFFFFF"/>
              <w:spacing w:before="40" w:after="40" w:line="240" w:lineRule="auto"/>
              <w:jc w:val="both"/>
              <w:rPr>
                <w:bCs/>
                <w:snapToGrid w:val="0"/>
                <w:color w:val="auto"/>
                <w:sz w:val="26"/>
                <w:szCs w:val="26"/>
              </w:rPr>
            </w:pPr>
            <w:r>
              <w:rPr>
                <w:bCs/>
                <w:snapToGrid w:val="0"/>
                <w:color w:val="auto"/>
                <w:sz w:val="26"/>
                <w:szCs w:val="26"/>
              </w:rPr>
              <w:t xml:space="preserve">The supervisor for equipment installation must be present at the construction site or online supervision at the request of the Purchaser according to the progress of the project. </w:t>
            </w:r>
          </w:p>
          <w:p w14:paraId="708C6E6C">
            <w:pPr>
              <w:widowControl w:val="0"/>
              <w:tabs>
                <w:tab w:val="left" w:pos="484"/>
              </w:tabs>
              <w:spacing w:before="40" w:after="40" w:line="240" w:lineRule="auto"/>
              <w:jc w:val="both"/>
              <w:rPr>
                <w:color w:val="auto"/>
                <w:sz w:val="26"/>
                <w:szCs w:val="26"/>
              </w:rPr>
            </w:pPr>
            <w:r>
              <w:rPr>
                <w:color w:val="auto"/>
                <w:sz w:val="26"/>
                <w:szCs w:val="26"/>
              </w:rPr>
              <w:t>The Supplier must provide complete, clear, detailed and easy-to-understand instructions for installation, testing, commissioning and acceptance of all equipment under the contract so that the professional contractors for equipment installation can carry out installation, testing and commissioning work without depending on the guidance of factory experts on site.</w:t>
            </w:r>
          </w:p>
          <w:p w14:paraId="708C6E6D">
            <w:pPr>
              <w:widowControl w:val="0"/>
              <w:shd w:val="clear" w:color="auto" w:fill="FFFFFF"/>
              <w:spacing w:before="40" w:after="40" w:line="240" w:lineRule="auto"/>
              <w:jc w:val="both"/>
              <w:rPr>
                <w:color w:val="auto"/>
                <w:sz w:val="26"/>
                <w:szCs w:val="26"/>
              </w:rPr>
            </w:pPr>
            <w:r>
              <w:rPr>
                <w:color w:val="auto"/>
                <w:sz w:val="26"/>
                <w:szCs w:val="26"/>
              </w:rPr>
              <w:t>For equipment necessary for the presence of experts to supervise the process of assembly, testing, adjustment and commissioning, the Supplier must ensure that experts are present on the site to perform their duties and must give written recommendations for repair to the Purchaser in case the installation contractor does not comply with the instructions as instructed. If the expert fails to give timely instructions and recommendations to the Purchaser, the Supplier shall be responsible for the quality of the assembled equipment.</w:t>
            </w:r>
          </w:p>
          <w:p w14:paraId="708C6E6E">
            <w:pPr>
              <w:widowControl w:val="0"/>
              <w:spacing w:before="40" w:after="40" w:line="240" w:lineRule="auto"/>
              <w:jc w:val="both"/>
              <w:rPr>
                <w:b/>
                <w:color w:val="auto"/>
                <w:sz w:val="26"/>
                <w:szCs w:val="26"/>
              </w:rPr>
            </w:pPr>
            <w:r>
              <w:rPr>
                <w:b/>
                <w:color w:val="auto"/>
                <w:sz w:val="26"/>
                <w:szCs w:val="26"/>
              </w:rPr>
              <w:t xml:space="preserve">The </w:t>
            </w:r>
            <w:r>
              <w:rPr>
                <w:b/>
                <w:bCs/>
                <w:snapToGrid w:val="0"/>
                <w:color w:val="auto"/>
                <w:sz w:val="26"/>
                <w:szCs w:val="26"/>
              </w:rPr>
              <w:t>Supplier</w:t>
            </w:r>
            <w:r>
              <w:rPr>
                <w:b/>
                <w:color w:val="auto"/>
                <w:sz w:val="26"/>
                <w:szCs w:val="26"/>
              </w:rPr>
              <w:t>’s delivery obligation:</w:t>
            </w:r>
          </w:p>
          <w:p w14:paraId="708C6E6F">
            <w:pPr>
              <w:pStyle w:val="97"/>
              <w:widowControl w:val="0"/>
              <w:numPr>
                <w:ilvl w:val="5"/>
                <w:numId w:val="72"/>
              </w:numPr>
              <w:spacing w:before="40" w:after="40"/>
              <w:ind w:left="321"/>
              <w:rPr>
                <w:color w:val="auto"/>
                <w:sz w:val="26"/>
                <w:szCs w:val="26"/>
              </w:rPr>
            </w:pPr>
            <w:r>
              <w:rPr>
                <w:color w:val="auto"/>
                <w:sz w:val="26"/>
                <w:szCs w:val="26"/>
              </w:rPr>
              <w:t xml:space="preserve">The </w:t>
            </w:r>
            <w:r>
              <w:rPr>
                <w:bCs/>
                <w:snapToGrid w:val="0"/>
                <w:color w:val="auto"/>
                <w:sz w:val="26"/>
                <w:szCs w:val="26"/>
              </w:rPr>
              <w:t>Supplier</w:t>
            </w:r>
            <w:r>
              <w:rPr>
                <w:color w:val="auto"/>
                <w:sz w:val="26"/>
                <w:szCs w:val="26"/>
              </w:rPr>
              <w:t xml:space="preserve"> shall implement its delivery obligation in compliance with the Price Schedule and Delivery Schedule. Delivery of goods shall be deemed to complete only when:</w:t>
            </w:r>
          </w:p>
          <w:p w14:paraId="708C6E70">
            <w:pPr>
              <w:widowControl w:val="0"/>
              <w:numPr>
                <w:ilvl w:val="0"/>
                <w:numId w:val="73"/>
              </w:numPr>
              <w:tabs>
                <w:tab w:val="left" w:pos="881"/>
              </w:tabs>
              <w:spacing w:before="40" w:after="40" w:line="240" w:lineRule="auto"/>
              <w:ind w:left="463" w:firstLine="39"/>
              <w:jc w:val="both"/>
              <w:rPr>
                <w:color w:val="auto"/>
                <w:sz w:val="26"/>
                <w:szCs w:val="26"/>
              </w:rPr>
            </w:pPr>
            <w:r>
              <w:rPr>
                <w:color w:val="auto"/>
                <w:sz w:val="26"/>
                <w:szCs w:val="26"/>
              </w:rPr>
              <w:t>All goods under the contract, including spare parts, accessories, and other attachments are sufficiently delivered to the Purchaser; and these delivered goods must comply with their technical specifications in the contract.</w:t>
            </w:r>
          </w:p>
          <w:p w14:paraId="708C6E71">
            <w:pPr>
              <w:widowControl w:val="0"/>
              <w:numPr>
                <w:ilvl w:val="0"/>
                <w:numId w:val="73"/>
              </w:numPr>
              <w:tabs>
                <w:tab w:val="left" w:pos="881"/>
              </w:tabs>
              <w:spacing w:before="40" w:after="40" w:line="240" w:lineRule="auto"/>
              <w:ind w:left="463" w:firstLine="39"/>
              <w:jc w:val="both"/>
              <w:rPr>
                <w:color w:val="auto"/>
                <w:sz w:val="26"/>
                <w:szCs w:val="26"/>
              </w:rPr>
            </w:pPr>
            <w:r>
              <w:rPr>
                <w:color w:val="auto"/>
                <w:sz w:val="26"/>
                <w:szCs w:val="26"/>
              </w:rPr>
              <w:t>All required commercial documents and technical documents such as test reports, catalogue, manual instructions, drawings and others are sufficiently delivered to the Purchaser within the permitted time, and these documents must meet the requirements specified in the contract.</w:t>
            </w:r>
          </w:p>
          <w:p w14:paraId="708C6E72">
            <w:pPr>
              <w:pStyle w:val="97"/>
              <w:widowControl w:val="0"/>
              <w:numPr>
                <w:ilvl w:val="5"/>
                <w:numId w:val="72"/>
              </w:numPr>
              <w:spacing w:before="40" w:after="40"/>
              <w:ind w:left="321"/>
              <w:rPr>
                <w:color w:val="auto"/>
                <w:sz w:val="26"/>
                <w:szCs w:val="26"/>
              </w:rPr>
            </w:pPr>
            <w:r>
              <w:rPr>
                <w:color w:val="auto"/>
                <w:sz w:val="26"/>
                <w:szCs w:val="26"/>
              </w:rPr>
              <w:t>The Supplier shall appoint a representative to present at warehouse (or project site) to coordinate with the Purchaser and the Inspection Agency in opening and checking details of shipments. Inspection reports (at port/airport or warehouse/site) shall be the ground for claiming of imported goods.</w:t>
            </w:r>
          </w:p>
          <w:p w14:paraId="708C6E73">
            <w:pPr>
              <w:pStyle w:val="97"/>
              <w:widowControl w:val="0"/>
              <w:numPr>
                <w:ilvl w:val="5"/>
                <w:numId w:val="72"/>
              </w:numPr>
              <w:spacing w:before="40" w:after="40"/>
              <w:ind w:left="321"/>
              <w:rPr>
                <w:color w:val="auto"/>
                <w:sz w:val="26"/>
                <w:szCs w:val="26"/>
              </w:rPr>
            </w:pPr>
            <w:r>
              <w:rPr>
                <w:color w:val="auto"/>
                <w:sz w:val="26"/>
                <w:szCs w:val="26"/>
              </w:rPr>
              <w:t>Incomplete delivery will also be considered as late delivery. The Purchaser will be entitled to ask for a liquidated damage pursuant to GCC clause 22.</w:t>
            </w:r>
          </w:p>
          <w:p w14:paraId="708C6E74">
            <w:pPr>
              <w:pStyle w:val="97"/>
              <w:widowControl w:val="0"/>
              <w:numPr>
                <w:ilvl w:val="5"/>
                <w:numId w:val="72"/>
              </w:numPr>
              <w:spacing w:before="40" w:after="40"/>
              <w:ind w:left="321"/>
              <w:rPr>
                <w:color w:val="auto"/>
                <w:sz w:val="26"/>
                <w:szCs w:val="26"/>
              </w:rPr>
            </w:pPr>
            <w:r>
              <w:rPr>
                <w:color w:val="auto"/>
                <w:sz w:val="26"/>
                <w:szCs w:val="26"/>
              </w:rPr>
              <w:t>The Purchaser reserves the right to refuse to receive the whole delivered lot of goods (at the Purchaser’s warehouse or Project’s site or Port/Airport in the following circumstances:</w:t>
            </w:r>
          </w:p>
          <w:p w14:paraId="708C6E75">
            <w:pPr>
              <w:widowControl w:val="0"/>
              <w:numPr>
                <w:ilvl w:val="0"/>
                <w:numId w:val="73"/>
              </w:numPr>
              <w:tabs>
                <w:tab w:val="left" w:pos="881"/>
              </w:tabs>
              <w:spacing w:before="40" w:after="40" w:line="240" w:lineRule="auto"/>
              <w:ind w:left="463" w:firstLine="39"/>
              <w:jc w:val="both"/>
              <w:rPr>
                <w:color w:val="auto"/>
                <w:sz w:val="26"/>
                <w:szCs w:val="26"/>
              </w:rPr>
            </w:pPr>
            <w:r>
              <w:rPr>
                <w:color w:val="auto"/>
                <w:sz w:val="26"/>
                <w:szCs w:val="26"/>
              </w:rPr>
              <w:t xml:space="preserve"> The Shipping documents of the delivery goods compared with requirements in the contract are incomplete and/or conflict; or</w:t>
            </w:r>
          </w:p>
          <w:p w14:paraId="708C6E76">
            <w:pPr>
              <w:widowControl w:val="0"/>
              <w:numPr>
                <w:ilvl w:val="0"/>
                <w:numId w:val="73"/>
              </w:numPr>
              <w:tabs>
                <w:tab w:val="left" w:pos="881"/>
              </w:tabs>
              <w:spacing w:before="40" w:after="40" w:line="240" w:lineRule="auto"/>
              <w:ind w:left="463" w:firstLine="39"/>
              <w:jc w:val="both"/>
              <w:rPr>
                <w:color w:val="auto"/>
                <w:sz w:val="26"/>
                <w:szCs w:val="26"/>
              </w:rPr>
            </w:pPr>
            <w:r>
              <w:rPr>
                <w:color w:val="auto"/>
                <w:sz w:val="26"/>
                <w:szCs w:val="26"/>
              </w:rPr>
              <w:t xml:space="preserve">The shipping documents do not conform to the delivered goods; or   </w:t>
            </w:r>
          </w:p>
          <w:p w14:paraId="708C6E77">
            <w:pPr>
              <w:widowControl w:val="0"/>
              <w:numPr>
                <w:ilvl w:val="0"/>
                <w:numId w:val="73"/>
              </w:numPr>
              <w:tabs>
                <w:tab w:val="left" w:pos="881"/>
              </w:tabs>
              <w:spacing w:before="40" w:after="40" w:line="240" w:lineRule="auto"/>
              <w:ind w:left="463" w:firstLine="39"/>
              <w:jc w:val="both"/>
              <w:rPr>
                <w:color w:val="auto"/>
                <w:sz w:val="26"/>
                <w:szCs w:val="26"/>
              </w:rPr>
            </w:pPr>
            <w:r>
              <w:rPr>
                <w:color w:val="auto"/>
                <w:sz w:val="26"/>
                <w:szCs w:val="26"/>
              </w:rPr>
              <w:t>The Supplier submitted incomplete technical documents for any shipping goods as specified in the contract.</w:t>
            </w:r>
          </w:p>
          <w:p w14:paraId="708C6E78">
            <w:pPr>
              <w:widowControl w:val="0"/>
              <w:tabs>
                <w:tab w:val="left" w:pos="484"/>
              </w:tabs>
              <w:spacing w:before="60" w:after="60"/>
              <w:jc w:val="both"/>
              <w:rPr>
                <w:color w:val="auto"/>
                <w:sz w:val="26"/>
                <w:szCs w:val="26"/>
              </w:rPr>
            </w:pPr>
            <w:r>
              <w:rPr>
                <w:color w:val="auto"/>
                <w:sz w:val="26"/>
                <w:szCs w:val="26"/>
              </w:rPr>
              <w:t xml:space="preserve">When the Purchaser refuses to receive the delivered goods due to any </w:t>
            </w:r>
            <w:r>
              <w:rPr>
                <w:bCs/>
                <w:snapToGrid w:val="0"/>
                <w:color w:val="auto"/>
                <w:sz w:val="26"/>
                <w:szCs w:val="26"/>
              </w:rPr>
              <w:t>Supplier</w:t>
            </w:r>
            <w:r>
              <w:rPr>
                <w:color w:val="auto"/>
                <w:sz w:val="26"/>
                <w:szCs w:val="26"/>
              </w:rPr>
              <w:t xml:space="preserve">’s violations of above-mentioned Clauses, all consequent losses or/and expenses caused by this </w:t>
            </w:r>
            <w:r>
              <w:rPr>
                <w:bCs/>
                <w:snapToGrid w:val="0"/>
                <w:color w:val="auto"/>
                <w:sz w:val="26"/>
                <w:szCs w:val="26"/>
              </w:rPr>
              <w:t>Supplier</w:t>
            </w:r>
            <w:r>
              <w:rPr>
                <w:color w:val="auto"/>
                <w:sz w:val="26"/>
                <w:szCs w:val="26"/>
              </w:rPr>
              <w:t xml:space="preserve">’s action will be borne by the </w:t>
            </w:r>
            <w:r>
              <w:rPr>
                <w:bCs/>
                <w:snapToGrid w:val="0"/>
                <w:color w:val="auto"/>
                <w:sz w:val="26"/>
                <w:szCs w:val="26"/>
              </w:rPr>
              <w:t>Supplier</w:t>
            </w:r>
            <w:r>
              <w:rPr>
                <w:color w:val="auto"/>
                <w:sz w:val="26"/>
                <w:szCs w:val="26"/>
              </w:rPr>
              <w:t>.</w:t>
            </w:r>
          </w:p>
        </w:tc>
      </w:tr>
      <w:tr w14:paraId="708C6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1271" w:type="dxa"/>
          </w:tcPr>
          <w:p w14:paraId="708C6E7A">
            <w:pPr>
              <w:widowControl w:val="0"/>
              <w:spacing w:before="60" w:after="60" w:line="276" w:lineRule="auto"/>
              <w:ind w:right="34"/>
              <w:rPr>
                <w:b/>
                <w:color w:val="auto"/>
                <w:sz w:val="26"/>
                <w:szCs w:val="26"/>
              </w:rPr>
            </w:pPr>
            <w:r>
              <w:rPr>
                <w:b/>
                <w:color w:val="auto"/>
                <w:sz w:val="26"/>
                <w:szCs w:val="26"/>
              </w:rPr>
              <w:t>GCC 11.1</w:t>
            </w:r>
          </w:p>
        </w:tc>
        <w:tc>
          <w:tcPr>
            <w:tcW w:w="7867" w:type="dxa"/>
          </w:tcPr>
          <w:p w14:paraId="708C6E7B">
            <w:pPr>
              <w:widowControl w:val="0"/>
              <w:numPr>
                <w:ilvl w:val="12"/>
                <w:numId w:val="0"/>
              </w:numPr>
              <w:spacing w:before="60" w:after="60"/>
              <w:jc w:val="both"/>
              <w:rPr>
                <w:color w:val="auto"/>
                <w:sz w:val="26"/>
                <w:szCs w:val="26"/>
              </w:rPr>
            </w:pPr>
            <w:r>
              <w:rPr>
                <w:color w:val="auto"/>
                <w:sz w:val="26"/>
                <w:szCs w:val="26"/>
              </w:rPr>
              <w:t>Type of the Contract is Lump Sum.</w:t>
            </w:r>
          </w:p>
        </w:tc>
      </w:tr>
      <w:tr w14:paraId="708C6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08C6E7D">
            <w:pPr>
              <w:widowControl w:val="0"/>
              <w:spacing w:before="60" w:after="60" w:line="276" w:lineRule="auto"/>
              <w:ind w:right="34"/>
              <w:rPr>
                <w:b/>
                <w:color w:val="auto"/>
                <w:sz w:val="26"/>
                <w:szCs w:val="26"/>
              </w:rPr>
            </w:pPr>
            <w:r>
              <w:rPr>
                <w:b/>
                <w:color w:val="auto"/>
                <w:sz w:val="26"/>
                <w:szCs w:val="26"/>
              </w:rPr>
              <w:t>GCC 11.2</w:t>
            </w:r>
          </w:p>
        </w:tc>
        <w:tc>
          <w:tcPr>
            <w:tcW w:w="7867" w:type="dxa"/>
          </w:tcPr>
          <w:p w14:paraId="708C6E7E">
            <w:pPr>
              <w:widowControl w:val="0"/>
              <w:numPr>
                <w:ilvl w:val="12"/>
                <w:numId w:val="0"/>
              </w:numPr>
              <w:spacing w:before="60" w:after="60"/>
              <w:jc w:val="both"/>
              <w:rPr>
                <w:color w:val="auto"/>
                <w:sz w:val="26"/>
                <w:szCs w:val="26"/>
              </w:rPr>
            </w:pPr>
            <w:r>
              <w:rPr>
                <w:color w:val="auto"/>
                <w:sz w:val="26"/>
                <w:szCs w:val="26"/>
              </w:rPr>
              <w:t xml:space="preserve">Contract Price is: Fixed price. </w:t>
            </w:r>
          </w:p>
        </w:tc>
      </w:tr>
      <w:tr w14:paraId="708C6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08C6E80">
            <w:pPr>
              <w:widowControl w:val="0"/>
              <w:spacing w:before="60" w:after="60" w:line="276" w:lineRule="auto"/>
              <w:ind w:right="34"/>
              <w:rPr>
                <w:b/>
                <w:color w:val="auto"/>
                <w:sz w:val="26"/>
                <w:szCs w:val="26"/>
              </w:rPr>
            </w:pPr>
            <w:r>
              <w:rPr>
                <w:b/>
                <w:color w:val="auto"/>
                <w:sz w:val="26"/>
                <w:szCs w:val="26"/>
              </w:rPr>
              <w:t>GCC 12.4</w:t>
            </w:r>
          </w:p>
        </w:tc>
        <w:tc>
          <w:tcPr>
            <w:tcW w:w="7867" w:type="dxa"/>
          </w:tcPr>
          <w:p w14:paraId="708C6E81">
            <w:pPr>
              <w:widowControl w:val="0"/>
              <w:tabs>
                <w:tab w:val="left" w:pos="851"/>
              </w:tabs>
              <w:spacing w:before="60" w:after="60"/>
              <w:jc w:val="both"/>
              <w:rPr>
                <w:color w:val="auto"/>
                <w:sz w:val="26"/>
                <w:szCs w:val="26"/>
              </w:rPr>
            </w:pPr>
            <w:r>
              <w:rPr>
                <w:color w:val="auto"/>
                <w:sz w:val="26"/>
                <w:szCs w:val="26"/>
              </w:rPr>
              <w:t xml:space="preserve">Contractor Income Taxes for Foreign Supplier: [Yes/No]. </w:t>
            </w:r>
            <w:r>
              <w:rPr>
                <w:i/>
                <w:iCs/>
                <w:color w:val="auto"/>
                <w:sz w:val="26"/>
                <w:szCs w:val="26"/>
              </w:rPr>
              <w:t>The Purchaser retains an amount equivalent to the tax value to pay on behalf of the bidder in accordance with current law.</w:t>
            </w:r>
          </w:p>
        </w:tc>
      </w:tr>
      <w:tr w14:paraId="708C6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08C6E83">
            <w:pPr>
              <w:widowControl w:val="0"/>
              <w:spacing w:before="60" w:after="60" w:line="276" w:lineRule="auto"/>
              <w:ind w:right="34"/>
              <w:rPr>
                <w:b/>
                <w:color w:val="auto"/>
                <w:sz w:val="26"/>
                <w:szCs w:val="26"/>
              </w:rPr>
            </w:pPr>
            <w:r>
              <w:rPr>
                <w:b/>
                <w:color w:val="auto"/>
                <w:sz w:val="26"/>
                <w:szCs w:val="26"/>
              </w:rPr>
              <w:t>GCC 12.5</w:t>
            </w:r>
          </w:p>
        </w:tc>
        <w:tc>
          <w:tcPr>
            <w:tcW w:w="7867" w:type="dxa"/>
          </w:tcPr>
          <w:p w14:paraId="708C6E84">
            <w:pPr>
              <w:widowControl w:val="0"/>
              <w:shd w:val="clear" w:color="auto" w:fill="FFFFFF"/>
              <w:spacing w:before="40" w:after="40" w:line="240" w:lineRule="auto"/>
              <w:jc w:val="both"/>
              <w:rPr>
                <w:color w:val="auto"/>
                <w:sz w:val="26"/>
                <w:szCs w:val="26"/>
              </w:rPr>
            </w:pPr>
            <w:r>
              <w:rPr>
                <w:color w:val="auto"/>
                <w:sz w:val="26"/>
                <w:szCs w:val="26"/>
              </w:rPr>
              <w:t xml:space="preserve">Tax adjustment shall be permitted. </w:t>
            </w:r>
          </w:p>
          <w:p w14:paraId="708C6E85">
            <w:pPr>
              <w:widowControl w:val="0"/>
              <w:numPr>
                <w:ilvl w:val="12"/>
                <w:numId w:val="0"/>
              </w:numPr>
              <w:spacing w:before="60" w:after="60"/>
              <w:jc w:val="both"/>
              <w:rPr>
                <w:color w:val="auto"/>
                <w:sz w:val="26"/>
                <w:szCs w:val="26"/>
              </w:rPr>
            </w:pPr>
            <w:r>
              <w:rPr>
                <w:color w:val="auto"/>
                <w:sz w:val="26"/>
                <w:szCs w:val="26"/>
              </w:rPr>
              <w:t>In the period of contract execution, if tax policy is changed at the date of payment (tax is increased or decreased) and the tax adjustments is permitted in as specified signed Contract; and the Bidder submits all relevant document to demonstrate the arising tax value, then the deviation from taxes value in signed contract shall be adjusted as provisions of signed contract.</w:t>
            </w:r>
          </w:p>
        </w:tc>
      </w:tr>
      <w:tr w14:paraId="708C6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08C6E87">
            <w:pPr>
              <w:widowControl w:val="0"/>
              <w:spacing w:before="60" w:after="60" w:line="276" w:lineRule="auto"/>
              <w:ind w:left="34" w:right="34"/>
              <w:rPr>
                <w:b/>
                <w:color w:val="auto"/>
                <w:sz w:val="26"/>
                <w:szCs w:val="26"/>
              </w:rPr>
            </w:pPr>
            <w:r>
              <w:rPr>
                <w:b/>
                <w:color w:val="auto"/>
                <w:sz w:val="26"/>
                <w:szCs w:val="26"/>
              </w:rPr>
              <w:t>GCC 13.1</w:t>
            </w:r>
          </w:p>
        </w:tc>
        <w:tc>
          <w:tcPr>
            <w:tcW w:w="7867" w:type="dxa"/>
          </w:tcPr>
          <w:p w14:paraId="708C6E88">
            <w:pPr>
              <w:widowControl w:val="0"/>
              <w:shd w:val="clear" w:color="auto" w:fill="FFFFFF"/>
              <w:spacing w:before="40" w:after="40" w:line="240" w:lineRule="auto"/>
              <w:jc w:val="both"/>
              <w:rPr>
                <w:color w:val="auto"/>
                <w:sz w:val="26"/>
                <w:szCs w:val="26"/>
              </w:rPr>
            </w:pPr>
            <w:r>
              <w:rPr>
                <w:b/>
                <w:color w:val="auto"/>
                <w:sz w:val="26"/>
                <w:szCs w:val="26"/>
              </w:rPr>
              <w:t xml:space="preserve">Advance payment: </w:t>
            </w:r>
            <w:r>
              <w:rPr>
                <w:b/>
                <w:bCs/>
                <w:color w:val="auto"/>
                <w:sz w:val="26"/>
                <w:szCs w:val="26"/>
              </w:rPr>
              <w:t>Twenty (20)</w:t>
            </w:r>
            <w:r>
              <w:rPr>
                <w:color w:val="auto"/>
                <w:sz w:val="26"/>
                <w:szCs w:val="26"/>
              </w:rPr>
              <w:t xml:space="preserve"> percent of the Price of Goods shall be paid by Telegraphic transfer (TTr) within fourteen (14) calendar days after receipt of the following documents from the Supplier:</w:t>
            </w:r>
          </w:p>
          <w:p w14:paraId="708C6E89">
            <w:pPr>
              <w:widowControl w:val="0"/>
              <w:numPr>
                <w:ilvl w:val="2"/>
                <w:numId w:val="74"/>
              </w:numPr>
              <w:shd w:val="clear" w:color="auto" w:fill="FFFFFF"/>
              <w:tabs>
                <w:tab w:val="clear" w:pos="2340"/>
              </w:tabs>
              <w:spacing w:before="40" w:after="40" w:line="240" w:lineRule="auto"/>
              <w:ind w:left="422" w:hanging="180"/>
              <w:jc w:val="both"/>
              <w:rPr>
                <w:bCs/>
                <w:snapToGrid w:val="0"/>
                <w:color w:val="auto"/>
                <w:sz w:val="26"/>
                <w:szCs w:val="26"/>
              </w:rPr>
            </w:pPr>
            <w:r>
              <w:rPr>
                <w:bCs/>
                <w:snapToGrid w:val="0"/>
                <w:color w:val="auto"/>
                <w:sz w:val="26"/>
                <w:szCs w:val="26"/>
              </w:rPr>
              <w:t xml:space="preserve">Performance security </w:t>
            </w:r>
          </w:p>
          <w:p w14:paraId="708C6E8A">
            <w:pPr>
              <w:widowControl w:val="0"/>
              <w:numPr>
                <w:ilvl w:val="2"/>
                <w:numId w:val="74"/>
              </w:numPr>
              <w:shd w:val="clear" w:color="auto" w:fill="FFFFFF"/>
              <w:tabs>
                <w:tab w:val="clear" w:pos="2340"/>
              </w:tabs>
              <w:spacing w:before="40" w:after="40" w:line="240" w:lineRule="auto"/>
              <w:ind w:left="422" w:hanging="180"/>
              <w:jc w:val="both"/>
              <w:rPr>
                <w:bCs/>
                <w:snapToGrid w:val="0"/>
                <w:color w:val="auto"/>
                <w:sz w:val="26"/>
                <w:szCs w:val="26"/>
              </w:rPr>
            </w:pPr>
            <w:r>
              <w:rPr>
                <w:bCs/>
                <w:snapToGrid w:val="0"/>
                <w:color w:val="auto"/>
                <w:sz w:val="26"/>
                <w:szCs w:val="26"/>
              </w:rPr>
              <w:t>Request of advance payment</w:t>
            </w:r>
          </w:p>
          <w:p w14:paraId="708C6E8B">
            <w:pPr>
              <w:widowControl w:val="0"/>
              <w:numPr>
                <w:ilvl w:val="2"/>
                <w:numId w:val="74"/>
              </w:numPr>
              <w:shd w:val="clear" w:color="auto" w:fill="FFFFFF"/>
              <w:tabs>
                <w:tab w:val="clear" w:pos="2340"/>
              </w:tabs>
              <w:spacing w:before="40" w:after="40" w:line="240" w:lineRule="auto"/>
              <w:ind w:left="422" w:hanging="180"/>
              <w:jc w:val="both"/>
              <w:rPr>
                <w:bCs/>
                <w:snapToGrid w:val="0"/>
                <w:color w:val="auto"/>
                <w:sz w:val="26"/>
                <w:szCs w:val="26"/>
              </w:rPr>
            </w:pPr>
            <w:r>
              <w:rPr>
                <w:bCs/>
                <w:snapToGrid w:val="0"/>
                <w:color w:val="auto"/>
                <w:sz w:val="26"/>
                <w:szCs w:val="26"/>
              </w:rPr>
              <w:t>The original of Bank guarantee for the equivalent amount value until the goods are delivered</w:t>
            </w:r>
          </w:p>
          <w:p w14:paraId="708C6E8C">
            <w:pPr>
              <w:widowControl w:val="0"/>
              <w:shd w:val="clear" w:color="auto" w:fill="FFFFFF"/>
              <w:spacing w:before="40" w:after="40" w:line="240" w:lineRule="auto"/>
              <w:jc w:val="both"/>
              <w:rPr>
                <w:i/>
                <w:color w:val="auto"/>
                <w:sz w:val="26"/>
                <w:szCs w:val="26"/>
              </w:rPr>
            </w:pPr>
            <w:r>
              <w:rPr>
                <w:i/>
                <w:color w:val="auto"/>
                <w:sz w:val="26"/>
                <w:szCs w:val="26"/>
                <w:shd w:val="clear" w:color="auto" w:fill="FFFFFF"/>
              </w:rPr>
              <w:t>(The period of advance guarantee is based on the contract implementation progress. It is valid from the issuing date to at least 30 days after the expected date of advance payment withdrawal).</w:t>
            </w:r>
          </w:p>
          <w:p w14:paraId="708C6E8D">
            <w:pPr>
              <w:widowControl w:val="0"/>
              <w:shd w:val="clear" w:color="auto" w:fill="FFFFFF"/>
              <w:spacing w:before="40" w:after="40" w:line="240" w:lineRule="auto"/>
              <w:jc w:val="both"/>
              <w:rPr>
                <w:bCs/>
                <w:snapToGrid w:val="0"/>
                <w:color w:val="auto"/>
                <w:sz w:val="26"/>
                <w:szCs w:val="26"/>
              </w:rPr>
            </w:pPr>
            <w:r>
              <w:rPr>
                <w:bCs/>
                <w:snapToGrid w:val="0"/>
                <w:color w:val="auto"/>
                <w:sz w:val="26"/>
                <w:szCs w:val="26"/>
              </w:rPr>
              <w:t>All of these are in the form provided in the bidding documents or another form acceptable to the Purchaser.</w:t>
            </w:r>
          </w:p>
          <w:p w14:paraId="708C6E8E">
            <w:pPr>
              <w:widowControl w:val="0"/>
              <w:shd w:val="clear" w:color="auto" w:fill="FFFFFF"/>
              <w:spacing w:before="40" w:after="40" w:line="240" w:lineRule="auto"/>
              <w:jc w:val="both"/>
              <w:rPr>
                <w:color w:val="auto"/>
                <w:sz w:val="26"/>
                <w:szCs w:val="26"/>
              </w:rPr>
            </w:pPr>
            <w:r>
              <w:rPr>
                <w:bCs/>
                <w:snapToGrid w:val="0"/>
                <w:color w:val="auto"/>
                <w:sz w:val="26"/>
                <w:szCs w:val="26"/>
              </w:rPr>
              <w:t xml:space="preserve">For local </w:t>
            </w:r>
            <w:r>
              <w:rPr>
                <w:color w:val="auto"/>
                <w:sz w:val="26"/>
                <w:szCs w:val="26"/>
              </w:rPr>
              <w:t>Supplier</w:t>
            </w:r>
            <w:r>
              <w:rPr>
                <w:bCs/>
                <w:snapToGrid w:val="0"/>
                <w:color w:val="auto"/>
                <w:sz w:val="26"/>
                <w:szCs w:val="26"/>
              </w:rPr>
              <w:t>s, currency of payment will be p</w:t>
            </w:r>
            <w:r>
              <w:rPr>
                <w:color w:val="auto"/>
                <w:sz w:val="26"/>
                <w:szCs w:val="26"/>
              </w:rPr>
              <w:t xml:space="preserve">aid in </w:t>
            </w:r>
            <w:r>
              <w:rPr>
                <w:bCs/>
                <w:snapToGrid w:val="0"/>
                <w:color w:val="auto"/>
                <w:sz w:val="26"/>
                <w:szCs w:val="26"/>
              </w:rPr>
              <w:t xml:space="preserve">Vietnam Dong by </w:t>
            </w:r>
            <w:r>
              <w:rPr>
                <w:color w:val="auto"/>
                <w:sz w:val="26"/>
                <w:szCs w:val="26"/>
              </w:rPr>
              <w:t>the selling exchange rate published by Vietcombank, Vietnam on the date of Advance payment Request.</w:t>
            </w:r>
          </w:p>
          <w:p w14:paraId="708C6E8F">
            <w:pPr>
              <w:widowControl w:val="0"/>
              <w:shd w:val="clear" w:color="auto" w:fill="FFFFFF"/>
              <w:spacing w:before="40" w:after="40" w:line="240" w:lineRule="auto"/>
              <w:jc w:val="both"/>
              <w:rPr>
                <w:bCs/>
                <w:snapToGrid w:val="0"/>
                <w:color w:val="auto"/>
                <w:sz w:val="26"/>
                <w:szCs w:val="26"/>
              </w:rPr>
            </w:pPr>
            <w:r>
              <w:rPr>
                <w:bCs/>
                <w:snapToGrid w:val="0"/>
                <w:color w:val="auto"/>
                <w:sz w:val="26"/>
                <w:szCs w:val="26"/>
              </w:rPr>
              <w:t>Extension of Advance Guarantee: If Purchaser has not fully recovered the Advance by 30 days before the expiration of the Advance Guarantee, the Supplier must extend the validity of the Advance Guarantee and submit the Purchaser at least 21 days before the Advance Guarantee expires. If the Supplier fails to submit the guarantee on time, the Purchaser has the right to confiscate the entire value of the Advance Guarantee. All expenses related to the extension, value addition and correction of the Advance Guarantee shall be paid by the Supplier.</w:t>
            </w:r>
          </w:p>
          <w:p w14:paraId="708C6E90">
            <w:pPr>
              <w:widowControl w:val="0"/>
              <w:shd w:val="clear" w:color="auto" w:fill="FFFFFF"/>
              <w:spacing w:before="40" w:after="40" w:line="240" w:lineRule="auto"/>
              <w:jc w:val="both"/>
              <w:rPr>
                <w:bCs/>
                <w:snapToGrid w:val="0"/>
                <w:color w:val="auto"/>
                <w:sz w:val="26"/>
                <w:szCs w:val="26"/>
              </w:rPr>
            </w:pPr>
            <w:r>
              <w:rPr>
                <w:bCs/>
                <w:snapToGrid w:val="0"/>
                <w:color w:val="auto"/>
                <w:sz w:val="26"/>
                <w:szCs w:val="26"/>
              </w:rPr>
              <w:t>Purchaser has the right to confiscate the Advance Guarantee in the following cases: (1) Purchaser has evidence that Supplier has used the advance money for improper purposes; (2) Supplier does not extend the Advance Guarantee at 21 days before the expiry of the Advance Guarantee, but Party A has not fully recovered the advance; (3) The Supplier does not add the corresponding amount to the Advance Guarantee to ensure the value of the Advance Guarantee as prescribed.</w:t>
            </w:r>
          </w:p>
          <w:p w14:paraId="708C6E91">
            <w:pPr>
              <w:widowControl w:val="0"/>
              <w:shd w:val="clear" w:color="auto" w:fill="FFFFFF"/>
              <w:spacing w:before="40" w:after="40" w:line="240" w:lineRule="auto"/>
              <w:jc w:val="both"/>
              <w:rPr>
                <w:bCs/>
                <w:snapToGrid w:val="0"/>
                <w:color w:val="auto"/>
                <w:sz w:val="26"/>
                <w:szCs w:val="26"/>
              </w:rPr>
            </w:pPr>
            <w:r>
              <w:rPr>
                <w:bCs/>
                <w:snapToGrid w:val="0"/>
                <w:color w:val="auto"/>
                <w:sz w:val="26"/>
                <w:szCs w:val="26"/>
              </w:rPr>
              <w:t>The Purchaser has the right to deduct or confiscate the Advance Guarantee in case the Supplier breaches its contractual obligations or refuses to extend the guarantee as prescribed.</w:t>
            </w:r>
          </w:p>
          <w:p w14:paraId="708C6E92">
            <w:pPr>
              <w:widowControl w:val="0"/>
              <w:shd w:val="clear" w:color="auto" w:fill="FFFFFF"/>
              <w:spacing w:before="40" w:after="40" w:line="240" w:lineRule="auto"/>
              <w:jc w:val="both"/>
              <w:rPr>
                <w:bCs/>
                <w:snapToGrid w:val="0"/>
                <w:color w:val="auto"/>
                <w:sz w:val="26"/>
                <w:szCs w:val="26"/>
              </w:rPr>
            </w:pPr>
            <w:r>
              <w:rPr>
                <w:bCs/>
                <w:snapToGrid w:val="0"/>
                <w:color w:val="auto"/>
                <w:sz w:val="26"/>
                <w:szCs w:val="26"/>
              </w:rPr>
              <w:t>In case of consortium, any member of the consortium violates the provisions of the above mentioned cases, The Purchaser has the right to confiscate the guarantee.</w:t>
            </w:r>
          </w:p>
          <w:p w14:paraId="708C6E93">
            <w:pPr>
              <w:widowControl w:val="0"/>
              <w:spacing w:before="60" w:after="60"/>
              <w:jc w:val="both"/>
              <w:rPr>
                <w:rFonts w:eastAsia="Times New Roman"/>
                <w:color w:val="auto"/>
                <w:sz w:val="26"/>
                <w:szCs w:val="26"/>
              </w:rPr>
            </w:pPr>
            <w:r>
              <w:rPr>
                <w:bCs/>
                <w:snapToGrid w:val="0"/>
                <w:color w:val="auto"/>
                <w:sz w:val="26"/>
                <w:szCs w:val="26"/>
              </w:rPr>
              <w:t>During the performance of the contract, if the Purchaser chooses to deduct any amount that the Supplier is obliged to pay under the contract, then the Supplier is responsible for adding the corresponding amount to the Advance Guarantee to ensure the value of the Advance Guarantee as prescribed otherwise Purchaser has the right to confiscate the Advance Guarantee.</w:t>
            </w:r>
            <w:r>
              <w:rPr>
                <w:rFonts w:eastAsia="Times New Roman"/>
                <w:color w:val="auto"/>
                <w:sz w:val="26"/>
                <w:szCs w:val="26"/>
              </w:rPr>
              <w:t xml:space="preserve"> </w:t>
            </w:r>
          </w:p>
          <w:p w14:paraId="708C6E94">
            <w:pPr>
              <w:widowControl w:val="0"/>
              <w:spacing w:before="60" w:after="60"/>
              <w:jc w:val="both"/>
              <w:rPr>
                <w:rStyle w:val="341"/>
                <w:color w:val="auto"/>
                <w:sz w:val="26"/>
                <w:szCs w:val="26"/>
                <w:lang w:val="en"/>
              </w:rPr>
            </w:pPr>
            <w:r>
              <w:rPr>
                <w:rStyle w:val="341"/>
                <w:color w:val="auto"/>
                <w:sz w:val="26"/>
                <w:szCs w:val="26"/>
                <w:lang w:val="en"/>
              </w:rPr>
              <w:t>Advance Payment must comply with EVNNPT's regulations in Decision No.16/QD-HDTV dated 13/01/2025 on promulgating regulations on management and payment of investment capital in EVNNPT.</w:t>
            </w:r>
          </w:p>
        </w:tc>
      </w:tr>
      <w:tr w14:paraId="708C6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08C6E96">
            <w:pPr>
              <w:widowControl w:val="0"/>
              <w:spacing w:before="60" w:after="60" w:line="276" w:lineRule="auto"/>
              <w:ind w:left="34" w:right="34"/>
              <w:rPr>
                <w:b/>
                <w:color w:val="auto"/>
                <w:sz w:val="26"/>
                <w:szCs w:val="26"/>
              </w:rPr>
            </w:pPr>
            <w:r>
              <w:rPr>
                <w:b/>
                <w:color w:val="auto"/>
                <w:sz w:val="26"/>
                <w:szCs w:val="26"/>
              </w:rPr>
              <w:t>GCC</w:t>
            </w:r>
          </w:p>
          <w:p w14:paraId="708C6E97">
            <w:pPr>
              <w:widowControl w:val="0"/>
              <w:spacing w:before="60" w:after="60" w:line="276" w:lineRule="auto"/>
              <w:ind w:left="34" w:right="34"/>
              <w:rPr>
                <w:b/>
                <w:color w:val="auto"/>
                <w:sz w:val="26"/>
                <w:szCs w:val="26"/>
              </w:rPr>
            </w:pPr>
            <w:r>
              <w:rPr>
                <w:b/>
                <w:color w:val="auto"/>
                <w:sz w:val="26"/>
                <w:szCs w:val="26"/>
              </w:rPr>
              <w:t>14.2</w:t>
            </w:r>
          </w:p>
        </w:tc>
        <w:tc>
          <w:tcPr>
            <w:tcW w:w="7867" w:type="dxa"/>
          </w:tcPr>
          <w:p w14:paraId="708C6E98">
            <w:pPr>
              <w:widowControl w:val="0"/>
              <w:shd w:val="clear" w:color="auto" w:fill="FFFFFF"/>
              <w:spacing w:before="40" w:after="40" w:line="240" w:lineRule="auto"/>
              <w:jc w:val="both"/>
              <w:rPr>
                <w:bCs/>
                <w:snapToGrid w:val="0"/>
                <w:color w:val="auto"/>
                <w:sz w:val="26"/>
                <w:szCs w:val="26"/>
              </w:rPr>
            </w:pPr>
            <w:r>
              <w:rPr>
                <w:bCs/>
                <w:snapToGrid w:val="0"/>
                <w:color w:val="auto"/>
                <w:sz w:val="26"/>
                <w:szCs w:val="26"/>
              </w:rPr>
              <w:t>Payment of foreign currencies portion shall be made in currency proposed in the Bid. For local Suppliers, currency of payment is Vietnam Dong, the value of goods is determined by the total amount of VND paid to the Supplier (not including VAT) as follows:</w:t>
            </w:r>
          </w:p>
          <w:p w14:paraId="708C6E99">
            <w:pPr>
              <w:widowControl w:val="0"/>
              <w:numPr>
                <w:ilvl w:val="0"/>
                <w:numId w:val="75"/>
              </w:numPr>
              <w:spacing w:before="40" w:after="40" w:line="240" w:lineRule="auto"/>
              <w:ind w:left="616" w:hanging="270"/>
              <w:jc w:val="both"/>
              <w:rPr>
                <w:color w:val="auto"/>
                <w:sz w:val="26"/>
                <w:szCs w:val="26"/>
              </w:rPr>
            </w:pPr>
            <w:r>
              <w:rPr>
                <w:color w:val="auto"/>
                <w:sz w:val="26"/>
                <w:szCs w:val="26"/>
              </w:rPr>
              <w:t>The value of the contract advance calculated according to selling rate of foreign currencies/VND announced by Vietcombank at the time of advance payment request.</w:t>
            </w:r>
          </w:p>
          <w:p w14:paraId="708C6E9A">
            <w:pPr>
              <w:widowControl w:val="0"/>
              <w:numPr>
                <w:ilvl w:val="0"/>
                <w:numId w:val="75"/>
              </w:numPr>
              <w:spacing w:before="40" w:after="40" w:line="240" w:lineRule="auto"/>
              <w:ind w:left="616" w:hanging="270"/>
              <w:jc w:val="both"/>
              <w:rPr>
                <w:color w:val="auto"/>
                <w:sz w:val="26"/>
                <w:szCs w:val="26"/>
              </w:rPr>
            </w:pPr>
            <w:r>
              <w:rPr>
                <w:color w:val="auto"/>
                <w:sz w:val="26"/>
                <w:szCs w:val="26"/>
              </w:rPr>
              <w:t>The remaining value (after deducting value of advance payment) calculated at selling rate of foreign currencies/VND announced by Vietcombank on the issuing date of VAT invoices (the issuing date of VAT invoices will be the date goods are delivered and accepted at the Final destination).</w:t>
            </w:r>
          </w:p>
          <w:p w14:paraId="708C6E9B">
            <w:pPr>
              <w:widowControl w:val="0"/>
              <w:numPr>
                <w:ilvl w:val="0"/>
                <w:numId w:val="75"/>
              </w:numPr>
              <w:spacing w:before="40" w:after="40" w:line="240" w:lineRule="auto"/>
              <w:ind w:left="616" w:hanging="270"/>
              <w:jc w:val="both"/>
              <w:rPr>
                <w:bCs/>
                <w:snapToGrid w:val="0"/>
                <w:color w:val="auto"/>
                <w:sz w:val="26"/>
                <w:szCs w:val="26"/>
              </w:rPr>
            </w:pPr>
            <w:r>
              <w:rPr>
                <w:color w:val="auto"/>
                <w:sz w:val="26"/>
                <w:szCs w:val="26"/>
              </w:rPr>
              <w:t>Except for advance payment and payment on acceptance, payment on delivery shall be allowed up to 3 times.</w:t>
            </w:r>
          </w:p>
          <w:p w14:paraId="708C6E9C">
            <w:pPr>
              <w:widowControl w:val="0"/>
              <w:numPr>
                <w:ilvl w:val="3"/>
                <w:numId w:val="71"/>
              </w:numPr>
              <w:shd w:val="clear" w:color="auto" w:fill="FFFFFF"/>
              <w:spacing w:before="40" w:after="40" w:line="240" w:lineRule="auto"/>
              <w:ind w:left="317" w:hanging="361"/>
              <w:jc w:val="both"/>
              <w:rPr>
                <w:b/>
                <w:color w:val="auto"/>
                <w:sz w:val="26"/>
                <w:szCs w:val="26"/>
                <w:u w:val="single"/>
              </w:rPr>
            </w:pPr>
            <w:r>
              <w:rPr>
                <w:b/>
                <w:bCs/>
                <w:snapToGrid w:val="0"/>
                <w:color w:val="auto"/>
                <w:sz w:val="26"/>
                <w:szCs w:val="26"/>
              </w:rPr>
              <w:t>For goods</w:t>
            </w:r>
          </w:p>
          <w:p w14:paraId="708C6E9D">
            <w:pPr>
              <w:widowControl w:val="0"/>
              <w:shd w:val="clear" w:color="auto" w:fill="FFFFFF"/>
              <w:tabs>
                <w:tab w:val="left" w:pos="450"/>
              </w:tabs>
              <w:spacing w:before="40" w:after="40" w:line="240" w:lineRule="auto"/>
              <w:jc w:val="both"/>
              <w:rPr>
                <w:b/>
                <w:bCs/>
                <w:i/>
                <w:snapToGrid w:val="0"/>
                <w:color w:val="auto"/>
                <w:sz w:val="26"/>
                <w:szCs w:val="26"/>
              </w:rPr>
            </w:pPr>
            <w:r>
              <w:rPr>
                <w:b/>
                <w:bCs/>
                <w:i/>
                <w:snapToGrid w:val="0"/>
                <w:color w:val="auto"/>
                <w:sz w:val="26"/>
                <w:szCs w:val="26"/>
              </w:rPr>
              <w:t>For Goods supplied from aboard:</w:t>
            </w:r>
          </w:p>
          <w:p w14:paraId="708C6E9E">
            <w:pPr>
              <w:pStyle w:val="97"/>
              <w:widowControl w:val="0"/>
              <w:numPr>
                <w:ilvl w:val="2"/>
                <w:numId w:val="76"/>
              </w:numPr>
              <w:shd w:val="clear" w:color="auto" w:fill="FFFFFF"/>
              <w:spacing w:before="40" w:after="40"/>
              <w:ind w:left="459"/>
              <w:rPr>
                <w:color w:val="auto"/>
                <w:sz w:val="26"/>
                <w:szCs w:val="26"/>
              </w:rPr>
            </w:pPr>
            <w:r>
              <w:rPr>
                <w:bCs/>
                <w:snapToGrid w:val="0"/>
                <w:color w:val="auto"/>
                <w:sz w:val="26"/>
                <w:szCs w:val="26"/>
              </w:rPr>
              <w:t>On Delivery:</w:t>
            </w:r>
            <w:r>
              <w:rPr>
                <w:rStyle w:val="331"/>
                <w:rFonts w:ascii="Times New Roman" w:hAnsi="Times New Roman"/>
                <w:i/>
                <w:color w:val="auto"/>
              </w:rPr>
              <w:t xml:space="preserve"> </w:t>
            </w:r>
            <w:r>
              <w:rPr>
                <w:rStyle w:val="331"/>
                <w:rFonts w:ascii="Times New Roman" w:hAnsi="Times New Roman"/>
                <w:b/>
                <w:bCs/>
                <w:i/>
                <w:color w:val="auto"/>
              </w:rPr>
              <w:t>Seventy (70) percent</w:t>
            </w:r>
            <w:r>
              <w:rPr>
                <w:rStyle w:val="331"/>
                <w:rFonts w:ascii="Times New Roman" w:hAnsi="Times New Roman"/>
                <w:i/>
                <w:color w:val="auto"/>
              </w:rPr>
              <w:t xml:space="preserve"> of the price of the</w:t>
            </w:r>
            <w:r>
              <w:rPr>
                <w:color w:val="auto"/>
                <w:sz w:val="26"/>
                <w:szCs w:val="26"/>
              </w:rPr>
              <w:t xml:space="preserve"> </w:t>
            </w:r>
            <w:r>
              <w:rPr>
                <w:rStyle w:val="331"/>
                <w:rFonts w:ascii="Times New Roman" w:hAnsi="Times New Roman"/>
                <w:i/>
                <w:color w:val="auto"/>
              </w:rPr>
              <w:t xml:space="preserve">Goods received shall be paid by TTr </w:t>
            </w:r>
            <w:r>
              <w:rPr>
                <w:i/>
                <w:iCs/>
                <w:color w:val="auto"/>
                <w:szCs w:val="26"/>
              </w:rPr>
              <w:t>within fourteen (14) working days</w:t>
            </w:r>
            <w:r>
              <w:rPr>
                <w:color w:val="auto"/>
                <w:szCs w:val="26"/>
              </w:rPr>
              <w:t xml:space="preserve"> </w:t>
            </w:r>
            <w:r>
              <w:rPr>
                <w:rStyle w:val="331"/>
                <w:rFonts w:ascii="Times New Roman" w:hAnsi="Times New Roman"/>
                <w:i/>
                <w:color w:val="auto"/>
              </w:rPr>
              <w:t>upon</w:t>
            </w:r>
            <w:r>
              <w:rPr>
                <w:color w:val="auto"/>
                <w:sz w:val="26"/>
                <w:szCs w:val="26"/>
              </w:rPr>
              <w:t xml:space="preserve"> </w:t>
            </w:r>
            <w:r>
              <w:rPr>
                <w:rStyle w:val="331"/>
                <w:rFonts w:ascii="Times New Roman" w:hAnsi="Times New Roman"/>
                <w:i/>
                <w:color w:val="auto"/>
              </w:rPr>
              <w:t>submission of the following documents:</w:t>
            </w:r>
            <w:r>
              <w:rPr>
                <w:rStyle w:val="331"/>
                <w:i/>
                <w:color w:val="auto"/>
              </w:rPr>
              <w:t xml:space="preserve"> </w:t>
            </w:r>
          </w:p>
          <w:p w14:paraId="708C6E9F">
            <w:pPr>
              <w:pStyle w:val="97"/>
              <w:widowControl w:val="0"/>
              <w:numPr>
                <w:ilvl w:val="3"/>
                <w:numId w:val="53"/>
              </w:numPr>
              <w:spacing w:before="40" w:after="40"/>
              <w:rPr>
                <w:i/>
                <w:color w:val="auto"/>
                <w:sz w:val="26"/>
                <w:szCs w:val="26"/>
              </w:rPr>
            </w:pPr>
            <w:r>
              <w:rPr>
                <w:color w:val="auto"/>
                <w:sz w:val="26"/>
                <w:szCs w:val="26"/>
              </w:rPr>
              <w:t xml:space="preserve">One original and five (5) copies of Commercial Invoice signed by Supplier showing the description of the Goods, quantity, unit price, and total amount; </w:t>
            </w:r>
          </w:p>
          <w:p w14:paraId="708C6EA0">
            <w:pPr>
              <w:pStyle w:val="97"/>
              <w:widowControl w:val="0"/>
              <w:numPr>
                <w:ilvl w:val="3"/>
                <w:numId w:val="53"/>
              </w:numPr>
              <w:spacing w:before="40" w:after="40"/>
              <w:rPr>
                <w:color w:val="auto"/>
                <w:sz w:val="26"/>
                <w:szCs w:val="26"/>
              </w:rPr>
            </w:pPr>
            <w:r>
              <w:rPr>
                <w:color w:val="auto"/>
                <w:sz w:val="26"/>
                <w:szCs w:val="26"/>
              </w:rPr>
              <w:t xml:space="preserve">2/3 original and five (5) copies of the negotiable, clean, on-board bill of lading, marked “freight prepaid” up to seaport, Vietnam, or six (06) copies of Airway bill up to Airport, Vietnam; </w:t>
            </w:r>
          </w:p>
          <w:p w14:paraId="708C6EA1">
            <w:pPr>
              <w:pStyle w:val="97"/>
              <w:widowControl w:val="0"/>
              <w:numPr>
                <w:ilvl w:val="3"/>
                <w:numId w:val="53"/>
              </w:numPr>
              <w:spacing w:before="40" w:after="40"/>
              <w:rPr>
                <w:color w:val="auto"/>
                <w:sz w:val="26"/>
                <w:szCs w:val="26"/>
              </w:rPr>
            </w:pPr>
            <w:r>
              <w:rPr>
                <w:color w:val="auto"/>
                <w:sz w:val="26"/>
                <w:szCs w:val="26"/>
              </w:rPr>
              <w:t>One original and five (5) copies of the detailed packing list identifying description of Goods, contents, dimension and net/gross weight of each package, and total net/gross weight.</w:t>
            </w:r>
          </w:p>
          <w:p w14:paraId="708C6EA2">
            <w:pPr>
              <w:pStyle w:val="97"/>
              <w:widowControl w:val="0"/>
              <w:numPr>
                <w:ilvl w:val="3"/>
                <w:numId w:val="53"/>
              </w:numPr>
              <w:spacing w:before="40" w:after="40"/>
              <w:rPr>
                <w:color w:val="auto"/>
                <w:sz w:val="26"/>
                <w:szCs w:val="26"/>
              </w:rPr>
            </w:pPr>
            <w:r>
              <w:rPr>
                <w:color w:val="auto"/>
                <w:sz w:val="26"/>
                <w:szCs w:val="26"/>
              </w:rPr>
              <w:t xml:space="preserve">One original and five (5) copies of Insurance certificate covering 110% of invoice value showing the clause “All risks”; </w:t>
            </w:r>
          </w:p>
          <w:p w14:paraId="708C6EA3">
            <w:pPr>
              <w:pStyle w:val="97"/>
              <w:widowControl w:val="0"/>
              <w:numPr>
                <w:ilvl w:val="3"/>
                <w:numId w:val="53"/>
              </w:numPr>
              <w:spacing w:before="40" w:after="40"/>
              <w:rPr>
                <w:color w:val="auto"/>
                <w:sz w:val="26"/>
                <w:szCs w:val="26"/>
              </w:rPr>
            </w:pPr>
            <w:r>
              <w:rPr>
                <w:color w:val="auto"/>
                <w:sz w:val="26"/>
                <w:szCs w:val="26"/>
              </w:rPr>
              <w:t xml:space="preserve">Five (5) copies of Certificate of origin (C/O). (The Supplier commits to carry out the procedures for obtaining a certificate of origin (C/O) so that preferential tariff rate (if any) can be applied for the goods (Example: C/O Form E) </w:t>
            </w:r>
          </w:p>
          <w:p w14:paraId="708C6EA4">
            <w:pPr>
              <w:pStyle w:val="97"/>
              <w:widowControl w:val="0"/>
              <w:numPr>
                <w:ilvl w:val="3"/>
                <w:numId w:val="53"/>
              </w:numPr>
              <w:spacing w:before="40" w:after="40"/>
              <w:rPr>
                <w:color w:val="auto"/>
                <w:sz w:val="26"/>
                <w:szCs w:val="26"/>
              </w:rPr>
            </w:pPr>
            <w:r>
              <w:rPr>
                <w:color w:val="auto"/>
                <w:sz w:val="26"/>
                <w:szCs w:val="26"/>
              </w:rPr>
              <w:t xml:space="preserve">One original and five (5) copies of Manufacturer’s or Supplier’s certificate on quantity and quality; </w:t>
            </w:r>
          </w:p>
          <w:p w14:paraId="708C6EA5">
            <w:pPr>
              <w:pStyle w:val="97"/>
              <w:widowControl w:val="0"/>
              <w:numPr>
                <w:ilvl w:val="3"/>
                <w:numId w:val="53"/>
              </w:numPr>
              <w:spacing w:before="40" w:after="40"/>
              <w:rPr>
                <w:color w:val="auto"/>
                <w:sz w:val="26"/>
                <w:szCs w:val="26"/>
              </w:rPr>
            </w:pPr>
            <w:r>
              <w:rPr>
                <w:color w:val="auto"/>
                <w:sz w:val="26"/>
                <w:szCs w:val="26"/>
              </w:rPr>
              <w:t xml:space="preserve">One original and five (5) copies of Manufacturer’s or Supplier’s warranty certificate; </w:t>
            </w:r>
          </w:p>
          <w:p w14:paraId="708C6EA6">
            <w:pPr>
              <w:pStyle w:val="97"/>
              <w:widowControl w:val="0"/>
              <w:numPr>
                <w:ilvl w:val="3"/>
                <w:numId w:val="53"/>
              </w:numPr>
              <w:spacing w:before="40" w:after="40"/>
              <w:rPr>
                <w:color w:val="auto"/>
                <w:sz w:val="26"/>
                <w:szCs w:val="26"/>
              </w:rPr>
            </w:pPr>
            <w:r>
              <w:rPr>
                <w:color w:val="auto"/>
                <w:sz w:val="26"/>
                <w:szCs w:val="26"/>
              </w:rPr>
              <w:t xml:space="preserve">One original and five (5) copies of Manufacturer’s factory test report; </w:t>
            </w:r>
          </w:p>
          <w:p w14:paraId="708C6EA7">
            <w:pPr>
              <w:pStyle w:val="97"/>
              <w:widowControl w:val="0"/>
              <w:numPr>
                <w:ilvl w:val="3"/>
                <w:numId w:val="53"/>
              </w:numPr>
              <w:spacing w:before="40" w:after="40"/>
              <w:rPr>
                <w:color w:val="auto"/>
                <w:sz w:val="26"/>
                <w:szCs w:val="26"/>
              </w:rPr>
            </w:pPr>
            <w:r>
              <w:rPr>
                <w:color w:val="auto"/>
                <w:sz w:val="26"/>
                <w:szCs w:val="26"/>
              </w:rPr>
              <w:t xml:space="preserve">Minutes of Delivery of Goods (at site) certifying satisfactory quality, sufficient quantity and signed by both parties; </w:t>
            </w:r>
          </w:p>
          <w:p w14:paraId="708C6EA8">
            <w:pPr>
              <w:pStyle w:val="97"/>
              <w:widowControl w:val="0"/>
              <w:numPr>
                <w:ilvl w:val="3"/>
                <w:numId w:val="53"/>
              </w:numPr>
              <w:spacing w:before="40" w:after="40"/>
              <w:rPr>
                <w:color w:val="auto"/>
                <w:sz w:val="26"/>
                <w:szCs w:val="26"/>
              </w:rPr>
            </w:pPr>
            <w:r>
              <w:rPr>
                <w:color w:val="auto"/>
                <w:sz w:val="26"/>
                <w:szCs w:val="26"/>
              </w:rPr>
              <w:t>05 originals of Table as Form attached in the Contract</w:t>
            </w:r>
          </w:p>
          <w:p w14:paraId="708C6EA9">
            <w:pPr>
              <w:pStyle w:val="97"/>
              <w:widowControl w:val="0"/>
              <w:numPr>
                <w:ilvl w:val="2"/>
                <w:numId w:val="76"/>
              </w:numPr>
              <w:shd w:val="clear" w:color="auto" w:fill="FFFFFF"/>
              <w:spacing w:before="40" w:after="40"/>
              <w:ind w:left="459" w:hanging="463"/>
              <w:rPr>
                <w:bCs/>
                <w:snapToGrid w:val="0"/>
                <w:color w:val="auto"/>
                <w:sz w:val="26"/>
                <w:szCs w:val="26"/>
              </w:rPr>
            </w:pPr>
            <w:r>
              <w:rPr>
                <w:bCs/>
                <w:snapToGrid w:val="0"/>
                <w:color w:val="auto"/>
                <w:sz w:val="26"/>
                <w:szCs w:val="26"/>
              </w:rPr>
              <w:t xml:space="preserve">On Acceptance: </w:t>
            </w:r>
          </w:p>
          <w:p w14:paraId="708C6EAA">
            <w:pPr>
              <w:widowControl w:val="0"/>
              <w:shd w:val="clear" w:color="auto" w:fill="FFFFFF"/>
              <w:spacing w:before="40" w:after="40" w:line="240" w:lineRule="auto"/>
              <w:jc w:val="both"/>
              <w:rPr>
                <w:color w:val="auto"/>
                <w:sz w:val="26"/>
                <w:szCs w:val="26"/>
              </w:rPr>
            </w:pPr>
            <w:r>
              <w:rPr>
                <w:rStyle w:val="331"/>
                <w:rFonts w:ascii="Times New Roman" w:hAnsi="Times New Roman"/>
                <w:i/>
                <w:color w:val="auto"/>
              </w:rPr>
              <w:t>Ten (10) percent of the Contract</w:t>
            </w:r>
            <w:r>
              <w:rPr>
                <w:color w:val="auto"/>
                <w:sz w:val="26"/>
                <w:szCs w:val="26"/>
              </w:rPr>
              <w:t xml:space="preserve"> </w:t>
            </w:r>
            <w:r>
              <w:rPr>
                <w:rStyle w:val="331"/>
                <w:rFonts w:ascii="Times New Roman" w:hAnsi="Times New Roman"/>
                <w:i/>
                <w:color w:val="auto"/>
              </w:rPr>
              <w:t>Price of Goods received shall be paid by TTr within fourteen (14) working days after</w:t>
            </w:r>
            <w:r>
              <w:rPr>
                <w:color w:val="auto"/>
                <w:sz w:val="26"/>
                <w:szCs w:val="26"/>
              </w:rPr>
              <w:t xml:space="preserve"> </w:t>
            </w:r>
            <w:r>
              <w:rPr>
                <w:rStyle w:val="331"/>
                <w:rFonts w:ascii="Times New Roman" w:hAnsi="Times New Roman"/>
                <w:i/>
                <w:color w:val="auto"/>
              </w:rPr>
              <w:t>receipt of the following documents from the</w:t>
            </w:r>
            <w:r>
              <w:rPr>
                <w:color w:val="auto"/>
                <w:sz w:val="26"/>
                <w:szCs w:val="26"/>
              </w:rPr>
              <w:t xml:space="preserve"> </w:t>
            </w:r>
            <w:r>
              <w:rPr>
                <w:rStyle w:val="331"/>
                <w:rFonts w:ascii="Times New Roman" w:hAnsi="Times New Roman"/>
                <w:i/>
                <w:color w:val="auto"/>
              </w:rPr>
              <w:t>Supplier:</w:t>
            </w:r>
          </w:p>
          <w:p w14:paraId="708C6EAB">
            <w:pPr>
              <w:pStyle w:val="97"/>
              <w:widowControl w:val="0"/>
              <w:numPr>
                <w:ilvl w:val="0"/>
                <w:numId w:val="77"/>
              </w:numPr>
              <w:shd w:val="clear" w:color="auto" w:fill="FFFFFF"/>
              <w:spacing w:before="40" w:after="40"/>
              <w:ind w:left="1455" w:hanging="567"/>
              <w:rPr>
                <w:rStyle w:val="331"/>
                <w:rFonts w:ascii="Times New Roman" w:hAnsi="Times New Roman"/>
                <w:color w:val="auto"/>
              </w:rPr>
            </w:pPr>
            <w:r>
              <w:rPr>
                <w:rStyle w:val="331"/>
                <w:rFonts w:ascii="Times New Roman" w:hAnsi="Times New Roman"/>
                <w:color w:val="auto"/>
              </w:rPr>
              <w:t>One (01) original and five (05) copies Claim for</w:t>
            </w:r>
            <w:r>
              <w:rPr>
                <w:color w:val="auto"/>
                <w:sz w:val="26"/>
                <w:szCs w:val="26"/>
              </w:rPr>
              <w:t xml:space="preserve"> </w:t>
            </w:r>
            <w:r>
              <w:rPr>
                <w:rStyle w:val="331"/>
                <w:rFonts w:ascii="Times New Roman" w:hAnsi="Times New Roman"/>
                <w:color w:val="auto"/>
              </w:rPr>
              <w:t>Payment.</w:t>
            </w:r>
          </w:p>
          <w:p w14:paraId="708C6EAC">
            <w:pPr>
              <w:pStyle w:val="97"/>
              <w:widowControl w:val="0"/>
              <w:numPr>
                <w:ilvl w:val="0"/>
                <w:numId w:val="77"/>
              </w:numPr>
              <w:shd w:val="clear" w:color="auto" w:fill="FFFFFF"/>
              <w:spacing w:before="40" w:after="40"/>
              <w:ind w:left="1455" w:hanging="567"/>
              <w:rPr>
                <w:rStyle w:val="331"/>
                <w:rFonts w:ascii="Times New Roman" w:hAnsi="Times New Roman"/>
                <w:color w:val="auto"/>
              </w:rPr>
            </w:pPr>
            <w:r>
              <w:rPr>
                <w:rStyle w:val="331"/>
                <w:rFonts w:ascii="Times New Roman" w:hAnsi="Times New Roman"/>
                <w:color w:val="auto"/>
              </w:rPr>
              <w:t>One (01) original and five (05) copies of the Acceptance Certificate issued by the Purchaser confirming that the Supplier has satisfactorily fulfilled his delivery obligations under the contract.</w:t>
            </w:r>
          </w:p>
          <w:p w14:paraId="708C6EAD">
            <w:pPr>
              <w:pStyle w:val="97"/>
              <w:widowControl w:val="0"/>
              <w:numPr>
                <w:ilvl w:val="0"/>
                <w:numId w:val="77"/>
              </w:numPr>
              <w:shd w:val="clear" w:color="auto" w:fill="FFFFFF"/>
              <w:spacing w:before="40" w:after="40"/>
              <w:ind w:left="1455" w:hanging="567"/>
              <w:rPr>
                <w:rStyle w:val="331"/>
                <w:rFonts w:ascii="Times New Roman" w:hAnsi="Times New Roman"/>
                <w:color w:val="auto"/>
              </w:rPr>
            </w:pPr>
            <w:r>
              <w:rPr>
                <w:rStyle w:val="331"/>
                <w:rFonts w:ascii="Times New Roman" w:hAnsi="Times New Roman"/>
                <w:color w:val="auto"/>
              </w:rPr>
              <w:t>One (01) original and five (05) copies of Warranty Security covering 5% of the contract price.</w:t>
            </w:r>
          </w:p>
          <w:p w14:paraId="708C6EAE">
            <w:pPr>
              <w:pStyle w:val="97"/>
              <w:widowControl w:val="0"/>
              <w:numPr>
                <w:ilvl w:val="0"/>
                <w:numId w:val="77"/>
              </w:numPr>
              <w:shd w:val="clear" w:color="auto" w:fill="FFFFFF"/>
              <w:spacing w:before="40" w:after="40"/>
              <w:ind w:left="1455" w:hanging="567"/>
              <w:rPr>
                <w:rStyle w:val="331"/>
                <w:rFonts w:ascii="Times New Roman" w:hAnsi="Times New Roman"/>
                <w:color w:val="auto"/>
              </w:rPr>
            </w:pPr>
            <w:r>
              <w:rPr>
                <w:rStyle w:val="331"/>
                <w:rFonts w:ascii="Times New Roman" w:hAnsi="Times New Roman"/>
                <w:color w:val="auto"/>
              </w:rPr>
              <w:t>05 originals of Table as Form attached in the Contract</w:t>
            </w:r>
          </w:p>
          <w:p w14:paraId="708C6EAF">
            <w:pPr>
              <w:widowControl w:val="0"/>
              <w:shd w:val="clear" w:color="auto" w:fill="FFFFFF"/>
              <w:spacing w:before="40" w:after="40" w:line="240" w:lineRule="auto"/>
              <w:ind w:firstLine="33"/>
              <w:jc w:val="both"/>
              <w:rPr>
                <w:color w:val="auto"/>
                <w:sz w:val="26"/>
                <w:szCs w:val="26"/>
              </w:rPr>
            </w:pPr>
            <w:r>
              <w:rPr>
                <w:b/>
                <w:i/>
                <w:snapToGrid w:val="0"/>
                <w:color w:val="auto"/>
                <w:sz w:val="26"/>
                <w:szCs w:val="26"/>
              </w:rPr>
              <w:t xml:space="preserve">For Goods manufactured or processed from within the Purchaser’s </w:t>
            </w:r>
            <w:r>
              <w:rPr>
                <w:b/>
                <w:bCs/>
                <w:i/>
                <w:snapToGrid w:val="0"/>
                <w:color w:val="auto"/>
                <w:sz w:val="26"/>
                <w:szCs w:val="26"/>
              </w:rPr>
              <w:t>country:</w:t>
            </w:r>
          </w:p>
          <w:p w14:paraId="708C6EB0">
            <w:pPr>
              <w:widowControl w:val="0"/>
              <w:shd w:val="clear" w:color="auto" w:fill="FFFFFF"/>
              <w:tabs>
                <w:tab w:val="left" w:pos="450"/>
              </w:tabs>
              <w:spacing w:before="40" w:after="40" w:line="240" w:lineRule="auto"/>
              <w:jc w:val="both"/>
              <w:rPr>
                <w:bCs/>
                <w:snapToGrid w:val="0"/>
                <w:color w:val="auto"/>
                <w:sz w:val="26"/>
                <w:szCs w:val="26"/>
              </w:rPr>
            </w:pPr>
            <w:r>
              <w:rPr>
                <w:bCs/>
                <w:snapToGrid w:val="0"/>
                <w:color w:val="auto"/>
                <w:sz w:val="26"/>
                <w:szCs w:val="26"/>
              </w:rPr>
              <w:t>Payment shall be made in Vietnam Dong (VND)</w:t>
            </w:r>
            <w:r>
              <w:rPr>
                <w:bCs/>
                <w:i/>
                <w:snapToGrid w:val="0"/>
                <w:color w:val="auto"/>
                <w:sz w:val="26"/>
                <w:szCs w:val="26"/>
              </w:rPr>
              <w:t xml:space="preserve">, </w:t>
            </w:r>
            <w:r>
              <w:rPr>
                <w:bCs/>
                <w:snapToGrid w:val="0"/>
                <w:color w:val="auto"/>
                <w:sz w:val="26"/>
                <w:szCs w:val="26"/>
              </w:rPr>
              <w:t>as follows:</w:t>
            </w:r>
          </w:p>
          <w:p w14:paraId="708C6EB1">
            <w:pPr>
              <w:widowControl w:val="0"/>
              <w:shd w:val="clear" w:color="auto" w:fill="FFFFFF"/>
              <w:spacing w:before="40" w:after="40" w:line="240" w:lineRule="auto"/>
              <w:jc w:val="both"/>
              <w:rPr>
                <w:rStyle w:val="331"/>
                <w:rFonts w:ascii="Times New Roman" w:hAnsi="Times New Roman"/>
                <w:iCs/>
                <w:color w:val="auto"/>
              </w:rPr>
            </w:pPr>
            <w:r>
              <w:rPr>
                <w:snapToGrid w:val="0"/>
                <w:color w:val="auto"/>
                <w:sz w:val="26"/>
                <w:szCs w:val="26"/>
              </w:rPr>
              <w:t xml:space="preserve">(a) </w:t>
            </w:r>
            <w:r>
              <w:rPr>
                <w:bCs/>
                <w:i/>
                <w:snapToGrid w:val="0"/>
                <w:color w:val="auto"/>
                <w:sz w:val="26"/>
                <w:szCs w:val="26"/>
              </w:rPr>
              <w:t>On Delivery</w:t>
            </w:r>
            <w:r>
              <w:rPr>
                <w:bCs/>
                <w:snapToGrid w:val="0"/>
                <w:color w:val="auto"/>
                <w:sz w:val="26"/>
                <w:szCs w:val="26"/>
              </w:rPr>
              <w:t xml:space="preserve">: </w:t>
            </w:r>
            <w:r>
              <w:rPr>
                <w:b/>
                <w:snapToGrid w:val="0"/>
                <w:color w:val="auto"/>
                <w:sz w:val="26"/>
                <w:szCs w:val="26"/>
              </w:rPr>
              <w:t>Seventy (70) percent</w:t>
            </w:r>
            <w:r>
              <w:rPr>
                <w:bCs/>
                <w:snapToGrid w:val="0"/>
                <w:color w:val="auto"/>
                <w:sz w:val="26"/>
                <w:szCs w:val="26"/>
              </w:rPr>
              <w:t xml:space="preserve"> of the Price of Goods delivered; Hundred (100) percent of VAT imposed on the Goods (if any) shall be paid by TTr within 14 working days upon submission of the documents specified in SCC Clause 9 and (i.) Signed invoice in MOF format showing Good’s description, quantity, unit price, VAT and total amount (if any), and (ii.) Minutes of Delivery of Goods certifying satisfactory quality, sufficient quantity and signed by both parties and (iii): </w:t>
            </w:r>
            <w:r>
              <w:rPr>
                <w:rStyle w:val="331"/>
                <w:rFonts w:ascii="Times New Roman" w:hAnsi="Times New Roman"/>
                <w:iCs/>
                <w:color w:val="auto"/>
              </w:rPr>
              <w:t>Table as Form attached in the</w:t>
            </w:r>
            <w:r>
              <w:rPr>
                <w:iCs/>
                <w:color w:val="auto"/>
                <w:sz w:val="26"/>
                <w:szCs w:val="26"/>
              </w:rPr>
              <w:t xml:space="preserve"> </w:t>
            </w:r>
            <w:r>
              <w:rPr>
                <w:rStyle w:val="331"/>
                <w:rFonts w:ascii="Times New Roman" w:hAnsi="Times New Roman"/>
                <w:iCs/>
                <w:color w:val="auto"/>
              </w:rPr>
              <w:t>Contract.</w:t>
            </w:r>
          </w:p>
          <w:p w14:paraId="708C6EB2">
            <w:pPr>
              <w:widowControl w:val="0"/>
              <w:shd w:val="clear" w:color="auto" w:fill="FFFFFF"/>
              <w:spacing w:before="40" w:after="40" w:line="240" w:lineRule="auto"/>
              <w:jc w:val="both"/>
              <w:rPr>
                <w:iCs/>
                <w:color w:val="auto"/>
                <w:sz w:val="26"/>
                <w:szCs w:val="26"/>
              </w:rPr>
            </w:pPr>
            <w:r>
              <w:rPr>
                <w:snapToGrid w:val="0"/>
                <w:color w:val="auto"/>
                <w:sz w:val="26"/>
                <w:szCs w:val="26"/>
              </w:rPr>
              <w:t xml:space="preserve">(b) </w:t>
            </w:r>
            <w:r>
              <w:rPr>
                <w:i/>
                <w:snapToGrid w:val="0"/>
                <w:color w:val="auto"/>
                <w:sz w:val="26"/>
                <w:szCs w:val="26"/>
              </w:rPr>
              <w:t>On Acceptance</w:t>
            </w:r>
            <w:r>
              <w:rPr>
                <w:snapToGrid w:val="0"/>
                <w:color w:val="auto"/>
                <w:sz w:val="26"/>
                <w:szCs w:val="26"/>
              </w:rPr>
              <w:t xml:space="preserve">: </w:t>
            </w:r>
            <w:r>
              <w:rPr>
                <w:bCs/>
                <w:snapToGrid w:val="0"/>
                <w:color w:val="auto"/>
                <w:sz w:val="26"/>
                <w:szCs w:val="26"/>
              </w:rPr>
              <w:t xml:space="preserve">The remaining ten (10) percent of the Contract Price shall be paid to the Contractor within </w:t>
            </w:r>
            <w:r>
              <w:rPr>
                <w:color w:val="auto"/>
                <w:sz w:val="26"/>
                <w:szCs w:val="26"/>
              </w:rPr>
              <w:t xml:space="preserve">fourteen (14) working days upon submission of the original Request for Payment supported by the acceptance certificate issued by the Purchaser and Documents proving that goods are eligible for domestic preference (if any) and </w:t>
            </w:r>
            <w:r>
              <w:rPr>
                <w:rStyle w:val="331"/>
                <w:rFonts w:ascii="Times New Roman" w:hAnsi="Times New Roman"/>
                <w:iCs/>
                <w:color w:val="auto"/>
              </w:rPr>
              <w:t>Table as Form attached in the</w:t>
            </w:r>
            <w:r>
              <w:rPr>
                <w:iCs/>
                <w:color w:val="auto"/>
                <w:sz w:val="26"/>
                <w:szCs w:val="26"/>
              </w:rPr>
              <w:t xml:space="preserve"> </w:t>
            </w:r>
            <w:r>
              <w:rPr>
                <w:rStyle w:val="331"/>
                <w:rFonts w:ascii="Times New Roman" w:hAnsi="Times New Roman"/>
                <w:iCs/>
                <w:color w:val="auto"/>
              </w:rPr>
              <w:t>Contract.</w:t>
            </w:r>
          </w:p>
          <w:p w14:paraId="708C6EB3">
            <w:pPr>
              <w:widowControl w:val="0"/>
              <w:shd w:val="clear" w:color="auto" w:fill="FFFFFF"/>
              <w:tabs>
                <w:tab w:val="left" w:pos="6480"/>
              </w:tabs>
              <w:spacing w:before="40" w:after="40" w:line="240" w:lineRule="auto"/>
              <w:jc w:val="both"/>
              <w:rPr>
                <w:b/>
                <w:i/>
                <w:color w:val="auto"/>
                <w:sz w:val="26"/>
                <w:szCs w:val="26"/>
              </w:rPr>
            </w:pPr>
            <w:r>
              <w:rPr>
                <w:b/>
                <w:i/>
                <w:color w:val="auto"/>
                <w:sz w:val="26"/>
                <w:szCs w:val="26"/>
              </w:rPr>
              <w:t>Notes:</w:t>
            </w:r>
          </w:p>
          <w:p w14:paraId="708C6EB4">
            <w:pPr>
              <w:pStyle w:val="97"/>
              <w:widowControl w:val="0"/>
              <w:numPr>
                <w:ilvl w:val="3"/>
                <w:numId w:val="78"/>
              </w:numPr>
              <w:shd w:val="clear" w:color="auto" w:fill="FFFFFF"/>
              <w:spacing w:before="40" w:after="40"/>
              <w:ind w:left="1030" w:hanging="567"/>
              <w:rPr>
                <w:color w:val="auto"/>
                <w:sz w:val="26"/>
                <w:szCs w:val="26"/>
              </w:rPr>
            </w:pPr>
            <w:r>
              <w:rPr>
                <w:color w:val="auto"/>
                <w:sz w:val="26"/>
                <w:szCs w:val="26"/>
              </w:rPr>
              <w:t xml:space="preserve">The Acceptance Certificate will be issued by the Purchaser within forty five (45) days after completion of the Supplier’s delivery performance and upon submission of the original warranty security of five (05) percent of Contract price. </w:t>
            </w:r>
          </w:p>
          <w:p w14:paraId="708C6EB5">
            <w:pPr>
              <w:widowControl w:val="0"/>
              <w:numPr>
                <w:ilvl w:val="3"/>
                <w:numId w:val="78"/>
              </w:numPr>
              <w:shd w:val="clear" w:color="auto" w:fill="FFFFFF"/>
              <w:spacing w:before="40" w:after="40" w:line="240" w:lineRule="auto"/>
              <w:ind w:left="1036" w:hanging="540"/>
              <w:jc w:val="both"/>
              <w:rPr>
                <w:color w:val="auto"/>
                <w:sz w:val="26"/>
                <w:szCs w:val="26"/>
              </w:rPr>
            </w:pPr>
            <w:r>
              <w:rPr>
                <w:color w:val="auto"/>
                <w:sz w:val="26"/>
                <w:szCs w:val="26"/>
              </w:rPr>
              <w:t>Partial shipment and transshipment are allowed.</w:t>
            </w:r>
          </w:p>
          <w:p w14:paraId="708C6EB6">
            <w:pPr>
              <w:widowControl w:val="0"/>
              <w:numPr>
                <w:ilvl w:val="3"/>
                <w:numId w:val="78"/>
              </w:numPr>
              <w:shd w:val="clear" w:color="auto" w:fill="FFFFFF"/>
              <w:spacing w:before="40" w:after="40" w:line="240" w:lineRule="auto"/>
              <w:ind w:left="1036" w:hanging="540"/>
              <w:jc w:val="both"/>
              <w:rPr>
                <w:color w:val="auto"/>
                <w:sz w:val="26"/>
                <w:szCs w:val="26"/>
              </w:rPr>
            </w:pPr>
            <w:r>
              <w:rPr>
                <w:color w:val="auto"/>
                <w:sz w:val="26"/>
                <w:szCs w:val="26"/>
              </w:rPr>
              <w:t>The banking transfer fee shall be borne by the Supplier for the rate as stipulated in the Banking transfer fee tariff of Purchaser’s Bank</w:t>
            </w:r>
            <w:r>
              <w:rPr>
                <w:strike/>
                <w:color w:val="auto"/>
                <w:sz w:val="26"/>
                <w:szCs w:val="26"/>
              </w:rPr>
              <w:t>.</w:t>
            </w:r>
          </w:p>
          <w:p w14:paraId="708C6EB7">
            <w:pPr>
              <w:widowControl w:val="0"/>
              <w:numPr>
                <w:ilvl w:val="3"/>
                <w:numId w:val="78"/>
              </w:numPr>
              <w:shd w:val="clear" w:color="auto" w:fill="FFFFFF"/>
              <w:spacing w:before="40" w:after="40" w:line="240" w:lineRule="auto"/>
              <w:ind w:left="1036" w:hanging="540"/>
              <w:jc w:val="both"/>
              <w:rPr>
                <w:color w:val="auto"/>
                <w:sz w:val="26"/>
                <w:szCs w:val="26"/>
              </w:rPr>
            </w:pPr>
            <w:r>
              <w:rPr>
                <w:color w:val="auto"/>
                <w:sz w:val="26"/>
                <w:szCs w:val="26"/>
              </w:rPr>
              <w:t>(+/-) difference value due to the exchange rate fluctuation between Advance payment date and MOF invoice issue date shall be reflected in contract payment period.</w:t>
            </w:r>
          </w:p>
          <w:p w14:paraId="708C6EB8">
            <w:pPr>
              <w:widowControl w:val="0"/>
              <w:numPr>
                <w:ilvl w:val="3"/>
                <w:numId w:val="78"/>
              </w:numPr>
              <w:shd w:val="clear" w:color="auto" w:fill="FFFFFF"/>
              <w:spacing w:before="40" w:after="40" w:line="240" w:lineRule="auto"/>
              <w:ind w:left="1036" w:hanging="540"/>
              <w:jc w:val="both"/>
              <w:rPr>
                <w:color w:val="auto"/>
                <w:sz w:val="26"/>
                <w:szCs w:val="26"/>
              </w:rPr>
            </w:pPr>
            <w:r>
              <w:rPr>
                <w:color w:val="auto"/>
                <w:sz w:val="26"/>
                <w:szCs w:val="26"/>
              </w:rPr>
              <w:t>The payment value of 80% of each payment can be adjusted down to cover the value of contractual penalties for delayed delivery.</w:t>
            </w:r>
          </w:p>
          <w:p w14:paraId="708C6EB9">
            <w:pPr>
              <w:pStyle w:val="15"/>
              <w:widowControl w:val="0"/>
              <w:numPr>
                <w:ilvl w:val="3"/>
                <w:numId w:val="71"/>
              </w:numPr>
              <w:shd w:val="clear" w:color="auto" w:fill="FFFFFF"/>
              <w:spacing w:before="40" w:after="40" w:line="240" w:lineRule="auto"/>
              <w:ind w:left="317"/>
              <w:jc w:val="both"/>
              <w:rPr>
                <w:b/>
                <w:color w:val="auto"/>
                <w:sz w:val="26"/>
                <w:szCs w:val="26"/>
                <w:u w:val="single"/>
              </w:rPr>
            </w:pPr>
            <w:r>
              <w:rPr>
                <w:b/>
                <w:color w:val="auto"/>
                <w:sz w:val="26"/>
                <w:szCs w:val="26"/>
                <w:u w:val="single"/>
              </w:rPr>
              <w:t>For services:</w:t>
            </w:r>
          </w:p>
          <w:p w14:paraId="708C6EBA">
            <w:pPr>
              <w:widowControl w:val="0"/>
              <w:shd w:val="clear" w:color="auto" w:fill="FFFFFF"/>
              <w:spacing w:before="40" w:after="40" w:line="240" w:lineRule="auto"/>
              <w:jc w:val="both"/>
              <w:rPr>
                <w:rStyle w:val="331"/>
                <w:rFonts w:ascii="Times New Roman" w:hAnsi="Times New Roman"/>
                <w:iCs/>
                <w:color w:val="auto"/>
              </w:rPr>
            </w:pPr>
            <w:r>
              <w:rPr>
                <w:rStyle w:val="331"/>
                <w:rFonts w:ascii="Times New Roman" w:hAnsi="Times New Roman"/>
                <w:iCs/>
                <w:color w:val="auto"/>
              </w:rPr>
              <w:t>100% performed services cost (including VAT (if</w:t>
            </w:r>
            <w:r>
              <w:rPr>
                <w:iCs/>
                <w:color w:val="auto"/>
                <w:sz w:val="26"/>
                <w:szCs w:val="26"/>
              </w:rPr>
              <w:t xml:space="preserve"> </w:t>
            </w:r>
            <w:r>
              <w:rPr>
                <w:rStyle w:val="331"/>
                <w:rFonts w:ascii="Times New Roman" w:hAnsi="Times New Roman"/>
                <w:iCs/>
                <w:color w:val="auto"/>
              </w:rPr>
              <w:t xml:space="preserve">any)) shall be made by </w:t>
            </w:r>
            <w:r>
              <w:rPr>
                <w:iCs/>
                <w:color w:val="auto"/>
                <w:sz w:val="26"/>
                <w:szCs w:val="26"/>
              </w:rPr>
              <w:t>TTr</w:t>
            </w:r>
            <w:r>
              <w:rPr>
                <w:rStyle w:val="331"/>
                <w:rFonts w:ascii="Times New Roman" w:hAnsi="Times New Roman"/>
                <w:iCs/>
                <w:color w:val="auto"/>
              </w:rPr>
              <w:t xml:space="preserve"> for within 14 working</w:t>
            </w:r>
            <w:r>
              <w:rPr>
                <w:iCs/>
                <w:color w:val="auto"/>
                <w:sz w:val="26"/>
                <w:szCs w:val="26"/>
              </w:rPr>
              <w:t xml:space="preserve"> </w:t>
            </w:r>
            <w:r>
              <w:rPr>
                <w:rStyle w:val="331"/>
                <w:rFonts w:ascii="Times New Roman" w:hAnsi="Times New Roman"/>
                <w:iCs/>
                <w:color w:val="auto"/>
              </w:rPr>
              <w:t>days upon submission of the following documents:</w:t>
            </w:r>
          </w:p>
          <w:p w14:paraId="708C6EBB">
            <w:pPr>
              <w:pStyle w:val="97"/>
              <w:widowControl w:val="0"/>
              <w:numPr>
                <w:ilvl w:val="0"/>
                <w:numId w:val="79"/>
              </w:numPr>
              <w:shd w:val="clear" w:color="auto" w:fill="FFFFFF"/>
              <w:spacing w:before="40" w:after="40"/>
              <w:rPr>
                <w:iCs/>
                <w:color w:val="auto"/>
                <w:sz w:val="26"/>
                <w:szCs w:val="26"/>
              </w:rPr>
            </w:pPr>
            <w:r>
              <w:rPr>
                <w:rStyle w:val="331"/>
                <w:rFonts w:ascii="Times New Roman" w:hAnsi="Times New Roman"/>
                <w:iCs/>
                <w:color w:val="auto"/>
              </w:rPr>
              <w:t>Request for payment of services</w:t>
            </w:r>
          </w:p>
          <w:p w14:paraId="708C6EBC">
            <w:pPr>
              <w:pStyle w:val="97"/>
              <w:widowControl w:val="0"/>
              <w:numPr>
                <w:ilvl w:val="0"/>
                <w:numId w:val="80"/>
              </w:numPr>
              <w:shd w:val="clear" w:color="auto" w:fill="FFFFFF"/>
              <w:spacing w:before="40" w:after="40"/>
              <w:rPr>
                <w:rStyle w:val="331"/>
                <w:rFonts w:ascii="Times New Roman" w:hAnsi="Times New Roman"/>
                <w:iCs/>
                <w:color w:val="auto"/>
              </w:rPr>
            </w:pPr>
            <w:r>
              <w:rPr>
                <w:rStyle w:val="331"/>
                <w:rFonts w:ascii="Times New Roman" w:hAnsi="Times New Roman"/>
                <w:iCs/>
                <w:color w:val="auto"/>
              </w:rPr>
              <w:t>1 original and five (05) copies of the Supplier’s invoice</w:t>
            </w:r>
          </w:p>
          <w:p w14:paraId="708C6EBD">
            <w:pPr>
              <w:pStyle w:val="97"/>
              <w:widowControl w:val="0"/>
              <w:numPr>
                <w:ilvl w:val="0"/>
                <w:numId w:val="80"/>
              </w:numPr>
              <w:shd w:val="clear" w:color="auto" w:fill="FFFFFF"/>
              <w:spacing w:before="40" w:after="40"/>
              <w:rPr>
                <w:rStyle w:val="331"/>
                <w:rFonts w:ascii="Times New Roman" w:hAnsi="Times New Roman"/>
                <w:iCs/>
                <w:color w:val="auto"/>
              </w:rPr>
            </w:pPr>
            <w:r>
              <w:rPr>
                <w:rStyle w:val="331"/>
                <w:rFonts w:ascii="Times New Roman" w:hAnsi="Times New Roman"/>
                <w:iCs/>
                <w:color w:val="auto"/>
              </w:rPr>
              <w:t>Daily Time sheets signed by both parties for Supervision services only.</w:t>
            </w:r>
          </w:p>
          <w:p w14:paraId="708C6EBE">
            <w:pPr>
              <w:pStyle w:val="97"/>
              <w:widowControl w:val="0"/>
              <w:numPr>
                <w:ilvl w:val="0"/>
                <w:numId w:val="80"/>
              </w:numPr>
              <w:shd w:val="clear" w:color="auto" w:fill="FFFFFF"/>
              <w:tabs>
                <w:tab w:val="left" w:pos="1451"/>
              </w:tabs>
              <w:spacing w:before="40" w:after="40"/>
              <w:rPr>
                <w:rStyle w:val="331"/>
                <w:rFonts w:ascii="Times New Roman" w:hAnsi="Times New Roman"/>
                <w:iCs/>
                <w:color w:val="auto"/>
              </w:rPr>
            </w:pPr>
            <w:r>
              <w:rPr>
                <w:rStyle w:val="331"/>
                <w:rFonts w:ascii="Times New Roman" w:hAnsi="Times New Roman"/>
                <w:iCs/>
                <w:color w:val="auto"/>
              </w:rPr>
              <w:t>Service completion certificate issued by the Purchaser.</w:t>
            </w:r>
          </w:p>
          <w:p w14:paraId="708C6EBF">
            <w:pPr>
              <w:pStyle w:val="97"/>
              <w:widowControl w:val="0"/>
              <w:numPr>
                <w:ilvl w:val="0"/>
                <w:numId w:val="80"/>
              </w:numPr>
              <w:shd w:val="clear" w:color="auto" w:fill="FFFFFF"/>
              <w:tabs>
                <w:tab w:val="left" w:pos="1451"/>
              </w:tabs>
              <w:spacing w:before="40" w:after="40"/>
              <w:rPr>
                <w:rStyle w:val="331"/>
                <w:rFonts w:ascii="Times New Roman" w:hAnsi="Times New Roman"/>
                <w:iCs/>
                <w:color w:val="auto"/>
              </w:rPr>
            </w:pPr>
            <w:r>
              <w:rPr>
                <w:rStyle w:val="331"/>
                <w:rFonts w:ascii="Times New Roman" w:hAnsi="Times New Roman"/>
                <w:iCs/>
                <w:color w:val="auto"/>
              </w:rPr>
              <w:t>05 originals of Table as Form attached in the Contract</w:t>
            </w:r>
          </w:p>
          <w:p w14:paraId="708C6EC0">
            <w:pPr>
              <w:widowControl w:val="0"/>
              <w:numPr>
                <w:ilvl w:val="0"/>
                <w:numId w:val="81"/>
              </w:numPr>
              <w:shd w:val="clear" w:color="auto" w:fill="FFFFFF"/>
              <w:spacing w:before="40" w:after="40" w:line="240" w:lineRule="auto"/>
              <w:jc w:val="both"/>
              <w:rPr>
                <w:rStyle w:val="331"/>
                <w:rFonts w:ascii="Times New Roman" w:hAnsi="Times New Roman"/>
                <w:iCs/>
                <w:color w:val="auto"/>
              </w:rPr>
            </w:pPr>
            <w:r>
              <w:rPr>
                <w:rStyle w:val="341"/>
                <w:color w:val="auto"/>
                <w:sz w:val="26"/>
                <w:szCs w:val="26"/>
                <w:lang w:val="en"/>
              </w:rPr>
              <w:t xml:space="preserve">Payments are recovered through payments for completed volume of the contract with the advance payment rate on the principle that the </w:t>
            </w:r>
            <w:r>
              <w:rPr>
                <w:rStyle w:val="341"/>
                <w:color w:val="auto"/>
                <w:sz w:val="26"/>
                <w:szCs w:val="26"/>
              </w:rPr>
              <w:t>Purchaser</w:t>
            </w:r>
            <w:r>
              <w:rPr>
                <w:rStyle w:val="341"/>
                <w:color w:val="auto"/>
                <w:sz w:val="26"/>
                <w:szCs w:val="26"/>
                <w:lang w:val="en"/>
              </w:rPr>
              <w:t xml:space="preserve"> starts to recover the first payment and recovers all when the value of completed volume payments reaches 80% of the contract value.</w:t>
            </w:r>
          </w:p>
          <w:p w14:paraId="708C6EC1">
            <w:pPr>
              <w:widowControl w:val="0"/>
              <w:numPr>
                <w:ilvl w:val="0"/>
                <w:numId w:val="81"/>
              </w:numPr>
              <w:shd w:val="clear" w:color="auto" w:fill="FFFFFF"/>
              <w:spacing w:before="40" w:after="40" w:line="240" w:lineRule="auto"/>
              <w:jc w:val="both"/>
              <w:rPr>
                <w:rStyle w:val="341"/>
                <w:color w:val="auto"/>
                <w:sz w:val="26"/>
                <w:szCs w:val="26"/>
                <w:lang w:val="en"/>
              </w:rPr>
            </w:pPr>
            <w:r>
              <w:rPr>
                <w:rStyle w:val="341"/>
                <w:iCs/>
                <w:color w:val="auto"/>
                <w:sz w:val="26"/>
                <w:szCs w:val="26"/>
                <w:lang w:val="en"/>
              </w:rPr>
              <w:t>Payment must comply with EVNNPT's regulations in Decision No</w:t>
            </w:r>
            <w:r>
              <w:rPr>
                <w:rStyle w:val="341"/>
                <w:color w:val="auto"/>
                <w:sz w:val="26"/>
                <w:szCs w:val="26"/>
                <w:lang w:val="en"/>
              </w:rPr>
              <w:t>.16/QD-HDTV dated 13/01/2025 on promulgating regulations on management and payment of investment capital in EVNNPT.</w:t>
            </w:r>
          </w:p>
          <w:p w14:paraId="708C6EC2">
            <w:pPr>
              <w:widowControl w:val="0"/>
              <w:numPr>
                <w:ilvl w:val="0"/>
                <w:numId w:val="81"/>
              </w:numPr>
              <w:shd w:val="clear" w:color="auto" w:fill="FFFFFF"/>
              <w:spacing w:before="40" w:after="40" w:line="240" w:lineRule="auto"/>
              <w:jc w:val="both"/>
              <w:rPr>
                <w:rStyle w:val="341"/>
                <w:b/>
                <w:bCs/>
                <w:color w:val="auto"/>
                <w:sz w:val="26"/>
                <w:szCs w:val="26"/>
              </w:rPr>
            </w:pPr>
            <w:r>
              <w:rPr>
                <w:rStyle w:val="341"/>
                <w:b/>
                <w:bCs/>
                <w:color w:val="auto"/>
                <w:sz w:val="26"/>
                <w:szCs w:val="26"/>
              </w:rPr>
              <w:t>Foreign expense payment to local Bidder is according to the Official letter ref 3193/EVNNPT-TCKT dated on 20</w:t>
            </w:r>
            <w:r>
              <w:rPr>
                <w:rStyle w:val="341"/>
                <w:b/>
                <w:bCs/>
                <w:color w:val="auto"/>
                <w:sz w:val="26"/>
                <w:szCs w:val="26"/>
                <w:vertAlign w:val="superscript"/>
              </w:rPr>
              <w:t>th</w:t>
            </w:r>
            <w:r>
              <w:rPr>
                <w:rStyle w:val="341"/>
                <w:b/>
                <w:bCs/>
                <w:color w:val="auto"/>
                <w:sz w:val="26"/>
                <w:szCs w:val="26"/>
              </w:rPr>
              <w:t xml:space="preserve"> of June 2025.</w:t>
            </w:r>
          </w:p>
          <w:p w14:paraId="708C6EC3">
            <w:pPr>
              <w:widowControl w:val="0"/>
              <w:numPr>
                <w:ilvl w:val="0"/>
                <w:numId w:val="82"/>
              </w:numPr>
              <w:shd w:val="clear" w:color="auto" w:fill="FFFFFF"/>
              <w:spacing w:before="40" w:after="40" w:line="240" w:lineRule="auto"/>
              <w:jc w:val="both"/>
              <w:rPr>
                <w:rStyle w:val="341"/>
                <w:color w:val="auto"/>
                <w:sz w:val="26"/>
                <w:szCs w:val="26"/>
              </w:rPr>
            </w:pPr>
            <w:r>
              <w:rPr>
                <w:rStyle w:val="341"/>
                <w:color w:val="auto"/>
                <w:sz w:val="26"/>
                <w:szCs w:val="26"/>
              </w:rPr>
              <w:t>Overseas costs related to the package implementation are quoted  in foreign currency can be converted into VND to sign the contract; according to the exchange rate when evaluating the bid that is specified in the bidding documents. In this case, the Purchaser  and the Bidder jointly accept the risk of foreign exchange rate fluctuations during the contract implementation process. The foreign exchange rate fluctuation factor is not considered in making payment.</w:t>
            </w:r>
          </w:p>
          <w:p w14:paraId="708C6EC4">
            <w:pPr>
              <w:widowControl w:val="0"/>
              <w:numPr>
                <w:ilvl w:val="0"/>
                <w:numId w:val="82"/>
              </w:numPr>
              <w:shd w:val="clear" w:color="auto" w:fill="FFFFFF"/>
              <w:spacing w:before="40" w:after="40" w:line="240" w:lineRule="auto"/>
              <w:jc w:val="both"/>
              <w:rPr>
                <w:rStyle w:val="341"/>
                <w:color w:val="auto"/>
                <w:sz w:val="26"/>
                <w:szCs w:val="26"/>
              </w:rPr>
            </w:pPr>
            <w:r>
              <w:rPr>
                <w:rStyle w:val="341"/>
                <w:color w:val="auto"/>
                <w:sz w:val="26"/>
                <w:szCs w:val="26"/>
              </w:rPr>
              <w:t xml:space="preserve">In case overseas costs related to the package implementation are quoted in foreign currency, local bidders request payment in VND but the source of exchange rate to the converted foreign currency is </w:t>
            </w:r>
            <w:r>
              <w:rPr>
                <w:color w:val="auto"/>
                <w:sz w:val="26"/>
                <w:szCs w:val="26"/>
                <w:shd w:val="clear" w:color="auto" w:fill="FFFFFF"/>
              </w:rPr>
              <w:t xml:space="preserve">on the date of payment </w:t>
            </w:r>
            <w:r>
              <w:rPr>
                <w:rStyle w:val="341"/>
                <w:color w:val="auto"/>
                <w:sz w:val="26"/>
                <w:szCs w:val="26"/>
              </w:rPr>
              <w:t>to limit the risk of foreign exchange rate fluctuations for both the Purchaser and the Supplier and ensure fairness with foreign bidders when participating in bidding and shall be handled as following:</w:t>
            </w:r>
          </w:p>
          <w:p w14:paraId="708C6EC5">
            <w:pPr>
              <w:widowControl w:val="0"/>
              <w:numPr>
                <w:ilvl w:val="0"/>
                <w:numId w:val="83"/>
              </w:numPr>
              <w:shd w:val="clear" w:color="auto" w:fill="FFFFFF"/>
              <w:spacing w:before="40" w:after="40" w:line="240" w:lineRule="auto"/>
              <w:jc w:val="both"/>
              <w:rPr>
                <w:rStyle w:val="341"/>
                <w:color w:val="auto"/>
                <w:sz w:val="26"/>
                <w:szCs w:val="26"/>
              </w:rPr>
            </w:pPr>
            <w:r>
              <w:rPr>
                <w:rStyle w:val="341"/>
                <w:color w:val="auto"/>
                <w:sz w:val="26"/>
                <w:szCs w:val="26"/>
              </w:rPr>
              <w:t>The contract clearly states the value of overseas costs related to package implementation in VND, which is provisionally determined based on the awarded price in foreign currency when evaluating the bid and the converted foreign currency exchange rate when evaluating the bid. The real value is determined based on the actual foreign currency exchange rate when paying and settling the contract;</w:t>
            </w:r>
          </w:p>
          <w:p w14:paraId="708C6EC6">
            <w:pPr>
              <w:widowControl w:val="0"/>
              <w:numPr>
                <w:ilvl w:val="0"/>
                <w:numId w:val="83"/>
              </w:numPr>
              <w:shd w:val="clear" w:color="auto" w:fill="FFFFFF"/>
              <w:spacing w:before="40" w:after="40" w:line="240" w:lineRule="auto"/>
              <w:jc w:val="both"/>
              <w:rPr>
                <w:rStyle w:val="341"/>
                <w:color w:val="auto"/>
                <w:sz w:val="26"/>
                <w:szCs w:val="26"/>
              </w:rPr>
            </w:pPr>
            <w:r>
              <w:rPr>
                <w:rStyle w:val="341"/>
                <w:color w:val="auto"/>
                <w:sz w:val="26"/>
                <w:szCs w:val="26"/>
              </w:rPr>
              <w:t>The actual foreign exchange rate to determine the value of payment and settlement of the contract in VND is the exchange rate at which the Supplier actually purchases from commercial banks legally operating in Vietnam, but not higher than the selling rate announced by Vietcombank on the date of  purchasing foreign currency by the Supplier.</w:t>
            </w:r>
          </w:p>
          <w:p w14:paraId="708C6EC7">
            <w:pPr>
              <w:widowControl w:val="0"/>
              <w:numPr>
                <w:ilvl w:val="0"/>
                <w:numId w:val="83"/>
              </w:numPr>
              <w:shd w:val="clear" w:color="auto" w:fill="FFFFFF"/>
              <w:spacing w:before="40" w:after="40" w:line="240" w:lineRule="auto"/>
              <w:jc w:val="both"/>
              <w:rPr>
                <w:rStyle w:val="341"/>
                <w:color w:val="auto"/>
                <w:sz w:val="26"/>
                <w:szCs w:val="26"/>
              </w:rPr>
            </w:pPr>
            <w:r>
              <w:rPr>
                <w:rStyle w:val="341"/>
                <w:color w:val="auto"/>
                <w:sz w:val="26"/>
                <w:szCs w:val="26"/>
              </w:rPr>
              <w:t>Documents used as the basis for determining the real value of payment and contract in VND. Based on the presented documents, including:</w:t>
            </w:r>
          </w:p>
          <w:p w14:paraId="708C6EC8">
            <w:pPr>
              <w:widowControl w:val="0"/>
              <w:shd w:val="clear" w:color="auto" w:fill="FFFFFF"/>
              <w:spacing w:before="40" w:after="40" w:line="240" w:lineRule="auto"/>
              <w:ind w:left="360" w:firstLine="390" w:firstLineChars="150"/>
              <w:jc w:val="both"/>
              <w:rPr>
                <w:rStyle w:val="341"/>
                <w:color w:val="auto"/>
                <w:sz w:val="26"/>
                <w:szCs w:val="26"/>
              </w:rPr>
            </w:pPr>
            <w:r>
              <w:rPr>
                <w:rStyle w:val="341"/>
                <w:color w:val="auto"/>
                <w:sz w:val="26"/>
                <w:szCs w:val="26"/>
              </w:rPr>
              <w:t xml:space="preserve">+ Commercial contract signed with foreign parties to provide goods and services </w:t>
            </w:r>
            <w:r>
              <w:rPr>
                <w:bCs/>
                <w:color w:val="auto"/>
                <w:sz w:val="26"/>
                <w:szCs w:val="26"/>
              </w:rPr>
              <w:t>manufactured or processed from abroad;</w:t>
            </w:r>
            <w:r>
              <w:rPr>
                <w:rStyle w:val="341"/>
                <w:color w:val="auto"/>
                <w:sz w:val="26"/>
                <w:szCs w:val="26"/>
              </w:rPr>
              <w:t xml:space="preserve"> Import documents shall be certified by Customs for imported goods;</w:t>
            </w:r>
          </w:p>
          <w:p w14:paraId="708C6EC9">
            <w:pPr>
              <w:widowControl w:val="0"/>
              <w:shd w:val="clear" w:color="auto" w:fill="FFFFFF"/>
              <w:spacing w:before="40" w:after="40" w:line="240" w:lineRule="auto"/>
              <w:ind w:left="360" w:firstLine="390" w:firstLineChars="150"/>
              <w:jc w:val="both"/>
              <w:rPr>
                <w:rStyle w:val="341"/>
                <w:color w:val="auto"/>
                <w:sz w:val="26"/>
                <w:szCs w:val="26"/>
              </w:rPr>
            </w:pPr>
            <w:r>
              <w:rPr>
                <w:rStyle w:val="341"/>
                <w:color w:val="auto"/>
                <w:sz w:val="26"/>
                <w:szCs w:val="26"/>
              </w:rPr>
              <w:t>+ Foreign currency purchasing contract signed between the Supplier and a Commercial bank legally operating in Vietnam;</w:t>
            </w:r>
          </w:p>
          <w:p w14:paraId="708C6ECA">
            <w:pPr>
              <w:widowControl w:val="0"/>
              <w:shd w:val="clear" w:color="auto" w:fill="FFFFFF"/>
              <w:spacing w:before="40" w:after="40" w:line="240" w:lineRule="auto"/>
              <w:ind w:left="360" w:firstLine="390" w:firstLineChars="150"/>
              <w:jc w:val="both"/>
              <w:rPr>
                <w:rStyle w:val="341"/>
                <w:color w:val="auto"/>
                <w:sz w:val="26"/>
                <w:szCs w:val="26"/>
              </w:rPr>
            </w:pPr>
            <w:r>
              <w:rPr>
                <w:rStyle w:val="341"/>
                <w:color w:val="auto"/>
                <w:sz w:val="26"/>
                <w:szCs w:val="26"/>
              </w:rPr>
              <w:t>+ Bank’s document proving that the Supplier has transferred the purchased foreign currency (</w:t>
            </w:r>
            <w:r>
              <w:rPr>
                <w:rStyle w:val="341"/>
                <w:i/>
                <w:iCs/>
                <w:color w:val="auto"/>
                <w:sz w:val="26"/>
                <w:szCs w:val="26"/>
              </w:rPr>
              <w:t>according to the contract signed between the Supplier and the commercial Bank</w:t>
            </w:r>
            <w:r>
              <w:rPr>
                <w:rStyle w:val="341"/>
                <w:color w:val="auto"/>
                <w:sz w:val="26"/>
                <w:szCs w:val="26"/>
              </w:rPr>
              <w:t>) to the foreign partner to pay for expenses abroad.</w:t>
            </w:r>
          </w:p>
          <w:p w14:paraId="708C6ECB">
            <w:pPr>
              <w:widowControl w:val="0"/>
              <w:spacing w:before="60" w:after="60"/>
              <w:jc w:val="both"/>
              <w:rPr>
                <w:rStyle w:val="341"/>
                <w:color w:val="auto"/>
                <w:sz w:val="26"/>
                <w:szCs w:val="26"/>
                <w:lang w:val="en"/>
              </w:rPr>
            </w:pPr>
            <w:r>
              <w:rPr>
                <w:rStyle w:val="341"/>
                <w:color w:val="auto"/>
                <w:sz w:val="26"/>
                <w:szCs w:val="26"/>
                <w:lang w:val="en"/>
              </w:rPr>
              <w:t>- Encourage Su</w:t>
            </w:r>
            <w:r>
              <w:rPr>
                <w:rStyle w:val="341"/>
                <w:color w:val="auto"/>
                <w:sz w:val="26"/>
                <w:szCs w:val="26"/>
                <w:highlight w:val="none"/>
                <w:lang w:val="en"/>
              </w:rPr>
              <w:t xml:space="preserve">ppliers to open payment accounts and various types of Guarantees at </w:t>
            </w:r>
            <w:r>
              <w:rPr>
                <w:color w:val="auto"/>
                <w:spacing w:val="-2"/>
                <w:sz w:val="26"/>
                <w:szCs w:val="26"/>
                <w:highlight w:val="none"/>
                <w:bdr w:val="single" w:color="E2E8F0" w:sz="2" w:space="0"/>
                <w:shd w:val="clear" w:color="auto" w:fill="FFFFFF"/>
              </w:rPr>
              <w:t>SeaBank –</w:t>
            </w:r>
            <w:r>
              <w:rPr>
                <w:color w:val="auto"/>
                <w:sz w:val="26"/>
                <w:szCs w:val="26"/>
                <w:highlight w:val="none"/>
              </w:rPr>
              <w:t xml:space="preserve"> </w:t>
            </w:r>
            <w:r>
              <w:rPr>
                <w:color w:val="auto"/>
                <w:spacing w:val="-2"/>
                <w:sz w:val="26"/>
                <w:szCs w:val="26"/>
                <w:highlight w:val="none"/>
                <w:bdr w:val="single" w:color="E2E8F0" w:sz="2" w:space="0"/>
                <w:shd w:val="clear" w:color="auto" w:fill="FFFFFF"/>
              </w:rPr>
              <w:t>Northern large enterprise customer center</w:t>
            </w:r>
            <w:r>
              <w:rPr>
                <w:rStyle w:val="341"/>
                <w:color w:val="auto"/>
                <w:sz w:val="26"/>
                <w:szCs w:val="26"/>
                <w:highlight w:val="none"/>
                <w:lang w:val="en"/>
              </w:rPr>
              <w:t xml:space="preserve"> for Purchaser to borrow Commercial Credit to receive payment according to the signed contract to invest in the constructi</w:t>
            </w:r>
            <w:r>
              <w:rPr>
                <w:rStyle w:val="341"/>
                <w:color w:val="auto"/>
                <w:sz w:val="26"/>
                <w:szCs w:val="26"/>
                <w:lang w:val="en"/>
              </w:rPr>
              <w:t>on of the Project.</w:t>
            </w:r>
          </w:p>
          <w:p w14:paraId="708C6ECC">
            <w:pPr>
              <w:widowControl w:val="0"/>
              <w:spacing w:before="60" w:after="60"/>
              <w:jc w:val="both"/>
              <w:rPr>
                <w:rStyle w:val="341"/>
                <w:color w:val="auto"/>
                <w:sz w:val="26"/>
                <w:szCs w:val="26"/>
                <w:lang w:val="en"/>
              </w:rPr>
            </w:pPr>
            <w:r>
              <w:rPr>
                <w:rStyle w:val="341"/>
                <w:color w:val="auto"/>
                <w:sz w:val="26"/>
                <w:szCs w:val="26"/>
                <w:lang w:val="en"/>
              </w:rPr>
              <w:t>- In case the Supplier has a credit relationship at a bank with an account to receive project payments from the Purchaser, the parties including the Contractor (subcontractor if any), the Bank receiving the payment and the Purchaser will sign a commitment agreement to jointly comply with the use of money for the right purpose to serve the project investment. The commitment will stipulate:</w:t>
            </w:r>
          </w:p>
          <w:p w14:paraId="708C6ECD">
            <w:pPr>
              <w:widowControl w:val="0"/>
              <w:spacing w:before="60" w:after="60"/>
              <w:jc w:val="both"/>
              <w:rPr>
                <w:rStyle w:val="341"/>
                <w:color w:val="auto"/>
                <w:sz w:val="26"/>
                <w:szCs w:val="26"/>
                <w:lang w:val="en"/>
              </w:rPr>
            </w:pPr>
            <w:r>
              <w:rPr>
                <w:rStyle w:val="341"/>
                <w:color w:val="auto"/>
                <w:sz w:val="26"/>
                <w:szCs w:val="26"/>
                <w:lang w:val="en"/>
              </w:rPr>
              <w:t xml:space="preserve">+ The entire amount paid by the Purchaser to the Supplier will be controlled and managed by the bank. This amount is only allowed to be transferred to a third party for the purpose of paying reasonable and legal expenses for the implementation of the Project according to the contract signed between the Supplier and the Purchaser OR </w:t>
            </w:r>
          </w:p>
          <w:p w14:paraId="708C6ECE">
            <w:pPr>
              <w:widowControl w:val="0"/>
              <w:shd w:val="clear" w:color="auto" w:fill="FFFFFF"/>
              <w:spacing w:before="40" w:after="40" w:line="240" w:lineRule="auto"/>
              <w:jc w:val="both"/>
              <w:rPr>
                <w:rStyle w:val="341"/>
                <w:color w:val="auto"/>
                <w:sz w:val="26"/>
                <w:szCs w:val="26"/>
              </w:rPr>
            </w:pPr>
            <w:r>
              <w:rPr>
                <w:rStyle w:val="341"/>
                <w:color w:val="auto"/>
                <w:sz w:val="26"/>
                <w:szCs w:val="26"/>
                <w:lang w:val="en"/>
              </w:rPr>
              <w:t>+ to refund to the Supplier to compensate for the amount of money the Supplier has advanced to pay for the purchase of goods, materials, labor, services, etc. for the implementation of the contract signed between the Supplier and the Purchaser. In case the main contractor is slow to implement the project, slow to transfer money to the subcontractor or has problems with cash flow, legal issues, etc., the Purchaser can transfer money directly to the subcontractor to perform the contract/project. After the project is completed, the Contractor has signed a contract liquidation with the Purchaser.</w:t>
            </w:r>
          </w:p>
        </w:tc>
      </w:tr>
      <w:tr w14:paraId="708C6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4" w:hRule="atLeast"/>
        </w:trPr>
        <w:tc>
          <w:tcPr>
            <w:tcW w:w="1271" w:type="dxa"/>
          </w:tcPr>
          <w:p w14:paraId="708C6ED0">
            <w:pPr>
              <w:widowControl w:val="0"/>
              <w:spacing w:before="60" w:after="60"/>
              <w:ind w:left="34" w:right="34"/>
              <w:jc w:val="both"/>
              <w:rPr>
                <w:b/>
                <w:color w:val="auto"/>
                <w:sz w:val="26"/>
                <w:szCs w:val="26"/>
              </w:rPr>
            </w:pPr>
            <w:r>
              <w:rPr>
                <w:b/>
                <w:color w:val="auto"/>
                <w:sz w:val="26"/>
                <w:szCs w:val="26"/>
              </w:rPr>
              <w:t>GCC 18.2</w:t>
            </w:r>
          </w:p>
        </w:tc>
        <w:tc>
          <w:tcPr>
            <w:tcW w:w="7867" w:type="dxa"/>
          </w:tcPr>
          <w:p w14:paraId="708C6ED1">
            <w:pPr>
              <w:pStyle w:val="97"/>
              <w:widowControl w:val="0"/>
              <w:shd w:val="clear" w:color="auto" w:fill="FFFFFF"/>
              <w:spacing w:before="40" w:after="40"/>
              <w:ind w:left="34"/>
              <w:rPr>
                <w:b/>
                <w:bCs/>
                <w:color w:val="auto"/>
                <w:sz w:val="26"/>
                <w:szCs w:val="26"/>
              </w:rPr>
            </w:pPr>
            <w:r>
              <w:rPr>
                <w:b/>
                <w:bCs/>
                <w:color w:val="auto"/>
                <w:sz w:val="26"/>
                <w:szCs w:val="26"/>
              </w:rPr>
              <w:t>Requirements of packing:</w:t>
            </w:r>
          </w:p>
          <w:p w14:paraId="708C6ED2">
            <w:pPr>
              <w:pStyle w:val="97"/>
              <w:widowControl w:val="0"/>
              <w:numPr>
                <w:ilvl w:val="0"/>
                <w:numId w:val="84"/>
              </w:numPr>
              <w:shd w:val="clear" w:color="auto" w:fill="FFFFFF"/>
              <w:spacing w:before="40" w:after="40"/>
              <w:ind w:left="463" w:hanging="425"/>
              <w:rPr>
                <w:color w:val="auto"/>
                <w:sz w:val="26"/>
                <w:szCs w:val="26"/>
              </w:rPr>
            </w:pPr>
            <w:r>
              <w:rPr>
                <w:color w:val="auto"/>
                <w:sz w:val="26"/>
                <w:szCs w:val="26"/>
              </w:rPr>
              <w:t>All the packages shall be made in new, strong, wooden cases/drum/reel for long - distance ocean transport and/or container. The supplied cable must be packed either in individual drums or in reels in such manner whereby it is convenient and easy for identification during checking by the Authorities and easy assembly during installation.</w:t>
            </w:r>
          </w:p>
          <w:p w14:paraId="708C6ED3">
            <w:pPr>
              <w:pStyle w:val="97"/>
              <w:widowControl w:val="0"/>
              <w:numPr>
                <w:ilvl w:val="0"/>
                <w:numId w:val="84"/>
              </w:numPr>
              <w:shd w:val="clear" w:color="auto" w:fill="FFFFFF"/>
              <w:spacing w:before="40" w:after="40"/>
              <w:ind w:left="463" w:hanging="425"/>
              <w:rPr>
                <w:color w:val="auto"/>
                <w:sz w:val="26"/>
                <w:szCs w:val="26"/>
              </w:rPr>
            </w:pPr>
            <w:r>
              <w:rPr>
                <w:color w:val="auto"/>
                <w:sz w:val="26"/>
                <w:szCs w:val="26"/>
              </w:rPr>
              <w:t>The Supplier shall give particular attention to the protection of goods for transportation by sea and handing on land under tropical climatic conditions.</w:t>
            </w:r>
          </w:p>
          <w:p w14:paraId="708C6ED4">
            <w:pPr>
              <w:pStyle w:val="97"/>
              <w:widowControl w:val="0"/>
              <w:numPr>
                <w:ilvl w:val="0"/>
                <w:numId w:val="84"/>
              </w:numPr>
              <w:shd w:val="clear" w:color="auto" w:fill="FFFFFF"/>
              <w:spacing w:before="40" w:after="40"/>
              <w:ind w:left="463" w:hanging="425"/>
              <w:rPr>
                <w:color w:val="auto"/>
                <w:sz w:val="26"/>
                <w:szCs w:val="26"/>
              </w:rPr>
            </w:pPr>
            <w:r>
              <w:rPr>
                <w:color w:val="auto"/>
                <w:sz w:val="26"/>
                <w:szCs w:val="26"/>
              </w:rPr>
              <w:t>Before packing the appropriate anti-rust and protective measures for the goods, such as grease, coating, oil, oil paper wrapping or polyethylene film wrapping, are to be taken in order to protect them from damages or corrosion during long transportation and storage at site or in any warehouse (06) months under tropical climatic conditions, accordingly to the Supplier's storage instructions.</w:t>
            </w:r>
          </w:p>
          <w:p w14:paraId="708C6ED5">
            <w:pPr>
              <w:pStyle w:val="97"/>
              <w:widowControl w:val="0"/>
              <w:numPr>
                <w:ilvl w:val="0"/>
                <w:numId w:val="84"/>
              </w:numPr>
              <w:shd w:val="clear" w:color="auto" w:fill="FFFFFF"/>
              <w:spacing w:before="40" w:after="40"/>
              <w:ind w:left="463" w:hanging="425"/>
              <w:rPr>
                <w:color w:val="auto"/>
                <w:sz w:val="26"/>
                <w:szCs w:val="26"/>
              </w:rPr>
            </w:pPr>
            <w:r>
              <w:rPr>
                <w:color w:val="auto"/>
                <w:sz w:val="26"/>
                <w:szCs w:val="26"/>
              </w:rPr>
              <w:t>Goods to be supplied by the Supplier shall be securely fastened and packed to ensure safe arrival at destination against dampness, shock, rust or rough handling, against possible corrosion by exposure to salty seawater spray, moisture, rain, rust or other corrosive natural effects and to avoid damage during transportation.</w:t>
            </w:r>
          </w:p>
          <w:p w14:paraId="708C6ED6">
            <w:pPr>
              <w:pStyle w:val="97"/>
              <w:widowControl w:val="0"/>
              <w:numPr>
                <w:ilvl w:val="0"/>
                <w:numId w:val="84"/>
              </w:numPr>
              <w:shd w:val="clear" w:color="auto" w:fill="FFFFFF"/>
              <w:spacing w:before="40" w:after="40"/>
              <w:ind w:left="463" w:hanging="425"/>
              <w:rPr>
                <w:color w:val="auto"/>
                <w:sz w:val="26"/>
                <w:szCs w:val="26"/>
              </w:rPr>
            </w:pPr>
            <w:r>
              <w:rPr>
                <w:color w:val="auto"/>
                <w:sz w:val="26"/>
                <w:szCs w:val="26"/>
              </w:rPr>
              <w:t>The Supplier shall bear all charges and costs for packing of overseas shipment (including but not limited to charges and costs for marking, lighterage, quay portage, port and dock dues and duties on the cargo, carriage, stevedoring, attendance to customs formalities) to ensure the safety for goods when loading into hold of the vessel at the Port of Shipment, unloading of goods from vessel to quay or barges at final destination and inland transportation (if any).</w:t>
            </w:r>
          </w:p>
          <w:p w14:paraId="708C6ED7">
            <w:pPr>
              <w:pStyle w:val="97"/>
              <w:widowControl w:val="0"/>
              <w:numPr>
                <w:ilvl w:val="0"/>
                <w:numId w:val="84"/>
              </w:numPr>
              <w:shd w:val="clear" w:color="auto" w:fill="FFFFFF"/>
              <w:spacing w:before="40" w:after="40"/>
              <w:ind w:left="463" w:hanging="425"/>
              <w:rPr>
                <w:color w:val="auto"/>
                <w:sz w:val="26"/>
                <w:szCs w:val="26"/>
              </w:rPr>
            </w:pPr>
            <w:r>
              <w:rPr>
                <w:color w:val="auto"/>
                <w:sz w:val="26"/>
                <w:szCs w:val="26"/>
              </w:rPr>
              <w:t>The Contract Goods shall be properly packed according to the Air &amp; Seaworthy (or Roadworthy) Export Standard Packing.</w:t>
            </w:r>
          </w:p>
          <w:p w14:paraId="708C6ED8">
            <w:pPr>
              <w:pStyle w:val="97"/>
              <w:widowControl w:val="0"/>
              <w:numPr>
                <w:ilvl w:val="0"/>
                <w:numId w:val="84"/>
              </w:numPr>
              <w:shd w:val="clear" w:color="auto" w:fill="FFFFFF"/>
              <w:spacing w:before="40" w:after="40"/>
              <w:ind w:left="463" w:hanging="425"/>
              <w:rPr>
                <w:color w:val="auto"/>
                <w:sz w:val="26"/>
                <w:szCs w:val="26"/>
              </w:rPr>
            </w:pPr>
            <w:r>
              <w:rPr>
                <w:color w:val="auto"/>
                <w:sz w:val="26"/>
                <w:szCs w:val="26"/>
              </w:rPr>
              <w:t xml:space="preserve">The containers weight over 3 tons or sized over 1m3 should be marked “0” or “TT” at its center. </w:t>
            </w:r>
          </w:p>
          <w:p w14:paraId="708C6ED9">
            <w:pPr>
              <w:pStyle w:val="97"/>
              <w:widowControl w:val="0"/>
              <w:numPr>
                <w:ilvl w:val="0"/>
                <w:numId w:val="84"/>
              </w:numPr>
              <w:shd w:val="clear" w:color="auto" w:fill="FFFFFF"/>
              <w:spacing w:before="40" w:after="40"/>
              <w:ind w:left="463" w:hanging="425"/>
              <w:rPr>
                <w:color w:val="auto"/>
                <w:sz w:val="26"/>
                <w:szCs w:val="26"/>
              </w:rPr>
            </w:pPr>
            <w:r>
              <w:rPr>
                <w:color w:val="auto"/>
                <w:sz w:val="26"/>
                <w:szCs w:val="26"/>
              </w:rPr>
              <w:t>The following marks and code number shall be made with indelible paint on the external surface of each case/drum.</w:t>
            </w:r>
          </w:p>
          <w:p w14:paraId="708C6EDA">
            <w:pPr>
              <w:pStyle w:val="97"/>
              <w:widowControl w:val="0"/>
              <w:shd w:val="clear" w:color="auto" w:fill="FFFFFF"/>
              <w:spacing w:before="40" w:after="40"/>
              <w:ind w:left="34"/>
              <w:rPr>
                <w:color w:val="auto"/>
                <w:sz w:val="26"/>
                <w:szCs w:val="26"/>
              </w:rPr>
            </w:pPr>
            <w:r>
              <w:rPr>
                <w:color w:val="auto"/>
                <w:sz w:val="26"/>
                <w:szCs w:val="26"/>
              </w:rPr>
              <w:t xml:space="preserve">To :  The Socialist Republic of Vietnam </w:t>
            </w:r>
          </w:p>
          <w:p w14:paraId="708C6EDB">
            <w:pPr>
              <w:pStyle w:val="97"/>
              <w:widowControl w:val="0"/>
              <w:shd w:val="clear" w:color="auto" w:fill="FFFFFF"/>
              <w:spacing w:before="40" w:after="40"/>
              <w:ind w:left="34"/>
              <w:rPr>
                <w:color w:val="auto"/>
                <w:sz w:val="26"/>
                <w:szCs w:val="26"/>
              </w:rPr>
            </w:pPr>
            <w:r>
              <w:rPr>
                <w:color w:val="auto"/>
                <w:sz w:val="26"/>
                <w:szCs w:val="26"/>
              </w:rPr>
              <w:t xml:space="preserve">Project : </w:t>
            </w:r>
          </w:p>
          <w:p w14:paraId="708C6EDC">
            <w:pPr>
              <w:pStyle w:val="97"/>
              <w:widowControl w:val="0"/>
              <w:shd w:val="clear" w:color="auto" w:fill="FFFFFF"/>
              <w:spacing w:before="40" w:after="40"/>
              <w:ind w:left="34"/>
              <w:rPr>
                <w:color w:val="auto"/>
                <w:sz w:val="26"/>
                <w:szCs w:val="26"/>
              </w:rPr>
            </w:pPr>
            <w:r>
              <w:rPr>
                <w:color w:val="auto"/>
                <w:sz w:val="26"/>
                <w:szCs w:val="26"/>
              </w:rPr>
              <w:t>Contract No: _________________________________</w:t>
            </w:r>
          </w:p>
          <w:p w14:paraId="708C6EDD">
            <w:pPr>
              <w:pStyle w:val="97"/>
              <w:widowControl w:val="0"/>
              <w:shd w:val="clear" w:color="auto" w:fill="FFFFFF"/>
              <w:spacing w:before="40" w:after="40"/>
              <w:ind w:left="34"/>
              <w:rPr>
                <w:color w:val="auto"/>
                <w:sz w:val="26"/>
                <w:szCs w:val="26"/>
              </w:rPr>
            </w:pPr>
            <w:r>
              <w:rPr>
                <w:color w:val="auto"/>
                <w:sz w:val="26"/>
                <w:szCs w:val="26"/>
              </w:rPr>
              <w:t>Consignee  : __________________________________</w:t>
            </w:r>
          </w:p>
          <w:p w14:paraId="708C6EDE">
            <w:pPr>
              <w:pStyle w:val="97"/>
              <w:widowControl w:val="0"/>
              <w:shd w:val="clear" w:color="auto" w:fill="FFFFFF"/>
              <w:spacing w:before="40" w:after="40"/>
              <w:ind w:left="34"/>
              <w:rPr>
                <w:color w:val="auto"/>
                <w:sz w:val="26"/>
                <w:szCs w:val="26"/>
              </w:rPr>
            </w:pPr>
            <w:r>
              <w:rPr>
                <w:color w:val="auto"/>
                <w:sz w:val="26"/>
                <w:szCs w:val="26"/>
              </w:rPr>
              <w:t>Consignor  :  _________________________________</w:t>
            </w:r>
          </w:p>
          <w:p w14:paraId="708C6EDF">
            <w:pPr>
              <w:pStyle w:val="97"/>
              <w:widowControl w:val="0"/>
              <w:shd w:val="clear" w:color="auto" w:fill="FFFFFF"/>
              <w:spacing w:before="40" w:after="40"/>
              <w:ind w:left="34"/>
              <w:rPr>
                <w:color w:val="auto"/>
                <w:sz w:val="26"/>
                <w:szCs w:val="26"/>
              </w:rPr>
            </w:pPr>
            <w:r>
              <w:rPr>
                <w:color w:val="auto"/>
                <w:sz w:val="26"/>
                <w:szCs w:val="26"/>
              </w:rPr>
              <w:t>Port of Shipment : _____________________________</w:t>
            </w:r>
          </w:p>
          <w:p w14:paraId="708C6EE0">
            <w:pPr>
              <w:pStyle w:val="97"/>
              <w:widowControl w:val="0"/>
              <w:shd w:val="clear" w:color="auto" w:fill="FFFFFF"/>
              <w:spacing w:before="40" w:after="40"/>
              <w:ind w:left="34"/>
              <w:rPr>
                <w:color w:val="auto"/>
                <w:sz w:val="26"/>
                <w:szCs w:val="26"/>
              </w:rPr>
            </w:pPr>
            <w:r>
              <w:rPr>
                <w:color w:val="auto"/>
                <w:sz w:val="26"/>
                <w:szCs w:val="26"/>
              </w:rPr>
              <w:t xml:space="preserve">Port of Destination: </w:t>
            </w:r>
          </w:p>
          <w:p w14:paraId="708C6EE1">
            <w:pPr>
              <w:pStyle w:val="97"/>
              <w:widowControl w:val="0"/>
              <w:shd w:val="clear" w:color="auto" w:fill="FFFFFF"/>
              <w:spacing w:before="40" w:after="40"/>
              <w:ind w:left="34"/>
              <w:rPr>
                <w:color w:val="auto"/>
                <w:sz w:val="26"/>
                <w:szCs w:val="26"/>
              </w:rPr>
            </w:pPr>
            <w:r>
              <w:rPr>
                <w:color w:val="auto"/>
                <w:sz w:val="26"/>
                <w:szCs w:val="26"/>
              </w:rPr>
              <w:t>Shipping mark :</w:t>
            </w:r>
          </w:p>
          <w:p w14:paraId="708C6EE2">
            <w:pPr>
              <w:pStyle w:val="97"/>
              <w:widowControl w:val="0"/>
              <w:shd w:val="clear" w:color="auto" w:fill="FFFFFF"/>
              <w:spacing w:before="40" w:after="40"/>
              <w:ind w:left="34"/>
              <w:rPr>
                <w:color w:val="auto"/>
                <w:sz w:val="26"/>
                <w:szCs w:val="26"/>
              </w:rPr>
            </w:pPr>
            <w:r>
              <w:rPr>
                <w:color w:val="auto"/>
                <w:sz w:val="26"/>
                <w:szCs w:val="26"/>
              </w:rPr>
              <w:t xml:space="preserve">The package number </w:t>
            </w:r>
          </w:p>
          <w:p w14:paraId="708C6EE3">
            <w:pPr>
              <w:pStyle w:val="97"/>
              <w:widowControl w:val="0"/>
              <w:shd w:val="clear" w:color="auto" w:fill="FFFFFF"/>
              <w:spacing w:before="40" w:after="40"/>
              <w:ind w:left="34"/>
              <w:rPr>
                <w:color w:val="auto"/>
                <w:sz w:val="26"/>
                <w:szCs w:val="26"/>
              </w:rPr>
            </w:pPr>
            <w:r>
              <w:rPr>
                <w:color w:val="auto"/>
                <w:sz w:val="26"/>
                <w:szCs w:val="26"/>
              </w:rPr>
              <w:t>The measurements of package [dimension(m)/volume(m3)/weight(Kg)]</w:t>
            </w:r>
          </w:p>
          <w:p w14:paraId="708C6EE4">
            <w:pPr>
              <w:pStyle w:val="97"/>
              <w:widowControl w:val="0"/>
              <w:shd w:val="clear" w:color="auto" w:fill="FFFFFF"/>
              <w:spacing w:before="40" w:after="40"/>
              <w:ind w:left="34"/>
              <w:rPr>
                <w:color w:val="auto"/>
                <w:sz w:val="26"/>
                <w:szCs w:val="26"/>
              </w:rPr>
            </w:pPr>
            <w:r>
              <w:rPr>
                <w:color w:val="auto"/>
                <w:sz w:val="26"/>
                <w:szCs w:val="26"/>
              </w:rPr>
              <w:t>The lifting position</w:t>
            </w:r>
          </w:p>
          <w:p w14:paraId="708C6EE5">
            <w:pPr>
              <w:pStyle w:val="97"/>
              <w:widowControl w:val="0"/>
              <w:shd w:val="clear" w:color="auto" w:fill="FFFFFF"/>
              <w:spacing w:before="40" w:after="40"/>
              <w:ind w:left="34"/>
              <w:rPr>
                <w:color w:val="auto"/>
                <w:sz w:val="26"/>
                <w:szCs w:val="26"/>
              </w:rPr>
            </w:pPr>
            <w:r>
              <w:rPr>
                <w:color w:val="auto"/>
                <w:sz w:val="26"/>
                <w:szCs w:val="26"/>
              </w:rPr>
              <w:t>And other specific marks:</w:t>
            </w:r>
          </w:p>
          <w:p w14:paraId="708C6EE6">
            <w:pPr>
              <w:pStyle w:val="97"/>
              <w:widowControl w:val="0"/>
              <w:shd w:val="clear" w:color="auto" w:fill="FFFFFF"/>
              <w:spacing w:before="40" w:after="40"/>
              <w:ind w:left="34"/>
              <w:rPr>
                <w:color w:val="auto"/>
                <w:sz w:val="26"/>
                <w:szCs w:val="26"/>
              </w:rPr>
            </w:pPr>
            <w:r>
              <w:rPr>
                <w:color w:val="auto"/>
                <w:sz w:val="26"/>
                <w:szCs w:val="26"/>
              </w:rPr>
              <w:t>Transport Mark:</w:t>
            </w:r>
          </w:p>
          <w:p w14:paraId="708C6EE7">
            <w:pPr>
              <w:pStyle w:val="97"/>
              <w:widowControl w:val="0"/>
              <w:shd w:val="clear" w:color="auto" w:fill="FFFFFF"/>
              <w:spacing w:before="40" w:after="40"/>
              <w:ind w:left="34"/>
              <w:rPr>
                <w:color w:val="auto"/>
                <w:sz w:val="26"/>
                <w:szCs w:val="26"/>
              </w:rPr>
            </w:pPr>
            <w:r>
              <w:rPr>
                <w:color w:val="auto"/>
                <w:sz w:val="26"/>
                <w:szCs w:val="26"/>
              </w:rPr>
              <w:tab/>
            </w:r>
            <w:r>
              <w:rPr>
                <w:color w:val="auto"/>
                <w:sz w:val="26"/>
                <w:szCs w:val="26"/>
              </w:rPr>
              <w:drawing>
                <wp:inline distT="0" distB="0" distL="0" distR="0">
                  <wp:extent cx="2524760" cy="2103755"/>
                  <wp:effectExtent l="0" t="0" r="8890" b="0"/>
                  <wp:docPr id="7488269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826931"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528258" cy="2106483"/>
                          </a:xfrm>
                          <a:prstGeom prst="rect">
                            <a:avLst/>
                          </a:prstGeom>
                          <a:noFill/>
                          <a:ln>
                            <a:noFill/>
                          </a:ln>
                        </pic:spPr>
                      </pic:pic>
                    </a:graphicData>
                  </a:graphic>
                </wp:inline>
              </w:drawing>
            </w:r>
          </w:p>
        </w:tc>
      </w:tr>
      <w:tr w14:paraId="708C6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08C6EE9">
            <w:pPr>
              <w:widowControl w:val="0"/>
              <w:spacing w:before="60" w:after="60" w:line="276" w:lineRule="auto"/>
              <w:ind w:left="34" w:right="34"/>
              <w:rPr>
                <w:b/>
                <w:color w:val="auto"/>
                <w:sz w:val="26"/>
                <w:szCs w:val="26"/>
              </w:rPr>
            </w:pPr>
            <w:r>
              <w:rPr>
                <w:b/>
                <w:color w:val="auto"/>
                <w:sz w:val="26"/>
                <w:szCs w:val="26"/>
              </w:rPr>
              <w:t>GCC 19</w:t>
            </w:r>
          </w:p>
        </w:tc>
        <w:tc>
          <w:tcPr>
            <w:tcW w:w="7867" w:type="dxa"/>
          </w:tcPr>
          <w:p w14:paraId="708C6EEA">
            <w:pPr>
              <w:widowControl w:val="0"/>
              <w:shd w:val="clear" w:color="auto" w:fill="FFFFFF"/>
              <w:spacing w:before="40" w:after="40" w:line="240" w:lineRule="auto"/>
              <w:jc w:val="both"/>
              <w:rPr>
                <w:rStyle w:val="331"/>
                <w:rFonts w:ascii="Times New Roman" w:hAnsi="Times New Roman"/>
                <w:iCs/>
                <w:color w:val="auto"/>
              </w:rPr>
            </w:pPr>
            <w:r>
              <w:rPr>
                <w:rStyle w:val="331"/>
                <w:rFonts w:ascii="Times New Roman" w:hAnsi="Times New Roman"/>
                <w:iCs/>
                <w:color w:val="auto"/>
              </w:rPr>
              <w:t>Upon arrival at the final destination, the goods may</w:t>
            </w:r>
            <w:r>
              <w:rPr>
                <w:iCs/>
                <w:color w:val="auto"/>
                <w:sz w:val="26"/>
                <w:szCs w:val="26"/>
              </w:rPr>
              <w:t xml:space="preserve"> </w:t>
            </w:r>
            <w:r>
              <w:rPr>
                <w:rStyle w:val="331"/>
                <w:rFonts w:ascii="Times New Roman" w:hAnsi="Times New Roman"/>
                <w:iCs/>
                <w:color w:val="auto"/>
              </w:rPr>
              <w:t>be inspected by an inspection unit. The inspection</w:t>
            </w:r>
            <w:r>
              <w:rPr>
                <w:iCs/>
                <w:color w:val="auto"/>
                <w:sz w:val="26"/>
                <w:szCs w:val="26"/>
              </w:rPr>
              <w:t xml:space="preserve"> </w:t>
            </w:r>
            <w:r>
              <w:rPr>
                <w:rStyle w:val="331"/>
                <w:rFonts w:ascii="Times New Roman" w:hAnsi="Times New Roman"/>
                <w:iCs/>
                <w:color w:val="auto"/>
              </w:rPr>
              <w:t>report shall be used for claiming purpose, if any,</w:t>
            </w:r>
            <w:r>
              <w:rPr>
                <w:iCs/>
                <w:color w:val="auto"/>
                <w:sz w:val="26"/>
                <w:szCs w:val="26"/>
              </w:rPr>
              <w:t xml:space="preserve"> </w:t>
            </w:r>
            <w:r>
              <w:rPr>
                <w:rStyle w:val="331"/>
                <w:rFonts w:ascii="Times New Roman" w:hAnsi="Times New Roman"/>
                <w:iCs/>
                <w:color w:val="auto"/>
              </w:rPr>
              <w:t>against the Insurance Company and/or against the</w:t>
            </w:r>
            <w:r>
              <w:rPr>
                <w:iCs/>
                <w:color w:val="auto"/>
                <w:sz w:val="26"/>
                <w:szCs w:val="26"/>
              </w:rPr>
              <w:br w:type="textWrapping"/>
            </w:r>
            <w:r>
              <w:rPr>
                <w:rStyle w:val="331"/>
                <w:rFonts w:ascii="Times New Roman" w:hAnsi="Times New Roman"/>
                <w:iCs/>
                <w:color w:val="auto"/>
              </w:rPr>
              <w:t>Shipping company. The inspection cost will be paid by the Contractor.</w:t>
            </w:r>
          </w:p>
          <w:p w14:paraId="708C6EEB">
            <w:pPr>
              <w:widowControl w:val="0"/>
              <w:shd w:val="clear" w:color="auto" w:fill="FFFFFF"/>
              <w:spacing w:before="40" w:after="40" w:line="240" w:lineRule="auto"/>
              <w:jc w:val="both"/>
              <w:rPr>
                <w:rStyle w:val="331"/>
                <w:rFonts w:ascii="Times New Roman" w:hAnsi="Times New Roman"/>
                <w:iCs/>
                <w:color w:val="auto"/>
              </w:rPr>
            </w:pPr>
            <w:r>
              <w:rPr>
                <w:rStyle w:val="331"/>
                <w:rFonts w:ascii="Times New Roman" w:hAnsi="Times New Roman"/>
                <w:iCs/>
                <w:color w:val="auto"/>
              </w:rPr>
              <w:t xml:space="preserve">The Supplier must ensure the Goods in an amount equal to 110 percent of the Goods from “Warehouse” of the Supplier to “Final destination” on "All risks" basis including loading and unloading goods, excluding War risks and Strikes. The insurance coverage shall be at the Purchaser’s warehouse and/or project site. The insurance shall be valid up to </w:t>
            </w:r>
            <w:r>
              <w:rPr>
                <w:rStyle w:val="331"/>
                <w:rFonts w:ascii="Times New Roman" w:hAnsi="Times New Roman"/>
                <w:b/>
                <w:bCs/>
                <w:iCs/>
                <w:color w:val="auto"/>
              </w:rPr>
              <w:t>sixty (60) days</w:t>
            </w:r>
            <w:r>
              <w:rPr>
                <w:rStyle w:val="331"/>
                <w:rFonts w:ascii="Times New Roman" w:hAnsi="Times New Roman"/>
                <w:iCs/>
                <w:color w:val="auto"/>
              </w:rPr>
              <w:t xml:space="preserve"> after at the Purchaser’s warehouse (Purchaser’s warehouse or Project’s site). The insurance policy shall specify the Purchaser as the Beneficiary of the insurance.</w:t>
            </w:r>
          </w:p>
          <w:p w14:paraId="708C6EEC">
            <w:pPr>
              <w:widowControl w:val="0"/>
              <w:shd w:val="clear" w:color="auto" w:fill="FFFFFF"/>
              <w:spacing w:before="40" w:after="40" w:line="240" w:lineRule="auto"/>
              <w:jc w:val="both"/>
              <w:rPr>
                <w:color w:val="auto"/>
                <w:sz w:val="26"/>
                <w:szCs w:val="26"/>
              </w:rPr>
            </w:pPr>
            <w:r>
              <w:rPr>
                <w:color w:val="auto"/>
                <w:sz w:val="26"/>
                <w:szCs w:val="26"/>
              </w:rPr>
              <w:t>Claims, if any, shall be made by tele/fax to the Suppliers and confirmed by registered airmail together with supporting documents not later than 60 days since the occurrence of insurance incidents.</w:t>
            </w:r>
          </w:p>
          <w:p w14:paraId="708C6EED">
            <w:pPr>
              <w:widowControl w:val="0"/>
              <w:shd w:val="clear" w:color="auto" w:fill="FFFFFF"/>
              <w:spacing w:before="40" w:after="40" w:line="240" w:lineRule="auto"/>
              <w:jc w:val="both"/>
              <w:rPr>
                <w:color w:val="auto"/>
                <w:sz w:val="26"/>
                <w:szCs w:val="26"/>
              </w:rPr>
            </w:pPr>
            <w:r>
              <w:rPr>
                <w:color w:val="auto"/>
                <w:sz w:val="26"/>
                <w:szCs w:val="26"/>
              </w:rPr>
              <w:t>In case of loss or damage of goods, the Supplier must deliver in advance with its expenses new goods for replacement at the place as required by the Purchaser (Project site/Purchaser’s warehouse), and the Purchaser will authorize the Supplier contact with Insurance to claim.</w:t>
            </w:r>
          </w:p>
          <w:p w14:paraId="708C6EEE">
            <w:pPr>
              <w:widowControl w:val="0"/>
              <w:shd w:val="clear" w:color="auto" w:fill="FFFFFF"/>
              <w:spacing w:before="40" w:after="40" w:line="240" w:lineRule="auto"/>
              <w:jc w:val="both"/>
              <w:rPr>
                <w:color w:val="auto"/>
                <w:sz w:val="26"/>
                <w:szCs w:val="26"/>
              </w:rPr>
            </w:pPr>
            <w:r>
              <w:rPr>
                <w:color w:val="auto"/>
                <w:sz w:val="26"/>
                <w:szCs w:val="26"/>
              </w:rPr>
              <w:t>All procedures and expenses arising from insurance shall be responsible and borne by the Supplier.</w:t>
            </w:r>
          </w:p>
          <w:p w14:paraId="708C6EEF">
            <w:pPr>
              <w:widowControl w:val="0"/>
              <w:spacing w:before="60" w:after="60"/>
              <w:jc w:val="both"/>
              <w:rPr>
                <w:color w:val="auto"/>
                <w:sz w:val="26"/>
                <w:szCs w:val="26"/>
              </w:rPr>
            </w:pPr>
            <w:r>
              <w:rPr>
                <w:color w:val="auto"/>
                <w:sz w:val="26"/>
                <w:szCs w:val="26"/>
              </w:rPr>
              <w:t>The insurance of Goods must be complied with the letter No. 2980/EVNNPT-QLĐT-TCKT-VT date 29/07/2016 of EVNNPT.</w:t>
            </w:r>
          </w:p>
        </w:tc>
      </w:tr>
      <w:tr w14:paraId="708C6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08C6EF1">
            <w:pPr>
              <w:widowControl w:val="0"/>
              <w:spacing w:before="60" w:after="60" w:line="276" w:lineRule="auto"/>
              <w:ind w:left="34" w:right="34"/>
              <w:rPr>
                <w:b/>
                <w:color w:val="auto"/>
                <w:sz w:val="26"/>
                <w:szCs w:val="26"/>
              </w:rPr>
            </w:pPr>
            <w:r>
              <w:rPr>
                <w:b/>
                <w:color w:val="auto"/>
                <w:sz w:val="26"/>
                <w:szCs w:val="26"/>
              </w:rPr>
              <w:t>GCC 20.1</w:t>
            </w:r>
          </w:p>
        </w:tc>
        <w:tc>
          <w:tcPr>
            <w:tcW w:w="7867" w:type="dxa"/>
          </w:tcPr>
          <w:p w14:paraId="708C6EF2">
            <w:pPr>
              <w:widowControl w:val="0"/>
              <w:shd w:val="clear" w:color="auto" w:fill="FFFFFF"/>
              <w:tabs>
                <w:tab w:val="left" w:pos="3680"/>
              </w:tabs>
              <w:spacing w:before="40" w:after="40" w:line="240" w:lineRule="auto"/>
              <w:jc w:val="both"/>
              <w:rPr>
                <w:color w:val="auto"/>
                <w:sz w:val="26"/>
                <w:szCs w:val="26"/>
              </w:rPr>
            </w:pPr>
            <w:r>
              <w:rPr>
                <w:color w:val="auto"/>
                <w:sz w:val="26"/>
                <w:szCs w:val="26"/>
              </w:rPr>
              <w:t xml:space="preserve">Obligations for transportation of the goods shall be in accordance with Incoterms 2020. </w:t>
            </w:r>
          </w:p>
          <w:p w14:paraId="708C6EF3">
            <w:pPr>
              <w:widowControl w:val="0"/>
              <w:tabs>
                <w:tab w:val="left" w:pos="3680"/>
              </w:tabs>
              <w:spacing w:before="60" w:after="60"/>
              <w:jc w:val="both"/>
              <w:rPr>
                <w:color w:val="auto"/>
                <w:sz w:val="26"/>
                <w:szCs w:val="26"/>
              </w:rPr>
            </w:pPr>
            <w:r>
              <w:rPr>
                <w:color w:val="auto"/>
                <w:sz w:val="26"/>
                <w:szCs w:val="26"/>
              </w:rPr>
              <w:t>The final destination: as specified in GCC 1.11 of this section.</w:t>
            </w:r>
          </w:p>
        </w:tc>
      </w:tr>
      <w:tr w14:paraId="708C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08C6EF5">
            <w:pPr>
              <w:widowControl w:val="0"/>
              <w:spacing w:before="60" w:after="60" w:line="276" w:lineRule="auto"/>
              <w:ind w:left="34" w:right="34"/>
              <w:rPr>
                <w:b/>
                <w:color w:val="auto"/>
                <w:sz w:val="26"/>
                <w:szCs w:val="26"/>
              </w:rPr>
            </w:pPr>
            <w:r>
              <w:rPr>
                <w:b/>
                <w:color w:val="auto"/>
                <w:sz w:val="26"/>
                <w:szCs w:val="26"/>
              </w:rPr>
              <w:t>GCC 20.2</w:t>
            </w:r>
          </w:p>
        </w:tc>
        <w:tc>
          <w:tcPr>
            <w:tcW w:w="7867" w:type="dxa"/>
          </w:tcPr>
          <w:p w14:paraId="708C6EF6">
            <w:pPr>
              <w:widowControl w:val="0"/>
              <w:jc w:val="both"/>
              <w:rPr>
                <w:color w:val="auto"/>
                <w:sz w:val="26"/>
                <w:szCs w:val="26"/>
              </w:rPr>
            </w:pPr>
            <w:r>
              <w:rPr>
                <w:color w:val="auto"/>
                <w:sz w:val="26"/>
                <w:szCs w:val="26"/>
              </w:rPr>
              <w:t>The related services: As specified in Section V</w:t>
            </w:r>
          </w:p>
        </w:tc>
      </w:tr>
      <w:tr w14:paraId="708C6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08C6EF8">
            <w:pPr>
              <w:widowControl w:val="0"/>
              <w:spacing w:before="60" w:after="60" w:line="276" w:lineRule="auto"/>
              <w:ind w:left="34" w:right="34"/>
              <w:rPr>
                <w:b/>
                <w:color w:val="auto"/>
                <w:sz w:val="26"/>
                <w:szCs w:val="26"/>
              </w:rPr>
            </w:pPr>
            <w:r>
              <w:rPr>
                <w:b/>
                <w:color w:val="auto"/>
                <w:sz w:val="26"/>
                <w:szCs w:val="26"/>
              </w:rPr>
              <w:t>GCC 21.1</w:t>
            </w:r>
          </w:p>
        </w:tc>
        <w:tc>
          <w:tcPr>
            <w:tcW w:w="7867" w:type="dxa"/>
          </w:tcPr>
          <w:p w14:paraId="708C6EF9">
            <w:pPr>
              <w:widowControl w:val="0"/>
              <w:spacing w:before="60" w:after="60" w:line="240" w:lineRule="auto"/>
              <w:jc w:val="both"/>
              <w:rPr>
                <w:color w:val="auto"/>
                <w:sz w:val="26"/>
                <w:szCs w:val="26"/>
              </w:rPr>
            </w:pPr>
            <w:r>
              <w:rPr>
                <w:color w:val="auto"/>
                <w:sz w:val="26"/>
                <w:szCs w:val="26"/>
              </w:rPr>
              <w:t>a) Inspection and testing of goods must comply with the requirements specified in Section V. Scope of supply.</w:t>
            </w:r>
          </w:p>
          <w:p w14:paraId="708C6EFA">
            <w:pPr>
              <w:widowControl w:val="0"/>
              <w:numPr>
                <w:ilvl w:val="0"/>
                <w:numId w:val="85"/>
              </w:numPr>
              <w:tabs>
                <w:tab w:val="left" w:pos="317"/>
                <w:tab w:val="left" w:pos="370"/>
              </w:tabs>
              <w:spacing w:before="60" w:after="60" w:line="240" w:lineRule="auto"/>
              <w:ind w:left="317" w:hanging="284"/>
              <w:jc w:val="both"/>
              <w:rPr>
                <w:color w:val="auto"/>
                <w:sz w:val="26"/>
                <w:szCs w:val="26"/>
              </w:rPr>
            </w:pPr>
            <w:r>
              <w:rPr>
                <w:color w:val="auto"/>
                <w:sz w:val="26"/>
                <w:szCs w:val="26"/>
              </w:rPr>
              <w:t>All goods must be tested to confirm complying with the specifications.</w:t>
            </w:r>
          </w:p>
          <w:p w14:paraId="708C6EFB">
            <w:pPr>
              <w:widowControl w:val="0"/>
              <w:spacing w:before="60" w:after="60" w:line="240" w:lineRule="auto"/>
              <w:ind w:left="317"/>
              <w:jc w:val="both"/>
              <w:rPr>
                <w:color w:val="auto"/>
                <w:sz w:val="26"/>
                <w:szCs w:val="26"/>
              </w:rPr>
            </w:pPr>
            <w:r>
              <w:rPr>
                <w:color w:val="auto"/>
                <w:sz w:val="26"/>
                <w:szCs w:val="26"/>
              </w:rPr>
              <w:t>The acceptance or refusal of goods inspection, test witnessing of Purchaser cannot release supplier from the responsibilities to supply the goods as required by the contract.</w:t>
            </w:r>
          </w:p>
          <w:p w14:paraId="708C6EFC">
            <w:pPr>
              <w:widowControl w:val="0"/>
              <w:spacing w:before="60" w:after="60" w:line="240" w:lineRule="auto"/>
              <w:jc w:val="both"/>
              <w:rPr>
                <w:color w:val="auto"/>
                <w:sz w:val="26"/>
                <w:szCs w:val="26"/>
              </w:rPr>
            </w:pPr>
            <w:r>
              <w:rPr>
                <w:color w:val="auto"/>
                <w:sz w:val="26"/>
                <w:szCs w:val="26"/>
              </w:rPr>
              <w:t>b) Checks before accepting the goods:</w:t>
            </w:r>
          </w:p>
          <w:p w14:paraId="708C6EFD">
            <w:pPr>
              <w:widowControl w:val="0"/>
              <w:numPr>
                <w:ilvl w:val="0"/>
                <w:numId w:val="86"/>
              </w:numPr>
              <w:spacing w:before="60" w:after="60" w:line="240" w:lineRule="auto"/>
              <w:jc w:val="both"/>
              <w:rPr>
                <w:color w:val="auto"/>
                <w:sz w:val="26"/>
                <w:szCs w:val="26"/>
              </w:rPr>
            </w:pPr>
            <w:r>
              <w:rPr>
                <w:color w:val="auto"/>
                <w:sz w:val="26"/>
                <w:szCs w:val="26"/>
              </w:rPr>
              <w:t>Goods shall be inspected at the place of receiving goods and Purchaser has the right to check at the location of installation in terms of quantity and condition of the goods.</w:t>
            </w:r>
          </w:p>
          <w:p w14:paraId="708C6EFE">
            <w:pPr>
              <w:widowControl w:val="0"/>
              <w:numPr>
                <w:ilvl w:val="0"/>
                <w:numId w:val="86"/>
              </w:numPr>
              <w:spacing w:before="60" w:after="60" w:line="240" w:lineRule="auto"/>
              <w:jc w:val="both"/>
              <w:rPr>
                <w:color w:val="auto"/>
                <w:sz w:val="26"/>
                <w:szCs w:val="26"/>
              </w:rPr>
            </w:pPr>
            <w:r>
              <w:rPr>
                <w:color w:val="auto"/>
                <w:sz w:val="26"/>
                <w:szCs w:val="26"/>
              </w:rPr>
              <w:t>In case there are differences in quantity and quality of goods than specified in the contract, the supplier shall be responsible for replacement of goods that do not comply (at the cost of the supplier) within 21 days after receipt of a complaint by Purchaser. Purchaser will return non-compliance goods at the request and expense of the Contractor.</w:t>
            </w:r>
          </w:p>
          <w:p w14:paraId="708C6EFF">
            <w:pPr>
              <w:widowControl w:val="0"/>
              <w:numPr>
                <w:ilvl w:val="0"/>
                <w:numId w:val="86"/>
              </w:numPr>
              <w:spacing w:before="60" w:after="60" w:line="240" w:lineRule="auto"/>
              <w:jc w:val="both"/>
              <w:rPr>
                <w:color w:val="auto"/>
                <w:sz w:val="26"/>
                <w:szCs w:val="26"/>
              </w:rPr>
            </w:pPr>
            <w:r>
              <w:rPr>
                <w:snapToGrid w:val="0"/>
                <w:color w:val="auto"/>
                <w:sz w:val="26"/>
                <w:szCs w:val="26"/>
              </w:rPr>
              <w:t xml:space="preserve">In case of non-conformity or discrepancy, the </w:t>
            </w:r>
            <w:r>
              <w:rPr>
                <w:color w:val="auto"/>
                <w:sz w:val="26"/>
                <w:szCs w:val="26"/>
              </w:rPr>
              <w:t>supplier</w:t>
            </w:r>
            <w:r>
              <w:rPr>
                <w:snapToGrid w:val="0"/>
                <w:color w:val="auto"/>
                <w:sz w:val="26"/>
                <w:szCs w:val="26"/>
              </w:rPr>
              <w:t xml:space="preserve"> is liable to supply at his own expense, including import taxes, demurrage cost, testing and inspection, and relevant costs as a consequence of such a replacement, the required replacement of the defective Goods within reasonable period after receiving claim from the Purchaser on the basis of </w:t>
            </w:r>
            <w:r>
              <w:rPr>
                <w:color w:val="auto"/>
                <w:sz w:val="26"/>
                <w:szCs w:val="26"/>
              </w:rPr>
              <w:t>the final destination</w:t>
            </w:r>
            <w:r>
              <w:rPr>
                <w:snapToGrid w:val="0"/>
                <w:color w:val="auto"/>
                <w:sz w:val="26"/>
                <w:szCs w:val="26"/>
              </w:rPr>
              <w:t xml:space="preserve">, the Purchaser will return the non-conformity Goods at the </w:t>
            </w:r>
            <w:r>
              <w:rPr>
                <w:color w:val="auto"/>
                <w:sz w:val="26"/>
                <w:szCs w:val="26"/>
              </w:rPr>
              <w:t>supplier</w:t>
            </w:r>
            <w:r>
              <w:rPr>
                <w:snapToGrid w:val="0"/>
                <w:color w:val="auto"/>
                <w:sz w:val="26"/>
                <w:szCs w:val="26"/>
              </w:rPr>
              <w:t>’s request and expense.</w:t>
            </w:r>
          </w:p>
          <w:p w14:paraId="708C6F00">
            <w:pPr>
              <w:widowControl w:val="0"/>
              <w:numPr>
                <w:ilvl w:val="0"/>
                <w:numId w:val="86"/>
              </w:numPr>
              <w:spacing w:before="60" w:after="60" w:line="240" w:lineRule="auto"/>
              <w:jc w:val="both"/>
              <w:rPr>
                <w:color w:val="auto"/>
                <w:sz w:val="26"/>
                <w:szCs w:val="26"/>
              </w:rPr>
            </w:pPr>
            <w:r>
              <w:rPr>
                <w:color w:val="auto"/>
                <w:sz w:val="26"/>
                <w:szCs w:val="26"/>
              </w:rPr>
              <w:t xml:space="preserve">Purchaser shall have the right to attend the above inspection by his own expense.   </w:t>
            </w:r>
          </w:p>
          <w:p w14:paraId="708C6F01">
            <w:pPr>
              <w:widowControl w:val="0"/>
              <w:numPr>
                <w:ilvl w:val="0"/>
                <w:numId w:val="86"/>
              </w:numPr>
              <w:spacing w:before="60" w:after="60" w:line="240" w:lineRule="auto"/>
              <w:jc w:val="both"/>
              <w:rPr>
                <w:color w:val="auto"/>
                <w:sz w:val="26"/>
                <w:szCs w:val="26"/>
              </w:rPr>
            </w:pPr>
            <w:r>
              <w:rPr>
                <w:snapToGrid w:val="0"/>
                <w:color w:val="auto"/>
                <w:sz w:val="26"/>
                <w:szCs w:val="26"/>
              </w:rPr>
              <w:t>The Supplier is responsible for the quality of materials, products, structures and equipment they supply, manufacture. The acceptance of the Purchaser does not release the responsibility of the Supplier for the quality of materials, products, structures and equipment they supply, manufacture even after the warranty period except in cases where the error is not the fault of the Supplier or due to objective reasons or force majeure.</w:t>
            </w:r>
          </w:p>
          <w:p w14:paraId="708C6F02">
            <w:pPr>
              <w:widowControl w:val="0"/>
              <w:numPr>
                <w:ilvl w:val="0"/>
                <w:numId w:val="87"/>
              </w:numPr>
              <w:spacing w:before="120" w:after="0" w:line="240" w:lineRule="auto"/>
              <w:ind w:left="343" w:hanging="343"/>
              <w:jc w:val="both"/>
              <w:rPr>
                <w:color w:val="auto"/>
                <w:sz w:val="26"/>
                <w:szCs w:val="26"/>
              </w:rPr>
            </w:pPr>
            <w:r>
              <w:rPr>
                <w:color w:val="auto"/>
                <w:sz w:val="26"/>
                <w:szCs w:val="26"/>
              </w:rPr>
              <w:t>Purchaser’s Right in the Event of Discrepancy in Quantity: If any material discrepancy is notified to the Supplier, the Purchaser at his discretion may either:</w:t>
            </w:r>
          </w:p>
          <w:p w14:paraId="708C6F03">
            <w:pPr>
              <w:widowControl w:val="0"/>
              <w:numPr>
                <w:ilvl w:val="0"/>
                <w:numId w:val="88"/>
              </w:numPr>
              <w:tabs>
                <w:tab w:val="left" w:pos="768"/>
              </w:tabs>
              <w:spacing w:before="120" w:after="0" w:line="240" w:lineRule="auto"/>
              <w:ind w:left="768" w:right="-11" w:hanging="425"/>
              <w:jc w:val="both"/>
              <w:rPr>
                <w:color w:val="auto"/>
                <w:sz w:val="26"/>
                <w:szCs w:val="26"/>
              </w:rPr>
            </w:pPr>
            <w:r>
              <w:rPr>
                <w:color w:val="auto"/>
                <w:sz w:val="26"/>
                <w:szCs w:val="26"/>
              </w:rPr>
              <w:t>Accept the delivered portion of the Goods and require the Supplier to deliver the remaining portion forthwith; or</w:t>
            </w:r>
          </w:p>
          <w:p w14:paraId="708C6F04">
            <w:pPr>
              <w:widowControl w:val="0"/>
              <w:numPr>
                <w:ilvl w:val="0"/>
                <w:numId w:val="88"/>
              </w:numPr>
              <w:tabs>
                <w:tab w:val="left" w:pos="768"/>
              </w:tabs>
              <w:spacing w:before="120" w:after="0" w:line="240" w:lineRule="auto"/>
              <w:ind w:left="768" w:right="-11" w:hanging="425"/>
              <w:jc w:val="both"/>
              <w:rPr>
                <w:color w:val="auto"/>
                <w:sz w:val="26"/>
                <w:szCs w:val="26"/>
              </w:rPr>
            </w:pPr>
            <w:r>
              <w:rPr>
                <w:color w:val="auto"/>
                <w:sz w:val="26"/>
                <w:szCs w:val="26"/>
              </w:rPr>
              <w:t>Accept the delivered portion of the Goods and terminate the remaining portion of the Contract upon due notice given to the Supplier.</w:t>
            </w:r>
          </w:p>
          <w:p w14:paraId="708C6F05">
            <w:pPr>
              <w:widowControl w:val="0"/>
              <w:spacing w:before="120" w:line="240" w:lineRule="auto"/>
              <w:ind w:left="768"/>
              <w:jc w:val="both"/>
              <w:rPr>
                <w:color w:val="auto"/>
                <w:sz w:val="26"/>
                <w:szCs w:val="26"/>
              </w:rPr>
            </w:pPr>
            <w:r>
              <w:rPr>
                <w:color w:val="auto"/>
                <w:sz w:val="26"/>
                <w:szCs w:val="26"/>
              </w:rPr>
              <w:t>Reject the delivered portion of the Goods and recover from the Supplier all payments made to the Supplier as well as all costs, expenses all customs duties incurred by the Purchaser in association with the shipment, movement through customs, insurance or storage of the Goods.</w:t>
            </w:r>
          </w:p>
          <w:p w14:paraId="708C6F06">
            <w:pPr>
              <w:widowControl w:val="0"/>
              <w:numPr>
                <w:ilvl w:val="0"/>
                <w:numId w:val="87"/>
              </w:numPr>
              <w:spacing w:before="120" w:after="0" w:line="240" w:lineRule="auto"/>
              <w:ind w:left="343" w:hanging="343"/>
              <w:jc w:val="both"/>
              <w:rPr>
                <w:color w:val="auto"/>
                <w:sz w:val="26"/>
                <w:szCs w:val="26"/>
              </w:rPr>
            </w:pPr>
            <w:r>
              <w:rPr>
                <w:color w:val="auto"/>
                <w:sz w:val="26"/>
                <w:szCs w:val="26"/>
              </w:rPr>
              <w:t xml:space="preserve">Purchaser’s Right in the Event of Discrepancy in Quality: </w:t>
            </w:r>
          </w:p>
          <w:p w14:paraId="708C6F07">
            <w:pPr>
              <w:widowControl w:val="0"/>
              <w:numPr>
                <w:ilvl w:val="0"/>
                <w:numId w:val="89"/>
              </w:numPr>
              <w:tabs>
                <w:tab w:val="left" w:pos="768"/>
              </w:tabs>
              <w:spacing w:before="120" w:after="0" w:line="240" w:lineRule="auto"/>
              <w:ind w:left="768" w:right="-11" w:hanging="425"/>
              <w:jc w:val="both"/>
              <w:rPr>
                <w:color w:val="auto"/>
                <w:sz w:val="26"/>
                <w:szCs w:val="26"/>
              </w:rPr>
            </w:pPr>
            <w:r>
              <w:rPr>
                <w:color w:val="auto"/>
                <w:sz w:val="26"/>
                <w:szCs w:val="26"/>
              </w:rPr>
              <w:t xml:space="preserve">Discrepancies in quality shall be considered as defects and shall give rise to claim under the Warranty condition. </w:t>
            </w:r>
          </w:p>
          <w:p w14:paraId="708C6F08">
            <w:pPr>
              <w:widowControl w:val="0"/>
              <w:numPr>
                <w:ilvl w:val="0"/>
                <w:numId w:val="89"/>
              </w:numPr>
              <w:tabs>
                <w:tab w:val="left" w:pos="768"/>
              </w:tabs>
              <w:spacing w:before="120" w:after="0" w:line="240" w:lineRule="auto"/>
              <w:ind w:left="768" w:right="-11" w:hanging="425"/>
              <w:jc w:val="both"/>
              <w:rPr>
                <w:color w:val="auto"/>
                <w:sz w:val="26"/>
                <w:szCs w:val="26"/>
              </w:rPr>
            </w:pPr>
            <w:r>
              <w:rPr>
                <w:color w:val="auto"/>
                <w:sz w:val="26"/>
                <w:szCs w:val="26"/>
              </w:rPr>
              <w:t>However, a fundamental discrepancy in quality which shall be agreed by both parties shall give the Purchaser the right to refuse Delivery of the Goods in whole or in part and to recover from the Supplier all payment made for the unaccepted portion of the Goods as well as all costs, expenses and customs duties incurred by the Purchaser in association with the shipment, movement through customs, insurance or storage of the unaccepted portion of Goods. Further, a refusal to accept delivery in whole shall be considered termination of this contract and refusal to accept delivery in part shall be considered termination of that part of the Contract affected by such refusal.</w:t>
            </w:r>
          </w:p>
        </w:tc>
      </w:tr>
      <w:tr w14:paraId="708C6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08C6F0A">
            <w:pPr>
              <w:widowControl w:val="0"/>
              <w:spacing w:before="60" w:after="60" w:line="276" w:lineRule="auto"/>
              <w:ind w:left="34" w:right="34"/>
              <w:rPr>
                <w:b/>
                <w:color w:val="auto"/>
                <w:sz w:val="26"/>
                <w:szCs w:val="26"/>
              </w:rPr>
            </w:pPr>
            <w:r>
              <w:rPr>
                <w:b/>
                <w:color w:val="auto"/>
                <w:sz w:val="26"/>
                <w:szCs w:val="26"/>
              </w:rPr>
              <w:t>GCC 21.2</w:t>
            </w:r>
          </w:p>
        </w:tc>
        <w:tc>
          <w:tcPr>
            <w:tcW w:w="7867" w:type="dxa"/>
          </w:tcPr>
          <w:p w14:paraId="708C6F0B">
            <w:pPr>
              <w:widowControl w:val="0"/>
              <w:shd w:val="clear" w:color="auto" w:fill="FFFFFF"/>
              <w:tabs>
                <w:tab w:val="left" w:pos="463"/>
              </w:tabs>
              <w:spacing w:before="40" w:after="40" w:line="240" w:lineRule="auto"/>
              <w:jc w:val="both"/>
              <w:rPr>
                <w:b/>
                <w:color w:val="auto"/>
                <w:sz w:val="26"/>
                <w:szCs w:val="26"/>
              </w:rPr>
            </w:pPr>
            <w:r>
              <w:rPr>
                <w:color w:val="auto"/>
                <w:sz w:val="26"/>
                <w:szCs w:val="26"/>
              </w:rPr>
              <w:t xml:space="preserve">The inspection and testing of goods shall be carried out at: ___ </w:t>
            </w:r>
            <w:r>
              <w:rPr>
                <w:i/>
                <w:color w:val="auto"/>
                <w:sz w:val="26"/>
                <w:szCs w:val="26"/>
              </w:rPr>
              <w:t>[insert location].</w:t>
            </w:r>
          </w:p>
        </w:tc>
      </w:tr>
      <w:tr w14:paraId="708C6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08C6F0D">
            <w:pPr>
              <w:widowControl w:val="0"/>
              <w:spacing w:before="60" w:after="60" w:line="276" w:lineRule="auto"/>
              <w:ind w:left="34" w:right="34"/>
              <w:rPr>
                <w:b/>
                <w:color w:val="auto"/>
                <w:sz w:val="26"/>
                <w:szCs w:val="26"/>
              </w:rPr>
            </w:pPr>
            <w:r>
              <w:rPr>
                <w:b/>
                <w:color w:val="auto"/>
                <w:sz w:val="26"/>
                <w:szCs w:val="26"/>
              </w:rPr>
              <w:t>GCC 22</w:t>
            </w:r>
          </w:p>
        </w:tc>
        <w:tc>
          <w:tcPr>
            <w:tcW w:w="7867" w:type="dxa"/>
          </w:tcPr>
          <w:p w14:paraId="708C6F0E">
            <w:pPr>
              <w:widowControl w:val="0"/>
              <w:numPr>
                <w:ilvl w:val="3"/>
                <w:numId w:val="78"/>
              </w:numPr>
              <w:shd w:val="clear" w:color="auto" w:fill="FFFFFF"/>
              <w:spacing w:before="40" w:after="40" w:line="240" w:lineRule="auto"/>
              <w:ind w:left="0" w:hanging="1763"/>
              <w:jc w:val="both"/>
              <w:rPr>
                <w:b/>
                <w:color w:val="auto"/>
                <w:sz w:val="26"/>
                <w:szCs w:val="26"/>
              </w:rPr>
            </w:pPr>
            <w:r>
              <w:rPr>
                <w:b/>
                <w:color w:val="auto"/>
                <w:sz w:val="26"/>
                <w:szCs w:val="26"/>
              </w:rPr>
              <w:t>1. Penalties:</w:t>
            </w:r>
          </w:p>
          <w:p w14:paraId="708C6F0F">
            <w:pPr>
              <w:widowControl w:val="0"/>
              <w:shd w:val="clear" w:color="auto" w:fill="FFFFFF"/>
              <w:spacing w:before="40" w:after="40" w:line="240" w:lineRule="auto"/>
              <w:ind w:left="37"/>
              <w:jc w:val="both"/>
              <w:rPr>
                <w:color w:val="auto"/>
                <w:sz w:val="26"/>
                <w:szCs w:val="26"/>
              </w:rPr>
            </w:pPr>
            <w:r>
              <w:rPr>
                <w:color w:val="auto"/>
                <w:sz w:val="26"/>
                <w:szCs w:val="26"/>
              </w:rPr>
              <w:t xml:space="preserve">Except in cases of force majeure as prescribed in GCC 26, if </w:t>
            </w:r>
            <w:r>
              <w:rPr>
                <w:bCs/>
                <w:snapToGrid w:val="0"/>
                <w:color w:val="auto"/>
                <w:sz w:val="26"/>
                <w:szCs w:val="26"/>
              </w:rPr>
              <w:t>the delayed Goods or unperformed Services</w:t>
            </w:r>
            <w:r>
              <w:rPr>
                <w:color w:val="auto"/>
                <w:sz w:val="26"/>
                <w:szCs w:val="26"/>
              </w:rPr>
              <w:t xml:space="preserve"> has not yet been performed within the time stated in the contract, the Purchaser may deduct from the contract price a fine corresponding to: </w:t>
            </w:r>
            <w:r>
              <w:rPr>
                <w:bCs/>
                <w:snapToGrid w:val="0"/>
                <w:color w:val="auto"/>
                <w:sz w:val="26"/>
                <w:szCs w:val="26"/>
              </w:rPr>
              <w:t>0.25</w:t>
            </w:r>
            <w:r>
              <w:rPr>
                <w:color w:val="auto"/>
                <w:sz w:val="26"/>
                <w:szCs w:val="26"/>
              </w:rPr>
              <w:t xml:space="preserve">%/week (during the first 4 weeks) and 0.75% of the value of goods delayed over one week in subsequent weeks of delayed delivery until that work is done. </w:t>
            </w:r>
            <w:r>
              <w:rPr>
                <w:rStyle w:val="331"/>
                <w:rFonts w:ascii="Times New Roman" w:hAnsi="Times New Roman"/>
                <w:iCs/>
                <w:color w:val="auto"/>
              </w:rPr>
              <w:t>The maximum amount of deduction for penalty</w:t>
            </w:r>
            <w:r>
              <w:rPr>
                <w:iCs/>
                <w:color w:val="auto"/>
                <w:sz w:val="26"/>
                <w:szCs w:val="26"/>
              </w:rPr>
              <w:t xml:space="preserve"> </w:t>
            </w:r>
            <w:r>
              <w:rPr>
                <w:rStyle w:val="331"/>
                <w:rFonts w:ascii="Times New Roman" w:hAnsi="Times New Roman"/>
                <w:iCs/>
                <w:color w:val="auto"/>
              </w:rPr>
              <w:t xml:space="preserve">shall not exceed </w:t>
            </w:r>
            <w:r>
              <w:rPr>
                <w:rStyle w:val="331"/>
                <w:iCs/>
                <w:color w:val="auto"/>
              </w:rPr>
              <w:t>eight</w:t>
            </w:r>
            <w:r>
              <w:rPr>
                <w:rStyle w:val="331"/>
                <w:rFonts w:ascii="Times New Roman" w:hAnsi="Times New Roman"/>
                <w:iCs/>
                <w:color w:val="auto"/>
              </w:rPr>
              <w:t xml:space="preserve"> percent (</w:t>
            </w:r>
            <w:r>
              <w:rPr>
                <w:rStyle w:val="331"/>
                <w:iCs/>
                <w:color w:val="auto"/>
              </w:rPr>
              <w:t>08</w:t>
            </w:r>
            <w:r>
              <w:rPr>
                <w:rStyle w:val="331"/>
                <w:rFonts w:ascii="Times New Roman" w:hAnsi="Times New Roman"/>
                <w:iCs/>
                <w:color w:val="auto"/>
              </w:rPr>
              <w:t>%) of the value</w:t>
            </w:r>
            <w:r>
              <w:rPr>
                <w:iCs/>
                <w:color w:val="auto"/>
                <w:sz w:val="26"/>
                <w:szCs w:val="26"/>
              </w:rPr>
              <w:t xml:space="preserve"> </w:t>
            </w:r>
            <w:r>
              <w:rPr>
                <w:rStyle w:val="331"/>
                <w:rFonts w:ascii="Times New Roman" w:hAnsi="Times New Roman"/>
                <w:iCs/>
                <w:color w:val="auto"/>
              </w:rPr>
              <w:t>of the violated contract (the value of lated goods</w:t>
            </w:r>
            <w:r>
              <w:rPr>
                <w:iCs/>
                <w:color w:val="auto"/>
                <w:sz w:val="26"/>
                <w:szCs w:val="26"/>
              </w:rPr>
              <w:t xml:space="preserve"> </w:t>
            </w:r>
            <w:r>
              <w:rPr>
                <w:rStyle w:val="331"/>
                <w:rFonts w:ascii="Times New Roman" w:hAnsi="Times New Roman"/>
                <w:iCs/>
                <w:color w:val="auto"/>
              </w:rPr>
              <w:t>delivered or unfinished services).</w:t>
            </w:r>
            <w:r>
              <w:rPr>
                <w:bCs/>
                <w:i/>
                <w:snapToGrid w:val="0"/>
                <w:color w:val="auto"/>
                <w:sz w:val="26"/>
                <w:szCs w:val="26"/>
              </w:rPr>
              <w:t xml:space="preserve"> </w:t>
            </w:r>
            <w:r>
              <w:rPr>
                <w:color w:val="auto"/>
                <w:sz w:val="26"/>
                <w:szCs w:val="26"/>
              </w:rPr>
              <w:t>When the maximum penalty is reached, the Purchaser may consider terminating the contract according to the provisions of GCC 29.</w:t>
            </w:r>
          </w:p>
          <w:p w14:paraId="708C6F10">
            <w:pPr>
              <w:widowControl w:val="0"/>
              <w:shd w:val="clear" w:color="auto" w:fill="FFFFFF"/>
              <w:spacing w:before="40" w:after="40" w:line="240" w:lineRule="auto"/>
              <w:ind w:left="37"/>
              <w:jc w:val="both"/>
              <w:rPr>
                <w:color w:val="auto"/>
                <w:sz w:val="26"/>
                <w:szCs w:val="26"/>
              </w:rPr>
            </w:pPr>
            <w:r>
              <w:rPr>
                <w:color w:val="auto"/>
                <w:sz w:val="26"/>
                <w:szCs w:val="26"/>
              </w:rPr>
              <w:t>Time to start calculating late delivery penalty: from the 46th day beyond the effective date of the contract.</w:t>
            </w:r>
          </w:p>
          <w:p w14:paraId="708C6F11">
            <w:pPr>
              <w:widowControl w:val="0"/>
              <w:shd w:val="clear" w:color="auto" w:fill="FFFFFF"/>
              <w:spacing w:before="40" w:after="40" w:line="240" w:lineRule="auto"/>
              <w:ind w:left="37"/>
              <w:jc w:val="both"/>
              <w:rPr>
                <w:color w:val="auto"/>
                <w:sz w:val="26"/>
                <w:szCs w:val="26"/>
              </w:rPr>
            </w:pPr>
            <w:r>
              <w:rPr>
                <w:color w:val="auto"/>
                <w:sz w:val="26"/>
                <w:szCs w:val="26"/>
              </w:rPr>
              <w:t>+ Formula for calculating penalty for contract violation:</w:t>
            </w:r>
          </w:p>
          <w:p w14:paraId="708C6F12">
            <w:pPr>
              <w:widowControl w:val="0"/>
              <w:shd w:val="clear" w:color="auto" w:fill="FFFFFF"/>
              <w:spacing w:before="40" w:after="40" w:line="240" w:lineRule="auto"/>
              <w:ind w:left="37"/>
              <w:jc w:val="both"/>
              <w:rPr>
                <w:color w:val="auto"/>
                <w:sz w:val="26"/>
                <w:szCs w:val="26"/>
              </w:rPr>
            </w:pPr>
            <w:r>
              <w:rPr>
                <w:color w:val="auto"/>
                <w:sz w:val="26"/>
                <w:szCs w:val="26"/>
              </w:rPr>
              <w:t>* Within the first 4 weeks:</w:t>
            </w:r>
          </w:p>
          <w:p w14:paraId="708C6F13">
            <w:pPr>
              <w:widowControl w:val="0"/>
              <w:shd w:val="clear" w:color="auto" w:fill="FFFFFF"/>
              <w:spacing w:before="40" w:after="40" w:line="240" w:lineRule="auto"/>
              <w:ind w:left="37"/>
              <w:jc w:val="both"/>
              <w:rPr>
                <w:color w:val="auto"/>
                <w:sz w:val="26"/>
                <w:szCs w:val="26"/>
              </w:rPr>
            </w:pPr>
            <m:oMathPara>
              <m:oMath>
                <m:r>
                  <m:rPr>
                    <m:sty m:val="b"/>
                  </m:rPr>
                  <w:rPr>
                    <w:rFonts w:ascii="Cambria Math" w:hAnsi="Cambria Math"/>
                    <w:color w:val="auto"/>
                    <w:sz w:val="26"/>
                    <w:szCs w:val="26"/>
                  </w:rPr>
                  <m:t>P</m:t>
                </m:r>
                <m:r>
                  <m:rPr>
                    <m:sty m:val="p"/>
                  </m:rPr>
                  <w:rPr>
                    <w:rFonts w:ascii="Cambria Math" w:hAnsi="Cambria Math"/>
                    <w:color w:val="auto"/>
                    <w:sz w:val="26"/>
                    <w:szCs w:val="26"/>
                  </w:rPr>
                  <m:t>=</m:t>
                </m:r>
                <m:f>
                  <m:fPr>
                    <m:ctrlPr>
                      <w:rPr>
                        <w:rFonts w:ascii="Cambria Math" w:hAnsi="Cambria Math"/>
                        <w:color w:val="auto"/>
                        <w:sz w:val="26"/>
                        <w:szCs w:val="26"/>
                      </w:rPr>
                    </m:ctrlPr>
                  </m:fPr>
                  <m:num>
                    <m:r>
                      <m:rPr>
                        <m:sty m:val="b"/>
                      </m:rPr>
                      <w:rPr>
                        <w:rFonts w:ascii="Cambria Math" w:hAnsi="Cambria Math"/>
                        <w:color w:val="auto"/>
                        <w:sz w:val="26"/>
                        <w:szCs w:val="26"/>
                      </w:rPr>
                      <m:t>0</m:t>
                    </m:r>
                    <m:r>
                      <m:rPr>
                        <m:sty m:val="p"/>
                      </m:rPr>
                      <w:rPr>
                        <w:rFonts w:ascii="Cambria Math" w:hAnsi="Cambria Math"/>
                        <w:color w:val="auto"/>
                        <w:sz w:val="26"/>
                        <w:szCs w:val="26"/>
                      </w:rPr>
                      <m:t>,</m:t>
                    </m:r>
                    <m:r>
                      <m:rPr>
                        <m:sty m:val="b"/>
                      </m:rPr>
                      <w:rPr>
                        <w:rFonts w:ascii="Cambria Math" w:hAnsi="Cambria Math"/>
                        <w:color w:val="auto"/>
                        <w:sz w:val="26"/>
                        <w:szCs w:val="26"/>
                      </w:rPr>
                      <m:t>25</m:t>
                    </m:r>
                    <m:r>
                      <m:rPr>
                        <m:sty m:val="p"/>
                      </m:rPr>
                      <w:rPr>
                        <w:rFonts w:ascii="Cambria Math" w:hAnsi="Cambria Math"/>
                        <w:color w:val="auto"/>
                        <w:sz w:val="26"/>
                        <w:szCs w:val="26"/>
                      </w:rPr>
                      <m:t xml:space="preserve">% </m:t>
                    </m:r>
                    <m:r>
                      <m:rPr>
                        <m:sty m:val="b"/>
                      </m:rPr>
                      <w:rPr>
                        <w:rFonts w:ascii="Cambria Math" w:hAnsi="Cambria Math"/>
                        <w:color w:val="auto"/>
                        <w:sz w:val="26"/>
                        <w:szCs w:val="26"/>
                      </w:rPr>
                      <m:t>value of delayed goods</m:t>
                    </m:r>
                    <m:r>
                      <m:rPr>
                        <m:sty m:val="p"/>
                      </m:rPr>
                      <w:rPr>
                        <w:rFonts w:ascii="Cambria Math" w:hAnsi="Cambria Math"/>
                        <w:color w:val="auto"/>
                        <w:sz w:val="26"/>
                        <w:szCs w:val="26"/>
                      </w:rPr>
                      <m:t xml:space="preserve"> </m:t>
                    </m:r>
                    <m:r>
                      <m:rPr>
                        <m:sty m:val="b"/>
                      </m:rPr>
                      <w:rPr>
                        <w:rFonts w:ascii="Cambria Math" w:hAnsi="Cambria Math"/>
                        <w:color w:val="auto"/>
                        <w:sz w:val="26"/>
                        <w:szCs w:val="26"/>
                      </w:rPr>
                      <m:t>x</m:t>
                    </m:r>
                    <m:r>
                      <m:rPr>
                        <m:sty m:val="p"/>
                      </m:rPr>
                      <w:rPr>
                        <w:rFonts w:ascii="Cambria Math" w:hAnsi="Cambria Math"/>
                        <w:color w:val="auto"/>
                        <w:sz w:val="26"/>
                        <w:szCs w:val="26"/>
                      </w:rPr>
                      <m:t xml:space="preserve"> </m:t>
                    </m:r>
                    <m:r>
                      <m:rPr>
                        <m:sty m:val="b"/>
                      </m:rPr>
                      <w:rPr>
                        <w:rFonts w:ascii="Cambria Math" w:hAnsi="Cambria Math"/>
                        <w:color w:val="auto"/>
                        <w:sz w:val="26"/>
                        <w:szCs w:val="26"/>
                      </w:rPr>
                      <m:t>number days of late delivery</m:t>
                    </m:r>
                    <m:ctrlPr>
                      <w:rPr>
                        <w:rFonts w:ascii="Cambria Math" w:hAnsi="Cambria Math"/>
                        <w:color w:val="auto"/>
                        <w:sz w:val="26"/>
                        <w:szCs w:val="26"/>
                      </w:rPr>
                    </m:ctrlPr>
                  </m:num>
                  <m:den>
                    <m:r>
                      <m:rPr>
                        <m:sty m:val="b"/>
                      </m:rPr>
                      <w:rPr>
                        <w:rFonts w:ascii="Cambria Math" w:hAnsi="Cambria Math"/>
                        <w:color w:val="auto"/>
                        <w:sz w:val="26"/>
                        <w:szCs w:val="26"/>
                      </w:rPr>
                      <m:t>7</m:t>
                    </m:r>
                    <m:ctrlPr>
                      <w:rPr>
                        <w:rFonts w:ascii="Cambria Math" w:hAnsi="Cambria Math"/>
                        <w:color w:val="auto"/>
                        <w:sz w:val="26"/>
                        <w:szCs w:val="26"/>
                      </w:rPr>
                    </m:ctrlPr>
                  </m:den>
                </m:f>
              </m:oMath>
            </m:oMathPara>
          </w:p>
          <w:p w14:paraId="708C6F14">
            <w:pPr>
              <w:widowControl w:val="0"/>
              <w:shd w:val="clear" w:color="auto" w:fill="FFFFFF"/>
              <w:spacing w:before="40" w:after="40" w:line="240" w:lineRule="auto"/>
              <w:ind w:left="37"/>
              <w:jc w:val="both"/>
              <w:rPr>
                <w:color w:val="auto"/>
                <w:sz w:val="26"/>
                <w:szCs w:val="26"/>
              </w:rPr>
            </w:pPr>
            <w:r>
              <w:rPr>
                <w:color w:val="auto"/>
                <w:sz w:val="26"/>
                <w:szCs w:val="26"/>
              </w:rPr>
              <w:t>* In the following weeks:</w:t>
            </w:r>
          </w:p>
          <w:p w14:paraId="708C6F15">
            <w:pPr>
              <w:widowControl w:val="0"/>
              <w:shd w:val="clear" w:color="auto" w:fill="FFFFFF"/>
              <w:spacing w:before="40" w:after="40" w:line="240" w:lineRule="auto"/>
              <w:ind w:left="37"/>
              <w:jc w:val="both"/>
              <w:rPr>
                <w:color w:val="auto"/>
                <w:sz w:val="26"/>
                <w:szCs w:val="26"/>
              </w:rPr>
            </w:pPr>
            <m:oMathPara>
              <m:oMath>
                <m:r>
                  <m:rPr>
                    <m:sty m:val="b"/>
                  </m:rPr>
                  <w:rPr>
                    <w:rFonts w:ascii="Cambria Math" w:hAnsi="Cambria Math"/>
                    <w:color w:val="auto"/>
                    <w:sz w:val="26"/>
                    <w:szCs w:val="26"/>
                  </w:rPr>
                  <m:t>P</m:t>
                </m:r>
                <m:r>
                  <m:rPr>
                    <m:sty m:val="p"/>
                  </m:rPr>
                  <w:rPr>
                    <w:rFonts w:ascii="Cambria Math" w:hAnsi="Cambria Math"/>
                    <w:color w:val="auto"/>
                    <w:sz w:val="26"/>
                    <w:szCs w:val="26"/>
                  </w:rPr>
                  <m:t>=</m:t>
                </m:r>
                <m:f>
                  <m:fPr>
                    <m:ctrlPr>
                      <w:rPr>
                        <w:rFonts w:ascii="Cambria Math" w:hAnsi="Cambria Math"/>
                        <w:color w:val="auto"/>
                        <w:sz w:val="26"/>
                        <w:szCs w:val="26"/>
                      </w:rPr>
                    </m:ctrlPr>
                  </m:fPr>
                  <m:num>
                    <m:r>
                      <m:rPr>
                        <m:sty m:val="b"/>
                      </m:rPr>
                      <w:rPr>
                        <w:rFonts w:ascii="Cambria Math" w:hAnsi="Cambria Math"/>
                        <w:color w:val="auto"/>
                        <w:sz w:val="26"/>
                        <w:szCs w:val="26"/>
                      </w:rPr>
                      <m:t>0</m:t>
                    </m:r>
                    <m:r>
                      <m:rPr>
                        <m:sty m:val="p"/>
                      </m:rPr>
                      <w:rPr>
                        <w:rFonts w:ascii="Cambria Math" w:hAnsi="Cambria Math"/>
                        <w:color w:val="auto"/>
                        <w:sz w:val="26"/>
                        <w:szCs w:val="26"/>
                      </w:rPr>
                      <m:t>,</m:t>
                    </m:r>
                    <m:r>
                      <m:rPr>
                        <m:sty m:val="b"/>
                      </m:rPr>
                      <w:rPr>
                        <w:rFonts w:ascii="Cambria Math" w:hAnsi="Cambria Math"/>
                        <w:color w:val="auto"/>
                        <w:sz w:val="26"/>
                        <w:szCs w:val="26"/>
                      </w:rPr>
                      <m:t>75</m:t>
                    </m:r>
                    <m:r>
                      <m:rPr>
                        <m:sty m:val="p"/>
                      </m:rPr>
                      <w:rPr>
                        <w:rFonts w:ascii="Cambria Math" w:hAnsi="Cambria Math"/>
                        <w:color w:val="auto"/>
                        <w:sz w:val="26"/>
                        <w:szCs w:val="26"/>
                      </w:rPr>
                      <m:t xml:space="preserve">% </m:t>
                    </m:r>
                    <m:r>
                      <m:rPr>
                        <m:sty m:val="b"/>
                      </m:rPr>
                      <w:rPr>
                        <w:rFonts w:ascii="Cambria Math" w:hAnsi="Cambria Math"/>
                        <w:color w:val="auto"/>
                        <w:sz w:val="26"/>
                        <w:szCs w:val="26"/>
                      </w:rPr>
                      <m:t>value of delayed goods</m:t>
                    </m:r>
                    <m:r>
                      <m:rPr>
                        <m:sty m:val="p"/>
                      </m:rPr>
                      <w:rPr>
                        <w:rFonts w:ascii="Cambria Math" w:hAnsi="Cambria Math"/>
                        <w:color w:val="auto"/>
                        <w:sz w:val="26"/>
                        <w:szCs w:val="26"/>
                      </w:rPr>
                      <m:t xml:space="preserve"> </m:t>
                    </m:r>
                    <m:r>
                      <m:rPr>
                        <m:sty m:val="b"/>
                      </m:rPr>
                      <w:rPr>
                        <w:rFonts w:ascii="Cambria Math" w:hAnsi="Cambria Math"/>
                        <w:color w:val="auto"/>
                        <w:sz w:val="26"/>
                        <w:szCs w:val="26"/>
                      </w:rPr>
                      <m:t>x</m:t>
                    </m:r>
                    <m:r>
                      <m:rPr>
                        <m:sty m:val="p"/>
                      </m:rPr>
                      <w:rPr>
                        <w:rFonts w:ascii="Cambria Math" w:hAnsi="Cambria Math"/>
                        <w:color w:val="auto"/>
                        <w:sz w:val="26"/>
                        <w:szCs w:val="26"/>
                      </w:rPr>
                      <m:t xml:space="preserve"> </m:t>
                    </m:r>
                    <m:r>
                      <m:rPr>
                        <m:sty m:val="b"/>
                      </m:rPr>
                      <w:rPr>
                        <w:rFonts w:ascii="Cambria Math" w:hAnsi="Cambria Math"/>
                        <w:color w:val="auto"/>
                        <w:sz w:val="26"/>
                        <w:szCs w:val="26"/>
                      </w:rPr>
                      <m:t>number days of late delivery</m:t>
                    </m:r>
                    <m:ctrlPr>
                      <w:rPr>
                        <w:rFonts w:ascii="Cambria Math" w:hAnsi="Cambria Math"/>
                        <w:color w:val="auto"/>
                        <w:sz w:val="26"/>
                        <w:szCs w:val="26"/>
                      </w:rPr>
                    </m:ctrlPr>
                  </m:num>
                  <m:den>
                    <m:r>
                      <m:rPr>
                        <m:sty m:val="b"/>
                      </m:rPr>
                      <w:rPr>
                        <w:rFonts w:ascii="Cambria Math" w:hAnsi="Cambria Math"/>
                        <w:color w:val="auto"/>
                        <w:sz w:val="26"/>
                        <w:szCs w:val="26"/>
                      </w:rPr>
                      <m:t>7</m:t>
                    </m:r>
                    <m:ctrlPr>
                      <w:rPr>
                        <w:rFonts w:ascii="Cambria Math" w:hAnsi="Cambria Math"/>
                        <w:color w:val="auto"/>
                        <w:sz w:val="26"/>
                        <w:szCs w:val="26"/>
                      </w:rPr>
                    </m:ctrlPr>
                  </m:den>
                </m:f>
              </m:oMath>
            </m:oMathPara>
          </w:p>
          <w:p w14:paraId="708C6F16">
            <w:pPr>
              <w:widowControl w:val="0"/>
              <w:shd w:val="clear" w:color="auto" w:fill="FFFFFF"/>
              <w:spacing w:before="40" w:after="40" w:line="240" w:lineRule="auto"/>
              <w:jc w:val="both"/>
              <w:rPr>
                <w:color w:val="auto"/>
                <w:sz w:val="26"/>
                <w:szCs w:val="26"/>
                <w:shd w:val="clear" w:color="auto" w:fill="FFFFFF"/>
              </w:rPr>
            </w:pPr>
            <w:r>
              <w:rPr>
                <w:b/>
                <w:color w:val="auto"/>
                <w:sz w:val="26"/>
                <w:szCs w:val="26"/>
              </w:rPr>
              <w:t xml:space="preserve">2. Liquidated damages: </w:t>
            </w:r>
            <w:r>
              <w:rPr>
                <w:color w:val="auto"/>
                <w:sz w:val="26"/>
                <w:szCs w:val="26"/>
                <w:shd w:val="clear" w:color="auto" w:fill="FFFFFF"/>
              </w:rPr>
              <w:t xml:space="preserve">In addition to the penalty as agreed above, the </w:t>
            </w:r>
            <w:r>
              <w:rPr>
                <w:color w:val="auto"/>
                <w:sz w:val="26"/>
                <w:szCs w:val="26"/>
              </w:rPr>
              <w:t>Supplier</w:t>
            </w:r>
            <w:r>
              <w:rPr>
                <w:color w:val="auto"/>
                <w:sz w:val="26"/>
                <w:szCs w:val="26"/>
                <w:shd w:val="clear" w:color="auto" w:fill="FFFFFF"/>
              </w:rPr>
              <w:t xml:space="preserve"> must also compensate for (all direct and indirect) damages to Purchasers and third parties (if any) in case of errors and violations of </w:t>
            </w:r>
            <w:r>
              <w:rPr>
                <w:color w:val="auto"/>
                <w:sz w:val="26"/>
                <w:szCs w:val="26"/>
              </w:rPr>
              <w:t>Supplier</w:t>
            </w:r>
            <w:r>
              <w:rPr>
                <w:color w:val="auto"/>
                <w:sz w:val="26"/>
                <w:szCs w:val="26"/>
                <w:shd w:val="clear" w:color="auto" w:fill="FFFFFF"/>
              </w:rPr>
              <w:t xml:space="preserve"> leading to damage to the owner, private and third party (if any) during contract performance, warranty. Compensation on the basis of the actual total damage.</w:t>
            </w:r>
          </w:p>
          <w:p w14:paraId="708C6F17">
            <w:pPr>
              <w:widowControl w:val="0"/>
              <w:shd w:val="clear" w:color="auto" w:fill="FFFFFF"/>
              <w:spacing w:before="40" w:after="40" w:line="240" w:lineRule="auto"/>
              <w:jc w:val="both"/>
              <w:rPr>
                <w:color w:val="auto"/>
                <w:sz w:val="26"/>
                <w:szCs w:val="26"/>
                <w:shd w:val="clear" w:color="auto" w:fill="FFFFFF"/>
              </w:rPr>
            </w:pPr>
            <w:r>
              <w:rPr>
                <w:color w:val="auto"/>
                <w:sz w:val="26"/>
                <w:szCs w:val="26"/>
              </w:rPr>
              <w:t>Supplier</w:t>
            </w:r>
            <w:r>
              <w:rPr>
                <w:color w:val="auto"/>
                <w:sz w:val="26"/>
                <w:szCs w:val="26"/>
                <w:shd w:val="clear" w:color="auto" w:fill="FFFFFF"/>
              </w:rPr>
              <w:t xml:space="preserve">s who have been applied Penalties/liquidated damages will be evaluated according to the results of the latest annual/periodical </w:t>
            </w:r>
            <w:r>
              <w:rPr>
                <w:color w:val="auto"/>
                <w:sz w:val="26"/>
                <w:szCs w:val="26"/>
              </w:rPr>
              <w:t>Supplier</w:t>
            </w:r>
            <w:r>
              <w:rPr>
                <w:color w:val="auto"/>
                <w:sz w:val="26"/>
                <w:szCs w:val="26"/>
                <w:shd w:val="clear" w:color="auto" w:fill="FFFFFF"/>
              </w:rPr>
              <w:t xml:space="preserve">s' quality evaluation approved by Vietnam Electricity compared to the time of organizing the selection of </w:t>
            </w:r>
            <w:r>
              <w:rPr>
                <w:color w:val="auto"/>
                <w:sz w:val="26"/>
                <w:szCs w:val="26"/>
              </w:rPr>
              <w:t>Supplier</w:t>
            </w:r>
            <w:r>
              <w:rPr>
                <w:color w:val="auto"/>
                <w:sz w:val="26"/>
                <w:szCs w:val="26"/>
                <w:shd w:val="clear" w:color="auto" w:fill="FFFFFF"/>
              </w:rPr>
              <w:t>s.</w:t>
            </w:r>
          </w:p>
        </w:tc>
      </w:tr>
      <w:tr w14:paraId="708C6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08C6F19">
            <w:pPr>
              <w:widowControl w:val="0"/>
              <w:spacing w:before="60" w:after="60" w:line="276" w:lineRule="auto"/>
              <w:ind w:left="34" w:right="34"/>
              <w:rPr>
                <w:b/>
                <w:color w:val="auto"/>
                <w:sz w:val="26"/>
                <w:szCs w:val="26"/>
              </w:rPr>
            </w:pPr>
            <w:r>
              <w:rPr>
                <w:b/>
                <w:color w:val="auto"/>
                <w:sz w:val="26"/>
                <w:szCs w:val="26"/>
              </w:rPr>
              <w:t>GCC 23.3, 23.5, 23.6</w:t>
            </w:r>
          </w:p>
        </w:tc>
        <w:tc>
          <w:tcPr>
            <w:tcW w:w="7867" w:type="dxa"/>
          </w:tcPr>
          <w:p w14:paraId="708C6F1A">
            <w:pPr>
              <w:widowControl w:val="0"/>
              <w:shd w:val="clear" w:color="auto" w:fill="FFFFFF"/>
              <w:tabs>
                <w:tab w:val="left" w:pos="450"/>
              </w:tabs>
              <w:spacing w:before="40" w:after="40" w:line="240" w:lineRule="auto"/>
              <w:jc w:val="both"/>
              <w:rPr>
                <w:color w:val="auto"/>
                <w:sz w:val="26"/>
                <w:szCs w:val="26"/>
              </w:rPr>
            </w:pPr>
            <w:r>
              <w:rPr>
                <w:color w:val="auto"/>
                <w:sz w:val="26"/>
                <w:szCs w:val="26"/>
              </w:rPr>
              <w:t>Requirements of Warranty:</w:t>
            </w:r>
          </w:p>
          <w:p w14:paraId="708C6F1B">
            <w:pPr>
              <w:widowControl w:val="0"/>
              <w:shd w:val="clear" w:color="auto" w:fill="FFFFFF"/>
              <w:spacing w:before="40" w:after="40" w:line="240" w:lineRule="auto"/>
              <w:jc w:val="both"/>
              <w:rPr>
                <w:color w:val="auto"/>
                <w:sz w:val="26"/>
                <w:szCs w:val="26"/>
              </w:rPr>
            </w:pPr>
            <w:r>
              <w:rPr>
                <w:color w:val="auto"/>
                <w:sz w:val="26"/>
                <w:szCs w:val="26"/>
              </w:rPr>
              <w:t>In order to carry out such provision, after the goods are delivered and accepted, the value of the Performance Security shall be reduced to 5% of the contract or the Performance Security shall be released upon submission of a Warranty Certificate.</w:t>
            </w:r>
          </w:p>
          <w:p w14:paraId="708C6F1C">
            <w:pPr>
              <w:widowControl w:val="0"/>
              <w:shd w:val="clear" w:color="auto" w:fill="FFFFFF"/>
              <w:spacing w:before="40" w:after="40" w:line="240" w:lineRule="auto"/>
              <w:jc w:val="both"/>
              <w:rPr>
                <w:color w:val="auto"/>
                <w:sz w:val="26"/>
                <w:szCs w:val="26"/>
              </w:rPr>
            </w:pPr>
            <w:r>
              <w:rPr>
                <w:color w:val="auto"/>
                <w:sz w:val="26"/>
                <w:szCs w:val="26"/>
              </w:rPr>
              <w:t>The Warranty Security shall be issued upon the goods are delivered and comes into effect when issuance</w:t>
            </w:r>
          </w:p>
          <w:p w14:paraId="708C6F1D">
            <w:pPr>
              <w:widowControl w:val="0"/>
              <w:spacing w:before="40" w:after="40" w:line="240" w:lineRule="auto"/>
              <w:jc w:val="both"/>
              <w:rPr>
                <w:color w:val="auto"/>
                <w:sz w:val="26"/>
                <w:szCs w:val="26"/>
              </w:rPr>
            </w:pPr>
            <w:r>
              <w:rPr>
                <w:color w:val="auto"/>
                <w:sz w:val="26"/>
                <w:szCs w:val="26"/>
              </w:rPr>
              <w:t>The warranty security shall be an unconditional, irrevocable guarantee and shall be issued by the credit institution or foreign bank branch established under Vietnamese law in the form acceptable to the Purchaser. This warranty security will be released thirty (30) days after its expiry date and the Supplier has fulfilled its warranty obligations and repaired defects as required.</w:t>
            </w:r>
          </w:p>
          <w:p w14:paraId="708C6F1E">
            <w:pPr>
              <w:shd w:val="clear" w:color="auto" w:fill="FFFFFF"/>
              <w:spacing w:before="40" w:after="40" w:line="240" w:lineRule="auto"/>
              <w:jc w:val="both"/>
              <w:rPr>
                <w:color w:val="auto"/>
                <w:sz w:val="26"/>
                <w:szCs w:val="26"/>
              </w:rPr>
            </w:pPr>
            <w:r>
              <w:rPr>
                <w:color w:val="auto"/>
                <w:sz w:val="26"/>
                <w:szCs w:val="26"/>
                <w:lang w:val="vi-VN"/>
              </w:rPr>
              <w:t>The warranty period shall be 24 months after the works put into operation or 3</w:t>
            </w:r>
            <w:r>
              <w:rPr>
                <w:color w:val="auto"/>
                <w:sz w:val="26"/>
                <w:szCs w:val="26"/>
              </w:rPr>
              <w:t>6</w:t>
            </w:r>
            <w:r>
              <w:rPr>
                <w:color w:val="auto"/>
                <w:sz w:val="26"/>
                <w:szCs w:val="26"/>
                <w:lang w:val="vi-VN"/>
              </w:rPr>
              <w:t xml:space="preserve"> months from the </w:t>
            </w:r>
            <w:r>
              <w:rPr>
                <w:color w:val="auto"/>
                <w:sz w:val="26"/>
                <w:szCs w:val="26"/>
              </w:rPr>
              <w:t xml:space="preserve">last </w:t>
            </w:r>
            <w:r>
              <w:rPr>
                <w:color w:val="auto"/>
                <w:sz w:val="26"/>
                <w:szCs w:val="26"/>
                <w:lang w:val="vi-VN"/>
              </w:rPr>
              <w:t>time of delivery, whichever concludes earlier.</w:t>
            </w:r>
          </w:p>
          <w:p w14:paraId="708C6F1F">
            <w:pPr>
              <w:widowControl w:val="0"/>
              <w:spacing w:before="40" w:after="40" w:line="240" w:lineRule="auto"/>
              <w:jc w:val="both"/>
              <w:rPr>
                <w:color w:val="auto"/>
                <w:sz w:val="26"/>
                <w:szCs w:val="26"/>
              </w:rPr>
            </w:pPr>
            <w:r>
              <w:rPr>
                <w:color w:val="auto"/>
                <w:sz w:val="26"/>
                <w:szCs w:val="26"/>
              </w:rPr>
              <w:t>The validity of the Warranty Security is the Warranty period of goods plus 30 days.</w:t>
            </w:r>
          </w:p>
          <w:p w14:paraId="708C6F20">
            <w:pPr>
              <w:widowControl w:val="0"/>
              <w:spacing w:before="40" w:after="40" w:line="240" w:lineRule="auto"/>
              <w:jc w:val="both"/>
              <w:rPr>
                <w:color w:val="auto"/>
                <w:sz w:val="26"/>
                <w:szCs w:val="26"/>
              </w:rPr>
            </w:pPr>
            <w:r>
              <w:rPr>
                <w:color w:val="auto"/>
                <w:sz w:val="26"/>
                <w:szCs w:val="26"/>
              </w:rPr>
              <w:t>After the warranty period, the Supplier and the manufacturers must have the responsibility to guide, co-ordinate and assist the Purchaser in the operation, maintenance, repair and handling of problems and other situations involving supplied equipment and materials. The co-operation of Suppliers and manufacturers will be considered by Purchaser in evaluated process for the future bidding packages.</w:t>
            </w:r>
          </w:p>
          <w:p w14:paraId="708C6F21">
            <w:pPr>
              <w:widowControl w:val="0"/>
              <w:shd w:val="clear" w:color="auto" w:fill="FFFFFF"/>
              <w:spacing w:before="40" w:after="40" w:line="240" w:lineRule="auto"/>
              <w:ind w:left="34"/>
              <w:jc w:val="both"/>
              <w:rPr>
                <w:color w:val="auto"/>
                <w:sz w:val="26"/>
                <w:szCs w:val="26"/>
              </w:rPr>
            </w:pPr>
            <w:r>
              <w:rPr>
                <w:color w:val="auto"/>
                <w:sz w:val="26"/>
                <w:szCs w:val="26"/>
              </w:rPr>
              <w:t xml:space="preserve">The Supplier shall be at liberty to repair, modify and replace any equipment or part thereof recognized as defective, within the shortest time and its own expense including local transportation, inclusive of parts and labor. Before carrying out the repair, the Supplier must send the plan and cause for the Purchaser to coordinate in implementation). In case of exceeding the prescribed time as required, the Supplier intentionally delays the repair, the Purchaser has the right to hire other organizations to perform and the Supplier must bear all these related costs. </w:t>
            </w:r>
          </w:p>
          <w:p w14:paraId="708C6F22">
            <w:pPr>
              <w:widowControl w:val="0"/>
              <w:spacing w:before="40" w:after="40" w:line="240" w:lineRule="auto"/>
              <w:jc w:val="both"/>
              <w:rPr>
                <w:color w:val="auto"/>
                <w:sz w:val="26"/>
                <w:szCs w:val="26"/>
              </w:rPr>
            </w:pPr>
            <w:r>
              <w:rPr>
                <w:color w:val="auto"/>
                <w:sz w:val="26"/>
                <w:szCs w:val="26"/>
              </w:rPr>
              <w:t>Replaced or repaired components/equipment shall have at least 24 months</w:t>
            </w:r>
            <w:r>
              <w:rPr>
                <w:b/>
                <w:bCs/>
                <w:i/>
                <w:iCs/>
                <w:color w:val="auto"/>
                <w:sz w:val="26"/>
                <w:szCs w:val="26"/>
              </w:rPr>
              <w:t xml:space="preserve"> </w:t>
            </w:r>
            <w:r>
              <w:rPr>
                <w:color w:val="auto"/>
                <w:sz w:val="26"/>
                <w:szCs w:val="26"/>
              </w:rPr>
              <w:t>warranty from replacement or repair date.</w:t>
            </w:r>
          </w:p>
          <w:p w14:paraId="708C6F23">
            <w:pPr>
              <w:widowControl w:val="0"/>
              <w:spacing w:before="40" w:after="40" w:line="240" w:lineRule="auto"/>
              <w:jc w:val="both"/>
              <w:rPr>
                <w:color w:val="auto"/>
                <w:sz w:val="26"/>
                <w:szCs w:val="26"/>
              </w:rPr>
            </w:pPr>
            <w:r>
              <w:rPr>
                <w:color w:val="auto"/>
                <w:sz w:val="26"/>
                <w:szCs w:val="26"/>
              </w:rPr>
              <w:t>The time for remedying the defects:</w:t>
            </w:r>
          </w:p>
          <w:p w14:paraId="708C6F24">
            <w:pPr>
              <w:widowControl w:val="0"/>
              <w:spacing w:before="40" w:after="40" w:line="240" w:lineRule="auto"/>
              <w:jc w:val="both"/>
              <w:rPr>
                <w:color w:val="auto"/>
                <w:sz w:val="26"/>
                <w:szCs w:val="26"/>
              </w:rPr>
            </w:pPr>
            <w:r>
              <w:rPr>
                <w:color w:val="auto"/>
                <w:sz w:val="26"/>
                <w:szCs w:val="26"/>
              </w:rPr>
              <w:t>+ For materials: The time for replacement or repair is at the maximum 45 days from receiving of the Purchaser letter.</w:t>
            </w:r>
          </w:p>
          <w:p w14:paraId="708C6F25">
            <w:pPr>
              <w:widowControl w:val="0"/>
              <w:spacing w:before="40" w:after="40" w:line="240" w:lineRule="auto"/>
              <w:jc w:val="both"/>
              <w:rPr>
                <w:color w:val="auto"/>
                <w:sz w:val="26"/>
                <w:szCs w:val="26"/>
              </w:rPr>
            </w:pPr>
            <w:r>
              <w:rPr>
                <w:color w:val="auto"/>
                <w:sz w:val="26"/>
                <w:szCs w:val="26"/>
              </w:rPr>
              <w:t xml:space="preserve">+ For the main equipment: </w:t>
            </w:r>
            <w:r>
              <w:rPr>
                <w:snapToGrid w:val="0"/>
                <w:color w:val="auto"/>
                <w:sz w:val="26"/>
                <w:szCs w:val="26"/>
              </w:rPr>
              <w:t xml:space="preserve">Shunt reactor: </w:t>
            </w:r>
            <w:r>
              <w:rPr>
                <w:color w:val="auto"/>
                <w:sz w:val="26"/>
                <w:szCs w:val="26"/>
              </w:rPr>
              <w:t xml:space="preserve">In case of goods that can be remedied at the site: The time for replacement or repair is 45 days from receiving of the Purchaser letter. In case of goods that cannot be remedied at the site: the two parties shall discuss and agree on the time for remedying but not later than 150 days from receiving of the Purchaser letter. </w:t>
            </w:r>
          </w:p>
          <w:p w14:paraId="708C6F26">
            <w:pPr>
              <w:pStyle w:val="319"/>
              <w:shd w:val="clear" w:color="auto" w:fill="FFFFFF"/>
              <w:spacing w:before="40" w:after="40"/>
              <w:jc w:val="both"/>
              <w:rPr>
                <w:rFonts w:ascii="Times New Roman" w:hAnsi="Times New Roman"/>
                <w:color w:val="auto"/>
                <w:sz w:val="26"/>
                <w:szCs w:val="26"/>
                <w:lang w:val="en-US"/>
              </w:rPr>
            </w:pPr>
            <w:r>
              <w:rPr>
                <w:rFonts w:ascii="Times New Roman" w:hAnsi="Times New Roman"/>
                <w:color w:val="auto"/>
                <w:sz w:val="26"/>
                <w:szCs w:val="26"/>
                <w:lang w:val="en-US"/>
              </w:rPr>
              <w:t>Just before the end of the warranty period, the Supplier will coordinate with the operation management company to get their confirmation that this is no pending problems for the supplied equipment and materials in order to implement the procedure to confirm the finalization of the warranty period.</w:t>
            </w:r>
          </w:p>
          <w:p w14:paraId="708C6F27">
            <w:pPr>
              <w:pStyle w:val="319"/>
              <w:shd w:val="clear" w:color="auto" w:fill="FFFFFF"/>
              <w:spacing w:before="40" w:after="40"/>
              <w:jc w:val="both"/>
              <w:rPr>
                <w:rFonts w:ascii="Times New Roman" w:hAnsi="Times New Roman"/>
                <w:color w:val="auto"/>
                <w:sz w:val="26"/>
                <w:szCs w:val="26"/>
                <w:lang w:val="en-US"/>
              </w:rPr>
            </w:pPr>
            <w:r>
              <w:rPr>
                <w:rFonts w:ascii="Times New Roman" w:hAnsi="Times New Roman"/>
                <w:color w:val="auto"/>
                <w:sz w:val="26"/>
                <w:szCs w:val="26"/>
                <w:lang w:val="en-US"/>
              </w:rPr>
              <w:t>In case the Purchaser or operation management company does not accept based on valid contractual reasons that the Supplier has completed the warranty for supplied equipment and materials, then the Purchaser will have to work with the Supplier to agree about solutions and timing to finalize pending problems. The Supplier will have to extend the Warranty Security as per completion time agreed by the two parties to solve the pending problems.</w:t>
            </w:r>
          </w:p>
          <w:p w14:paraId="708C6F28">
            <w:pPr>
              <w:pStyle w:val="319"/>
              <w:shd w:val="clear" w:color="auto" w:fill="FFFFFF"/>
              <w:spacing w:before="40" w:after="40"/>
              <w:jc w:val="both"/>
              <w:rPr>
                <w:rFonts w:ascii="Times New Roman" w:hAnsi="Times New Roman"/>
                <w:color w:val="auto"/>
                <w:sz w:val="26"/>
                <w:szCs w:val="26"/>
                <w:lang w:val="en-US"/>
              </w:rPr>
            </w:pPr>
            <w:r>
              <w:rPr>
                <w:rFonts w:ascii="Times New Roman" w:hAnsi="Times New Roman"/>
                <w:color w:val="auto"/>
                <w:sz w:val="26"/>
                <w:szCs w:val="26"/>
                <w:lang w:val="en-US"/>
              </w:rPr>
              <w:t>Within 30 days before the expiry date of the warranty security, if the Supplier has not completely rectified the above mentioned outstanding, the Supplier must extend the warranty security period with the full value and time agreed by two parties to remedy the outstanding and submit to Purchaser at least 21 days before the expiration of the warranty Security. In the event that 21 days before the expiry date of the warranty Security, the Supplier does not extend the warranty security validity, the Purchaser has the right to confiscate the warranty security.</w:t>
            </w:r>
          </w:p>
          <w:p w14:paraId="708C6F29">
            <w:pPr>
              <w:widowControl w:val="0"/>
              <w:shd w:val="clear" w:color="auto" w:fill="FFFFFF"/>
              <w:spacing w:before="40" w:after="40" w:line="240" w:lineRule="auto"/>
              <w:jc w:val="both"/>
              <w:rPr>
                <w:color w:val="auto"/>
                <w:sz w:val="26"/>
                <w:szCs w:val="26"/>
              </w:rPr>
            </w:pPr>
            <w:r>
              <w:rPr>
                <w:color w:val="auto"/>
                <w:sz w:val="26"/>
                <w:szCs w:val="26"/>
              </w:rPr>
              <w:t>After the problems are resolved, the Supplier will again perform procedures required to confirm the finalization of the warranty period. The Purchaser will right after release the Warranty Security to the Supplier.</w:t>
            </w:r>
          </w:p>
          <w:p w14:paraId="708C6F2A">
            <w:pPr>
              <w:widowControl w:val="0"/>
              <w:shd w:val="clear" w:color="auto" w:fill="FFFFFF"/>
              <w:spacing w:before="40" w:after="40" w:line="240" w:lineRule="auto"/>
              <w:jc w:val="both"/>
              <w:rPr>
                <w:color w:val="auto"/>
                <w:sz w:val="26"/>
                <w:szCs w:val="26"/>
              </w:rPr>
            </w:pPr>
            <w:r>
              <w:rPr>
                <w:color w:val="auto"/>
                <w:sz w:val="26"/>
                <w:szCs w:val="26"/>
              </w:rPr>
              <w:t xml:space="preserve">The </w:t>
            </w:r>
            <w:r>
              <w:rPr>
                <w:bCs/>
                <w:snapToGrid w:val="0"/>
                <w:color w:val="auto"/>
                <w:sz w:val="26"/>
                <w:szCs w:val="26"/>
              </w:rPr>
              <w:t>Supplier</w:t>
            </w:r>
            <w:r>
              <w:rPr>
                <w:color w:val="auto"/>
                <w:sz w:val="26"/>
                <w:szCs w:val="26"/>
              </w:rPr>
              <w:t xml:space="preserve"> undertakes that the </w:t>
            </w:r>
            <w:r>
              <w:rPr>
                <w:bCs/>
                <w:snapToGrid w:val="0"/>
                <w:color w:val="auto"/>
                <w:sz w:val="26"/>
                <w:szCs w:val="26"/>
              </w:rPr>
              <w:t>Supplier</w:t>
            </w:r>
            <w:r>
              <w:rPr>
                <w:color w:val="auto"/>
                <w:sz w:val="26"/>
                <w:szCs w:val="26"/>
              </w:rPr>
              <w:t xml:space="preserve"> and the Main Equipment Manufacturer participating in the supply of materials and equipment in this Contract will not impose any constraints or limitations on the provision of technical consulting services, supply spare/replacement materials and equipment after the contract's warranty period. This commitment includes, but is not limited to, regulations that impede the Purchaser's access to the above-mentioned services and equipment in order to improve the operational reliability of the equipment/system.</w:t>
            </w:r>
          </w:p>
          <w:p w14:paraId="708C6F2B">
            <w:pPr>
              <w:widowControl w:val="0"/>
              <w:shd w:val="clear" w:color="auto" w:fill="FFFFFF"/>
              <w:spacing w:before="40" w:after="40" w:line="240" w:lineRule="auto"/>
              <w:jc w:val="both"/>
              <w:rPr>
                <w:color w:val="auto"/>
                <w:sz w:val="26"/>
                <w:szCs w:val="26"/>
              </w:rPr>
            </w:pPr>
            <w:r>
              <w:rPr>
                <w:color w:val="auto"/>
                <w:sz w:val="26"/>
                <w:szCs w:val="26"/>
              </w:rPr>
              <w:t>In case of repair or replacement of the Goods, the respective warranty period of such goods and equipment will be extended for an appropriate period specified in the Technical Requirements and Scope of Supply and Actual contract Schedule since the date on which such repair and replacement is accepted by Purchaser.</w:t>
            </w:r>
          </w:p>
          <w:p w14:paraId="708C6F2C">
            <w:pPr>
              <w:widowControl w:val="0"/>
              <w:shd w:val="clear" w:color="auto" w:fill="FFFFFF"/>
              <w:spacing w:before="40" w:after="40" w:line="240" w:lineRule="auto"/>
              <w:jc w:val="both"/>
              <w:rPr>
                <w:color w:val="auto"/>
                <w:sz w:val="26"/>
                <w:szCs w:val="26"/>
              </w:rPr>
            </w:pPr>
            <w:r>
              <w:rPr>
                <w:color w:val="auto"/>
                <w:sz w:val="26"/>
                <w:szCs w:val="26"/>
              </w:rPr>
              <w:t>If technical errors or damages occur during the warranty period and the cause is determined to be Supplier's fault, the Supplier is fully responsible for handling timely repair and replacement according to the Purchaser’s schedule requirement; and these incurred costs shall be born by Supplier. Before carrying out the repair, Supplier must send the plan and cause for Purchaser to coordinate in implementation. In case, beyond the stipulated time as required, Supplier intentionally delays the repair, then Purchaser has the right to hire other organizations to perform this task and Supplier must bear all these related costs.</w:t>
            </w:r>
          </w:p>
          <w:p w14:paraId="708C6F2D">
            <w:pPr>
              <w:widowControl w:val="0"/>
              <w:shd w:val="clear" w:color="auto" w:fill="FFFFFF"/>
              <w:tabs>
                <w:tab w:val="left" w:pos="463"/>
              </w:tabs>
              <w:spacing w:before="40" w:after="40" w:line="240" w:lineRule="auto"/>
              <w:jc w:val="both"/>
              <w:rPr>
                <w:b/>
                <w:color w:val="auto"/>
                <w:sz w:val="26"/>
                <w:szCs w:val="26"/>
              </w:rPr>
            </w:pPr>
            <w:r>
              <w:rPr>
                <w:color w:val="auto"/>
                <w:sz w:val="26"/>
                <w:szCs w:val="26"/>
              </w:rPr>
              <w:t>The Supplier/Manufacturer must deal with defects and damage of equipment due to manufacturer's fault after the warranty expires. If the Supplier does not promptly correct or repair the defect or damage of equipment, the Purchaser has the right to suspend the purchase of that equipment.</w:t>
            </w:r>
          </w:p>
        </w:tc>
      </w:tr>
      <w:tr w14:paraId="708C6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08C6F2F">
            <w:pPr>
              <w:widowControl w:val="0"/>
              <w:spacing w:before="60" w:after="60" w:line="276" w:lineRule="auto"/>
              <w:ind w:left="34" w:right="34"/>
              <w:rPr>
                <w:b/>
                <w:color w:val="auto"/>
                <w:sz w:val="26"/>
                <w:szCs w:val="26"/>
              </w:rPr>
            </w:pPr>
            <w:r>
              <w:rPr>
                <w:b/>
                <w:color w:val="auto"/>
                <w:sz w:val="26"/>
                <w:szCs w:val="26"/>
              </w:rPr>
              <w:t>GCC 26</w:t>
            </w:r>
          </w:p>
        </w:tc>
        <w:tc>
          <w:tcPr>
            <w:tcW w:w="7867" w:type="dxa"/>
          </w:tcPr>
          <w:p w14:paraId="708C6F30">
            <w:pPr>
              <w:widowControl w:val="0"/>
              <w:shd w:val="clear" w:color="auto" w:fill="FFFFFF"/>
              <w:spacing w:before="40" w:after="40" w:line="240" w:lineRule="auto"/>
              <w:jc w:val="both"/>
              <w:rPr>
                <w:color w:val="auto"/>
                <w:sz w:val="26"/>
                <w:szCs w:val="26"/>
              </w:rPr>
            </w:pPr>
            <w:r>
              <w:rPr>
                <w:color w:val="auto"/>
                <w:sz w:val="26"/>
                <w:szCs w:val="26"/>
              </w:rPr>
              <w:t xml:space="preserve">“Force Majeure” means an unusual event or circumstances.  </w:t>
            </w:r>
            <w:r>
              <w:rPr>
                <w:color w:val="auto"/>
                <w:sz w:val="26"/>
                <w:szCs w:val="26"/>
              </w:rPr>
              <w:br w:type="textWrapping"/>
            </w:r>
            <w:r>
              <w:rPr>
                <w:color w:val="auto"/>
                <w:sz w:val="26"/>
                <w:szCs w:val="26"/>
              </w:rPr>
              <w:t>a) Out of control of one Party;</w:t>
            </w:r>
          </w:p>
          <w:p w14:paraId="708C6F31">
            <w:pPr>
              <w:widowControl w:val="0"/>
              <w:shd w:val="clear" w:color="auto" w:fill="FFFFFF"/>
              <w:spacing w:before="40" w:after="40" w:line="240" w:lineRule="auto"/>
              <w:jc w:val="both"/>
              <w:rPr>
                <w:color w:val="auto"/>
                <w:sz w:val="26"/>
                <w:szCs w:val="26"/>
              </w:rPr>
            </w:pPr>
            <w:r>
              <w:rPr>
                <w:color w:val="auto"/>
                <w:sz w:val="26"/>
                <w:szCs w:val="26"/>
              </w:rPr>
              <w:t xml:space="preserve">b) The Party could not make a reasonable provision before signing into the contract. </w:t>
            </w:r>
          </w:p>
          <w:p w14:paraId="708C6F32">
            <w:pPr>
              <w:widowControl w:val="0"/>
              <w:shd w:val="clear" w:color="auto" w:fill="FFFFFF"/>
              <w:spacing w:before="40" w:after="40" w:line="240" w:lineRule="auto"/>
              <w:jc w:val="both"/>
              <w:rPr>
                <w:color w:val="auto"/>
                <w:sz w:val="26"/>
                <w:szCs w:val="26"/>
              </w:rPr>
            </w:pPr>
            <w:r>
              <w:rPr>
                <w:color w:val="auto"/>
                <w:sz w:val="26"/>
                <w:szCs w:val="26"/>
              </w:rPr>
              <w:t>c) Something happened that is unavoidable or cannot be properly remedied, and</w:t>
            </w:r>
          </w:p>
          <w:p w14:paraId="708C6F33">
            <w:pPr>
              <w:widowControl w:val="0"/>
              <w:shd w:val="clear" w:color="auto" w:fill="FFFFFF"/>
              <w:tabs>
                <w:tab w:val="left" w:pos="463"/>
              </w:tabs>
              <w:spacing w:before="40" w:after="40" w:line="240" w:lineRule="auto"/>
              <w:jc w:val="both"/>
              <w:rPr>
                <w:b/>
                <w:color w:val="auto"/>
                <w:sz w:val="26"/>
                <w:szCs w:val="26"/>
              </w:rPr>
            </w:pPr>
            <w:r>
              <w:rPr>
                <w:color w:val="auto"/>
                <w:sz w:val="26"/>
                <w:szCs w:val="26"/>
              </w:rPr>
              <w:t>d) Cannot be attributed to the other Party.</w:t>
            </w:r>
          </w:p>
        </w:tc>
      </w:tr>
      <w:tr w14:paraId="708C6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08C6F35">
            <w:pPr>
              <w:widowControl w:val="0"/>
              <w:spacing w:before="60" w:after="60" w:line="276" w:lineRule="auto"/>
              <w:ind w:left="34" w:right="34"/>
              <w:rPr>
                <w:b/>
                <w:color w:val="auto"/>
                <w:sz w:val="26"/>
                <w:szCs w:val="26"/>
              </w:rPr>
            </w:pPr>
            <w:r>
              <w:rPr>
                <w:b/>
                <w:color w:val="auto"/>
                <w:sz w:val="26"/>
                <w:szCs w:val="26"/>
              </w:rPr>
              <w:t>GCC 27.7</w:t>
            </w:r>
          </w:p>
        </w:tc>
        <w:tc>
          <w:tcPr>
            <w:tcW w:w="7867" w:type="dxa"/>
          </w:tcPr>
          <w:p w14:paraId="708C6F36">
            <w:pPr>
              <w:widowControl w:val="0"/>
              <w:shd w:val="clear" w:color="auto" w:fill="FFFFFF"/>
              <w:tabs>
                <w:tab w:val="left" w:pos="463"/>
              </w:tabs>
              <w:spacing w:before="40" w:after="40" w:line="240" w:lineRule="auto"/>
              <w:jc w:val="both"/>
              <w:rPr>
                <w:b/>
                <w:color w:val="auto"/>
                <w:sz w:val="26"/>
                <w:szCs w:val="26"/>
              </w:rPr>
            </w:pPr>
            <w:r>
              <w:rPr>
                <w:color w:val="auto"/>
                <w:sz w:val="26"/>
                <w:szCs w:val="26"/>
              </w:rPr>
              <w:t xml:space="preserve">In case the proposal of a cost-saving solution is approved by the Purchaser and helps to reduce the contract price, the Purchaser shall pay the Supplier 0% of the reduced contract value </w:t>
            </w:r>
          </w:p>
        </w:tc>
      </w:tr>
    </w:tbl>
    <w:p w14:paraId="708C6F38">
      <w:pPr>
        <w:pStyle w:val="65"/>
        <w:spacing w:before="240"/>
        <w:jc w:val="left"/>
        <w:outlineLvl w:val="1"/>
        <w:rPr>
          <w:color w:val="000000" w:themeColor="text1"/>
          <w:sz w:val="26"/>
          <w:szCs w:val="26"/>
          <w14:textFill>
            <w14:solidFill>
              <w14:schemeClr w14:val="tx1"/>
            </w14:solidFill>
          </w14:textFill>
        </w:rPr>
      </w:pPr>
    </w:p>
    <w:p w14:paraId="708C6F39">
      <w:pPr>
        <w:pStyle w:val="65"/>
        <w:spacing w:before="240"/>
        <w:outlineLvl w:val="1"/>
        <w:rPr>
          <w:color w:val="000000" w:themeColor="text1"/>
          <w:sz w:val="26"/>
          <w:szCs w:val="26"/>
          <w14:textFill>
            <w14:solidFill>
              <w14:schemeClr w14:val="tx1"/>
            </w14:solidFill>
          </w14:textFill>
        </w:rPr>
        <w:sectPr>
          <w:headerReference r:id="rId22" w:type="default"/>
          <w:footerReference r:id="rId23" w:type="default"/>
          <w:pgSz w:w="11907" w:h="16840"/>
          <w:pgMar w:top="1134" w:right="851" w:bottom="1134" w:left="1701" w:header="720" w:footer="720" w:gutter="0"/>
          <w:cols w:space="720" w:num="1"/>
          <w:docGrid w:linePitch="360" w:charSpace="0"/>
        </w:sectPr>
      </w:pPr>
    </w:p>
    <w:p w14:paraId="708C6F3A">
      <w:pPr>
        <w:pStyle w:val="65"/>
        <w:spacing w:before="240"/>
        <w:outlineLvl w:val="1"/>
        <w:rPr>
          <w:b w:val="0"/>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Section VIII.</w:t>
      </w:r>
      <w:r>
        <w:rPr>
          <w:b w:val="0"/>
          <w:i/>
          <w:color w:val="000000" w:themeColor="text1"/>
          <w:sz w:val="26"/>
          <w:szCs w:val="26"/>
          <w14:textFill>
            <w14:solidFill>
              <w14:schemeClr w14:val="tx1"/>
            </w14:solidFill>
          </w14:textFill>
        </w:rPr>
        <w:t xml:space="preserve"> </w:t>
      </w:r>
      <w:r>
        <w:rPr>
          <w:color w:val="000000" w:themeColor="text1"/>
          <w:sz w:val="26"/>
          <w:szCs w:val="26"/>
          <w14:textFill>
            <w14:solidFill>
              <w14:schemeClr w14:val="tx1"/>
            </w14:solidFill>
          </w14:textFill>
        </w:rPr>
        <w:t>CONTRACT FORMS</w:t>
      </w:r>
    </w:p>
    <w:p w14:paraId="708C6F3B">
      <w:pPr>
        <w:pStyle w:val="65"/>
        <w:spacing w:before="240"/>
        <w:outlineLvl w:val="1"/>
        <w:rPr>
          <w:color w:val="000000" w:themeColor="text1"/>
          <w:sz w:val="26"/>
          <w:szCs w:val="26"/>
          <w14:textFill>
            <w14:solidFill>
              <w14:schemeClr w14:val="tx1"/>
            </w14:solidFill>
          </w14:textFill>
        </w:rPr>
      </w:pPr>
    </w:p>
    <w:p w14:paraId="708C6F3C">
      <w:pPr>
        <w:widowControl w:val="0"/>
        <w:spacing w:before="120" w:after="120" w:line="264"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This section includes the following forms:</w:t>
      </w:r>
    </w:p>
    <w:p w14:paraId="708C6F3D">
      <w:pPr>
        <w:pStyle w:val="71"/>
        <w:widowControl w:val="0"/>
        <w:suppressAutoHyphens w:val="0"/>
        <w:spacing w:before="120" w:after="120" w:line="264" w:lineRule="auto"/>
        <w:ind w:left="0" w:right="0" w:firstLine="567"/>
        <w:rPr>
          <w:b w:val="0"/>
          <w:color w:val="000000" w:themeColor="text1"/>
          <w:sz w:val="26"/>
          <w:szCs w:val="26"/>
          <w14:textFill>
            <w14:solidFill>
              <w14:schemeClr w14:val="tx1"/>
            </w14:solidFill>
          </w14:textFill>
        </w:rPr>
      </w:pPr>
    </w:p>
    <w:p w14:paraId="708C6F3E">
      <w:pPr>
        <w:pStyle w:val="343"/>
        <w:widowControl w:val="0"/>
        <w:spacing w:before="120" w:after="120" w:line="264" w:lineRule="auto"/>
        <w:ind w:firstLine="567"/>
        <w:jc w:val="both"/>
        <w:outlineLvl w:val="2"/>
        <w:rPr>
          <w:b w:val="0"/>
          <w:i/>
          <w:color w:val="000000" w:themeColor="text1"/>
          <w:sz w:val="26"/>
          <w:szCs w:val="26"/>
          <w14:textFill>
            <w14:solidFill>
              <w14:schemeClr w14:val="tx1"/>
            </w14:solidFill>
          </w14:textFill>
        </w:rPr>
      </w:pPr>
      <w:r>
        <w:rPr>
          <w:b w:val="0"/>
          <w:color w:val="000000" w:themeColor="text1"/>
          <w:sz w:val="26"/>
          <w:szCs w:val="26"/>
          <w14:textFill>
            <w14:solidFill>
              <w14:schemeClr w14:val="tx1"/>
            </w14:solidFill>
          </w14:textFill>
        </w:rPr>
        <w:t xml:space="preserve">Form 15. </w:t>
      </w:r>
      <w:r>
        <w:rPr>
          <w:rFonts w:eastAsia="Arial"/>
          <w:b w:val="0"/>
          <w:color w:val="000000" w:themeColor="text1"/>
          <w:sz w:val="26"/>
          <w:szCs w:val="26"/>
          <w14:textFill>
            <w14:solidFill>
              <w14:schemeClr w14:val="tx1"/>
            </w14:solidFill>
          </w14:textFill>
        </w:rPr>
        <w:t xml:space="preserve">Notification of acceptance and award contract </w:t>
      </w:r>
    </w:p>
    <w:p w14:paraId="708C6F3F">
      <w:pPr>
        <w:pStyle w:val="4"/>
        <w:widowControl w:val="0"/>
        <w:spacing w:before="120" w:after="120" w:line="264" w:lineRule="auto"/>
        <w:ind w:firstLine="567"/>
        <w:jc w:val="both"/>
        <w:rPr>
          <w:rFonts w:ascii="Times New Roman" w:hAnsi="Times New Roman"/>
          <w:b w:val="0"/>
          <w:color w:val="000000" w:themeColor="text1"/>
          <w:vertAlign w:val="superscript"/>
          <w14:textFill>
            <w14:solidFill>
              <w14:schemeClr w14:val="tx1"/>
            </w14:solidFill>
          </w14:textFill>
        </w:rPr>
      </w:pPr>
      <w:r>
        <w:rPr>
          <w:rFonts w:ascii="Times New Roman" w:hAnsi="Times New Roman"/>
          <w:b w:val="0"/>
          <w:color w:val="000000" w:themeColor="text1"/>
          <w14:textFill>
            <w14:solidFill>
              <w14:schemeClr w14:val="tx1"/>
            </w14:solidFill>
          </w14:textFill>
        </w:rPr>
        <w:t>Form 16. Contract Agreement</w:t>
      </w:r>
    </w:p>
    <w:p w14:paraId="708C6F40">
      <w:pPr>
        <w:pStyle w:val="311"/>
        <w:keepNext w:val="0"/>
        <w:widowControl w:val="0"/>
        <w:spacing w:before="120" w:line="264" w:lineRule="auto"/>
        <w:jc w:val="both"/>
        <w:rPr>
          <w:rFonts w:ascii="Times New Roman" w:hAnsi="Times New Roman"/>
          <w:b w:val="0"/>
          <w:color w:val="000000" w:themeColor="text1"/>
          <w:sz w:val="26"/>
          <w:szCs w:val="26"/>
          <w:u w:val="none"/>
          <w:vertAlign w:val="superscript"/>
          <w:lang w:val="en-US"/>
          <w14:textFill>
            <w14:solidFill>
              <w14:schemeClr w14:val="tx1"/>
            </w14:solidFill>
          </w14:textFill>
        </w:rPr>
      </w:pPr>
      <w:r>
        <w:rPr>
          <w:rFonts w:ascii="Times New Roman" w:hAnsi="Times New Roman"/>
          <w:b w:val="0"/>
          <w:color w:val="000000" w:themeColor="text1"/>
          <w:sz w:val="26"/>
          <w:szCs w:val="26"/>
          <w:u w:val="none"/>
          <w:lang w:val="en-US"/>
          <w14:textFill>
            <w14:solidFill>
              <w14:schemeClr w14:val="tx1"/>
            </w14:solidFill>
          </w14:textFill>
        </w:rPr>
        <w:t xml:space="preserve">Form 17. </w:t>
      </w:r>
      <w:r>
        <w:rPr>
          <w:rFonts w:ascii="Times New Roman" w:hAnsi="Times New Roman"/>
          <w:b w:val="0"/>
          <w:bCs w:val="0"/>
          <w:color w:val="000000" w:themeColor="text1"/>
          <w:sz w:val="26"/>
          <w:szCs w:val="26"/>
          <w:u w:val="none"/>
          <w:lang w:val="en-US"/>
          <w14:textFill>
            <w14:solidFill>
              <w14:schemeClr w14:val="tx1"/>
            </w14:solidFill>
          </w14:textFill>
        </w:rPr>
        <w:t>Performance Security</w:t>
      </w:r>
    </w:p>
    <w:p w14:paraId="708C6F41">
      <w:pPr>
        <w:pStyle w:val="343"/>
        <w:widowControl w:val="0"/>
        <w:tabs>
          <w:tab w:val="center" w:pos="5127"/>
        </w:tabs>
        <w:spacing w:before="120" w:after="120" w:line="264" w:lineRule="auto"/>
        <w:ind w:firstLine="567"/>
        <w:jc w:val="both"/>
        <w:outlineLvl w:val="2"/>
        <w:rPr>
          <w:b w:val="0"/>
          <w:color w:val="000000" w:themeColor="text1"/>
          <w:sz w:val="26"/>
          <w:szCs w:val="26"/>
          <w14:textFill>
            <w14:solidFill>
              <w14:schemeClr w14:val="tx1"/>
            </w14:solidFill>
          </w14:textFill>
        </w:rPr>
      </w:pPr>
      <w:r>
        <w:rPr>
          <w:b w:val="0"/>
          <w:color w:val="000000" w:themeColor="text1"/>
          <w:sz w:val="26"/>
          <w:szCs w:val="26"/>
          <w14:textFill>
            <w14:solidFill>
              <w14:schemeClr w14:val="tx1"/>
            </w14:solidFill>
          </w14:textFill>
        </w:rPr>
        <w:t>Form 18. Advance Payment Security</w:t>
      </w:r>
      <w:r>
        <w:rPr>
          <w:b w:val="0"/>
          <w:color w:val="000000" w:themeColor="text1"/>
          <w:sz w:val="26"/>
          <w:szCs w:val="26"/>
          <w14:textFill>
            <w14:solidFill>
              <w14:schemeClr w14:val="tx1"/>
            </w14:solidFill>
          </w14:textFill>
        </w:rPr>
        <w:tab/>
      </w:r>
    </w:p>
    <w:p w14:paraId="708C6F42">
      <w:pPr>
        <w:pStyle w:val="347"/>
        <w:spacing w:before="0" w:after="0"/>
        <w:ind w:firstLine="567"/>
        <w:jc w:val="both"/>
        <w:outlineLvl w:val="3"/>
        <w:rPr>
          <w:b w:val="0"/>
          <w:bCs/>
          <w:color w:val="000000" w:themeColor="text1"/>
          <w:sz w:val="26"/>
          <w:szCs w:val="26"/>
          <w14:textFill>
            <w14:solidFill>
              <w14:schemeClr w14:val="tx1"/>
            </w14:solidFill>
          </w14:textFill>
        </w:rPr>
      </w:pPr>
    </w:p>
    <w:p w14:paraId="708C6F43">
      <w:pPr>
        <w:rPr>
          <w:color w:val="000000" w:themeColor="text1"/>
          <w:sz w:val="26"/>
          <w:szCs w:val="26"/>
          <w14:textFill>
            <w14:solidFill>
              <w14:schemeClr w14:val="tx1"/>
            </w14:solidFill>
          </w14:textFill>
        </w:rPr>
      </w:pPr>
    </w:p>
    <w:p w14:paraId="708C6F44">
      <w:pPr>
        <w:rPr>
          <w:bCs/>
          <w:color w:val="000000" w:themeColor="text1"/>
          <w:sz w:val="26"/>
          <w:szCs w:val="26"/>
          <w14:textFill>
            <w14:solidFill>
              <w14:schemeClr w14:val="tx1"/>
            </w14:solidFill>
          </w14:textFill>
        </w:rPr>
      </w:pPr>
    </w:p>
    <w:p w14:paraId="708C6F45">
      <w:pPr>
        <w:jc w:val="right"/>
        <w:rPr>
          <w:b/>
          <w:color w:val="000000" w:themeColor="text1"/>
          <w:sz w:val="26"/>
          <w:szCs w:val="26"/>
          <w14:textFill>
            <w14:solidFill>
              <w14:schemeClr w14:val="tx1"/>
            </w14:solidFill>
          </w14:textFill>
        </w:rPr>
      </w:pPr>
      <w:bookmarkStart w:id="443" w:name="_GoBack"/>
      <w:bookmarkEnd w:id="443"/>
      <w:r>
        <w:rPr>
          <w:bCs/>
          <w:color w:val="000000" w:themeColor="text1"/>
          <w:sz w:val="26"/>
          <w:szCs w:val="26"/>
          <w14:textFill>
            <w14:solidFill>
              <w14:schemeClr w14:val="tx1"/>
            </w14:solidFill>
          </w14:textFill>
        </w:rPr>
        <w:br w:type="page"/>
      </w:r>
      <w:r>
        <w:rPr>
          <w:b/>
          <w:color w:val="000000" w:themeColor="text1"/>
          <w:sz w:val="26"/>
          <w:szCs w:val="26"/>
          <w14:textFill>
            <w14:solidFill>
              <w14:schemeClr w14:val="tx1"/>
            </w14:solidFill>
          </w14:textFill>
        </w:rPr>
        <w:t>Form 15</w:t>
      </w:r>
    </w:p>
    <w:p w14:paraId="708C6F46">
      <w:pPr>
        <w:pStyle w:val="298"/>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NOTIFICATION OF ACCEPTANCE AND CONTRACT AWARD</w:t>
      </w:r>
    </w:p>
    <w:p w14:paraId="708C6F47">
      <w:pPr>
        <w:pStyle w:val="15"/>
        <w:spacing w:before="120" w:line="264" w:lineRule="auto"/>
        <w:jc w:val="right"/>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____, ___/ ___/____</w:t>
      </w:r>
      <w:r>
        <w:rPr>
          <w:i/>
          <w:color w:val="000000" w:themeColor="text1"/>
          <w:sz w:val="26"/>
          <w:szCs w:val="26"/>
          <w14:textFill>
            <w14:solidFill>
              <w14:schemeClr w14:val="tx1"/>
            </w14:solidFill>
          </w14:textFill>
        </w:rPr>
        <w:t>[insert place and date of signing]</w:t>
      </w:r>
    </w:p>
    <w:p w14:paraId="708C6F48">
      <w:pPr>
        <w:spacing w:before="120" w:after="120" w:line="264"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fldChar w:fldCharType="begin"/>
      </w:r>
      <w:r>
        <w:rPr>
          <w:color w:val="000000" w:themeColor="text1"/>
          <w:sz w:val="26"/>
          <w:szCs w:val="26"/>
          <w14:textFill>
            <w14:solidFill>
              <w14:schemeClr w14:val="tx1"/>
            </w14:solidFill>
          </w14:textFill>
        </w:rPr>
        <w:instrText xml:space="preserve">ADVANCE \D 4.80</w:instrText>
      </w:r>
      <w:r>
        <w:rPr>
          <w:color w:val="000000" w:themeColor="text1"/>
          <w:sz w:val="26"/>
          <w:szCs w:val="26"/>
          <w14:textFill>
            <w14:solidFill>
              <w14:schemeClr w14:val="tx1"/>
            </w14:solidFill>
          </w14:textFill>
        </w:rPr>
        <w:fldChar w:fldCharType="end"/>
      </w:r>
      <w:r>
        <w:rPr>
          <w:color w:val="000000" w:themeColor="text1"/>
          <w:sz w:val="26"/>
          <w:szCs w:val="26"/>
          <w14:textFill>
            <w14:solidFill>
              <w14:schemeClr w14:val="tx1"/>
            </w14:solidFill>
          </w14:textFill>
        </w:rPr>
        <w:t xml:space="preserve">To: </w:t>
      </w:r>
      <w:r>
        <w:rPr>
          <w:i/>
          <w:color w:val="000000" w:themeColor="text1"/>
          <w:sz w:val="26"/>
          <w:szCs w:val="26"/>
          <w14:textFill>
            <w14:solidFill>
              <w14:schemeClr w14:val="tx1"/>
            </w14:solidFill>
          </w14:textFill>
        </w:rPr>
        <w:t xml:space="preserve">[insert name and address of the successful bidder] </w:t>
      </w:r>
      <w:r>
        <w:rPr>
          <w:color w:val="000000" w:themeColor="text1"/>
          <w:sz w:val="26"/>
          <w:szCs w:val="26"/>
          <w14:textFill>
            <w14:solidFill>
              <w14:schemeClr w14:val="tx1"/>
            </w14:solidFill>
          </w14:textFill>
        </w:rPr>
        <w:t>(hereinafter called “the Supplier”).</w:t>
      </w:r>
    </w:p>
    <w:p w14:paraId="708C6F49">
      <w:pPr>
        <w:spacing w:before="120" w:after="120" w:line="264" w:lineRule="auto"/>
        <w:ind w:firstLine="567"/>
        <w:jc w:val="both"/>
        <w:rPr>
          <w:color w:val="000000" w:themeColor="text1"/>
          <w:sz w:val="26"/>
          <w:szCs w:val="26"/>
          <w14:textFill>
            <w14:solidFill>
              <w14:schemeClr w14:val="tx1"/>
            </w14:solidFill>
          </w14:textFill>
        </w:rPr>
      </w:pPr>
      <w:r>
        <w:rPr>
          <w:rFonts w:eastAsia="Arial"/>
          <w:color w:val="000000" w:themeColor="text1"/>
          <w:sz w:val="26"/>
          <w:szCs w:val="26"/>
          <w14:textFill>
            <w14:solidFill>
              <w14:schemeClr w14:val="tx1"/>
            </w14:solidFill>
          </w14:textFill>
        </w:rPr>
        <w:t xml:space="preserve">Subject: Notification of acceptance and award contract </w:t>
      </w:r>
    </w:p>
    <w:p w14:paraId="708C6F4A">
      <w:pPr>
        <w:spacing w:before="120" w:after="120" w:line="264" w:lineRule="auto"/>
        <w:ind w:firstLine="567"/>
        <w:jc w:val="both"/>
        <w:rPr>
          <w:color w:val="000000" w:themeColor="text1"/>
          <w:sz w:val="26"/>
          <w:szCs w:val="26"/>
          <w14:textFill>
            <w14:solidFill>
              <w14:schemeClr w14:val="tx1"/>
            </w14:solidFill>
          </w14:textFill>
        </w:rPr>
      </w:pPr>
      <w:r>
        <w:rPr>
          <w:rFonts w:eastAsia="Arial"/>
          <w:color w:val="000000" w:themeColor="text1"/>
          <w:sz w:val="26"/>
          <w:szCs w:val="26"/>
          <w14:textFill>
            <w14:solidFill>
              <w14:schemeClr w14:val="tx1"/>
            </w14:solidFill>
          </w14:textFill>
        </w:rPr>
        <w:t xml:space="preserve">Whereas the Decision No.____,__/___/___ of the Purchaser </w:t>
      </w:r>
      <w:r>
        <w:rPr>
          <w:rFonts w:eastAsia="Arial"/>
          <w:i/>
          <w:color w:val="000000" w:themeColor="text1"/>
          <w:sz w:val="26"/>
          <w:szCs w:val="26"/>
          <w14:textFill>
            <w14:solidFill>
              <w14:schemeClr w14:val="tx1"/>
            </w14:solidFill>
          </w14:textFill>
        </w:rPr>
        <w:t>[insert name of the Purchaser]</w:t>
      </w:r>
      <w:r>
        <w:rPr>
          <w:rFonts w:eastAsia="Arial"/>
          <w:color w:val="000000" w:themeColor="text1"/>
          <w:sz w:val="26"/>
          <w:szCs w:val="26"/>
          <w14:textFill>
            <w14:solidFill>
              <w14:schemeClr w14:val="tx1"/>
            </w14:solidFill>
          </w14:textFill>
        </w:rPr>
        <w:t xml:space="preserve"> (</w:t>
      </w:r>
      <w:r>
        <w:rPr>
          <w:color w:val="000000" w:themeColor="text1"/>
          <w:sz w:val="26"/>
          <w:szCs w:val="26"/>
          <w14:textFill>
            <w14:solidFill>
              <w14:schemeClr w14:val="tx1"/>
            </w14:solidFill>
          </w14:textFill>
        </w:rPr>
        <w:t>hereinafter called “the Purchaser”</w:t>
      </w:r>
      <w:r>
        <w:rPr>
          <w:color w:val="auto"/>
          <w:sz w:val="26"/>
          <w:szCs w:val="26"/>
        </w:rPr>
        <w:t xml:space="preserve">) on approval of Bidder selection result for the package </w:t>
      </w:r>
      <w:r>
        <w:rPr>
          <w:i/>
          <w:color w:val="auto"/>
          <w:sz w:val="26"/>
          <w:szCs w:val="26"/>
        </w:rPr>
        <w:t>[insert name, identification of package]</w:t>
      </w:r>
      <w:r>
        <w:rPr>
          <w:color w:val="auto"/>
          <w:sz w:val="26"/>
          <w:szCs w:val="26"/>
        </w:rPr>
        <w:t xml:space="preserve">, Northern Power Projects Management Board (hereinafter called “the NPMB” would like to notify that the Purchaser accepted your bid and award contract to you to perform the </w:t>
      </w:r>
      <w:r>
        <w:rPr>
          <w:i/>
          <w:color w:val="auto"/>
          <w:sz w:val="26"/>
          <w:szCs w:val="26"/>
        </w:rPr>
        <w:t>[insert name, identification of the package or the lot]</w:t>
      </w:r>
      <w:r>
        <w:rPr>
          <w:color w:val="auto"/>
          <w:sz w:val="26"/>
          <w:szCs w:val="26"/>
        </w:rPr>
        <w:t xml:space="preserve"> with the Contract Price is </w:t>
      </w:r>
      <w:r>
        <w:rPr>
          <w:i/>
          <w:color w:val="auto"/>
          <w:sz w:val="26"/>
          <w:szCs w:val="26"/>
        </w:rPr>
        <w:t>[insert accepted amount in the approval of Bidder selection res</w:t>
      </w:r>
      <w:r>
        <w:rPr>
          <w:i/>
          <w:color w:val="000000" w:themeColor="text1"/>
          <w:sz w:val="26"/>
          <w:szCs w:val="26"/>
          <w14:textFill>
            <w14:solidFill>
              <w14:schemeClr w14:val="tx1"/>
            </w14:solidFill>
          </w14:textFill>
        </w:rPr>
        <w:t>ult]</w:t>
      </w:r>
      <w:r>
        <w:rPr>
          <w:color w:val="000000" w:themeColor="text1"/>
          <w:sz w:val="26"/>
          <w:szCs w:val="26"/>
          <w14:textFill>
            <w14:solidFill>
              <w14:schemeClr w14:val="tx1"/>
            </w14:solidFill>
          </w14:textFill>
        </w:rPr>
        <w:t xml:space="preserve"> and the time for package performance is </w:t>
      </w:r>
      <w:r>
        <w:rPr>
          <w:i/>
          <w:color w:val="000000" w:themeColor="text1"/>
          <w:sz w:val="26"/>
          <w:szCs w:val="26"/>
          <w14:textFill>
            <w14:solidFill>
              <w14:schemeClr w14:val="tx1"/>
            </w14:solidFill>
          </w14:textFill>
        </w:rPr>
        <w:t>[insert the time for package performance in the approval of Bidder selection result].</w:t>
      </w:r>
    </w:p>
    <w:p w14:paraId="708C6F4B">
      <w:pPr>
        <w:spacing w:before="120" w:after="120" w:line="264"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We suggest legal representative of the Supplier to execute completion and signing the contract with the Purchaser according to the following schedules:</w:t>
      </w:r>
    </w:p>
    <w:p w14:paraId="708C6F4C">
      <w:pPr>
        <w:spacing w:before="120" w:after="120" w:line="264"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 The date of completion of the contract: </w:t>
      </w:r>
      <w:r>
        <w:rPr>
          <w:i/>
          <w:color w:val="000000" w:themeColor="text1"/>
          <w:sz w:val="26"/>
          <w:szCs w:val="26"/>
          <w14:textFill>
            <w14:solidFill>
              <w14:schemeClr w14:val="tx1"/>
            </w14:solidFill>
          </w14:textFill>
        </w:rPr>
        <w:t>[insert date]</w:t>
      </w:r>
      <w:r>
        <w:rPr>
          <w:color w:val="000000" w:themeColor="text1"/>
          <w:sz w:val="26"/>
          <w:szCs w:val="26"/>
          <w14:textFill>
            <w14:solidFill>
              <w14:schemeClr w14:val="tx1"/>
            </w14:solidFill>
          </w14:textFill>
        </w:rPr>
        <w:t xml:space="preserve">, at </w:t>
      </w:r>
      <w:r>
        <w:rPr>
          <w:i/>
          <w:color w:val="000000" w:themeColor="text1"/>
          <w:sz w:val="26"/>
          <w:szCs w:val="26"/>
          <w14:textFill>
            <w14:solidFill>
              <w14:schemeClr w14:val="tx1"/>
            </w14:solidFill>
          </w14:textFill>
        </w:rPr>
        <w:t>[insert place]</w:t>
      </w:r>
      <w:r>
        <w:rPr>
          <w:color w:val="000000" w:themeColor="text1"/>
          <w:sz w:val="26"/>
          <w:szCs w:val="26"/>
          <w14:textFill>
            <w14:solidFill>
              <w14:schemeClr w14:val="tx1"/>
            </w14:solidFill>
          </w14:textFill>
        </w:rPr>
        <w:t>;</w:t>
      </w:r>
    </w:p>
    <w:p w14:paraId="708C6F4D">
      <w:pPr>
        <w:spacing w:before="120" w:after="120" w:line="264" w:lineRule="auto"/>
        <w:ind w:firstLine="567"/>
        <w:jc w:val="both"/>
        <w:rPr>
          <w:rFonts w:eastAsia="Arial"/>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 The date of signing the contract: </w:t>
      </w:r>
      <w:r>
        <w:rPr>
          <w:i/>
          <w:color w:val="000000" w:themeColor="text1"/>
          <w:sz w:val="26"/>
          <w:szCs w:val="26"/>
          <w14:textFill>
            <w14:solidFill>
              <w14:schemeClr w14:val="tx1"/>
            </w14:solidFill>
          </w14:textFill>
        </w:rPr>
        <w:t>[insert date]</w:t>
      </w:r>
      <w:r>
        <w:rPr>
          <w:color w:val="000000" w:themeColor="text1"/>
          <w:sz w:val="26"/>
          <w:szCs w:val="26"/>
          <w14:textFill>
            <w14:solidFill>
              <w14:schemeClr w14:val="tx1"/>
            </w14:solidFill>
          </w14:textFill>
        </w:rPr>
        <w:t xml:space="preserve">, at </w:t>
      </w:r>
      <w:r>
        <w:rPr>
          <w:i/>
          <w:color w:val="000000" w:themeColor="text1"/>
          <w:sz w:val="26"/>
          <w:szCs w:val="26"/>
          <w14:textFill>
            <w14:solidFill>
              <w14:schemeClr w14:val="tx1"/>
            </w14:solidFill>
          </w14:textFill>
        </w:rPr>
        <w:t>[insert place]</w:t>
      </w:r>
      <w:r>
        <w:rPr>
          <w:color w:val="000000" w:themeColor="text1"/>
          <w:sz w:val="26"/>
          <w:szCs w:val="26"/>
          <w14:textFill>
            <w14:solidFill>
              <w14:schemeClr w14:val="tx1"/>
            </w14:solidFill>
          </w14:textFill>
        </w:rPr>
        <w:t>, attachment the Contract Draft.</w:t>
      </w:r>
    </w:p>
    <w:p w14:paraId="708C6F4E">
      <w:pPr>
        <w:spacing w:before="120" w:after="120" w:line="264"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You are requested to furnish the Performance Security in accordance with Form 17 Section VIII - Contract Forms of the BDs with the amount is ___ and the valid period is</w:t>
      </w:r>
      <w:r>
        <w:rPr>
          <w:i/>
          <w:color w:val="000000" w:themeColor="text1"/>
          <w:sz w:val="26"/>
          <w:szCs w:val="26"/>
          <w14:textFill>
            <w14:solidFill>
              <w14:schemeClr w14:val="tx1"/>
            </w14:solidFill>
          </w14:textFill>
        </w:rPr>
        <w:t>___[insert amount and valid period as specified in SCC Clause 5.1 of the BDs]</w:t>
      </w:r>
    </w:p>
    <w:p w14:paraId="708C6F4F">
      <w:pPr>
        <w:spacing w:before="120" w:after="120" w:line="264" w:lineRule="auto"/>
        <w:ind w:firstLine="567"/>
        <w:jc w:val="both"/>
        <w:rPr>
          <w:rFonts w:eastAsia="Arial"/>
          <w:color w:val="000000" w:themeColor="text1"/>
          <w:sz w:val="26"/>
          <w:szCs w:val="26"/>
          <w14:textFill>
            <w14:solidFill>
              <w14:schemeClr w14:val="tx1"/>
            </w14:solidFill>
          </w14:textFill>
        </w:rPr>
      </w:pPr>
      <w:r>
        <w:rPr>
          <w:rFonts w:eastAsia="Arial"/>
          <w:color w:val="000000" w:themeColor="text1"/>
          <w:sz w:val="26"/>
          <w:szCs w:val="26"/>
          <w14:textFill>
            <w14:solidFill>
              <w14:schemeClr w14:val="tx1"/>
            </w14:solidFill>
          </w14:textFill>
        </w:rPr>
        <w:t xml:space="preserve">This letter is an integral part of the contract documents. After receiving this letter, the Supplier must provide a written acceptance of completion, signing the contract and </w:t>
      </w:r>
      <w:r>
        <w:rPr>
          <w:color w:val="000000" w:themeColor="text1"/>
          <w:sz w:val="26"/>
          <w:szCs w:val="26"/>
          <w14:textFill>
            <w14:solidFill>
              <w14:schemeClr w14:val="tx1"/>
            </w14:solidFill>
          </w14:textFill>
        </w:rPr>
        <w:t xml:space="preserve">implementation a Performance Security as above requirements, in which the Supplier must commit that your current qualification still meet the requirements of the BDs. In case the current qualification of the Supplier is detected not to meet the contract performance, the Purchaser shall refuse </w:t>
      </w:r>
      <w:r>
        <w:rPr>
          <w:rFonts w:eastAsia="Arial"/>
          <w:color w:val="000000" w:themeColor="text1"/>
          <w:sz w:val="26"/>
          <w:szCs w:val="26"/>
          <w14:textFill>
            <w14:solidFill>
              <w14:schemeClr w14:val="tx1"/>
            </w14:solidFill>
          </w14:textFill>
        </w:rPr>
        <w:t xml:space="preserve">completion and signing the contract with the </w:t>
      </w:r>
      <w:r>
        <w:rPr>
          <w:color w:val="000000" w:themeColor="text1"/>
          <w:sz w:val="26"/>
          <w:szCs w:val="26"/>
          <w14:textFill>
            <w14:solidFill>
              <w14:schemeClr w14:val="tx1"/>
            </w14:solidFill>
          </w14:textFill>
        </w:rPr>
        <w:t>Supplier</w:t>
      </w:r>
      <w:r>
        <w:rPr>
          <w:rFonts w:eastAsia="Arial"/>
          <w:color w:val="000000" w:themeColor="text1"/>
          <w:sz w:val="26"/>
          <w:szCs w:val="26"/>
          <w14:textFill>
            <w14:solidFill>
              <w14:schemeClr w14:val="tx1"/>
            </w14:solidFill>
          </w14:textFill>
        </w:rPr>
        <w:t>.</w:t>
      </w:r>
    </w:p>
    <w:p w14:paraId="708C6F50">
      <w:pPr>
        <w:spacing w:before="120" w:after="120" w:line="264" w:lineRule="auto"/>
        <w:ind w:firstLine="567"/>
        <w:jc w:val="both"/>
        <w:rPr>
          <w:rFonts w:eastAsia="Arial"/>
          <w:color w:val="000000" w:themeColor="text1"/>
          <w:sz w:val="26"/>
          <w:szCs w:val="26"/>
          <w14:textFill>
            <w14:solidFill>
              <w14:schemeClr w14:val="tx1"/>
            </w14:solidFill>
          </w14:textFill>
        </w:rPr>
      </w:pPr>
      <w:r>
        <w:rPr>
          <w:rFonts w:eastAsia="Arial"/>
          <w:color w:val="000000" w:themeColor="text1"/>
          <w:sz w:val="26"/>
          <w:szCs w:val="26"/>
          <w14:textFill>
            <w14:solidFill>
              <w14:schemeClr w14:val="tx1"/>
            </w14:solidFill>
          </w14:textFill>
        </w:rPr>
        <w:t>If coming ___/___/___</w:t>
      </w:r>
      <w:r>
        <w:rPr>
          <w:rFonts w:eastAsia="Arial"/>
          <w:color w:val="000000" w:themeColor="text1"/>
          <w:sz w:val="26"/>
          <w:szCs w:val="26"/>
          <w:vertAlign w:val="superscript"/>
          <w14:textFill>
            <w14:solidFill>
              <w14:schemeClr w14:val="tx1"/>
            </w14:solidFill>
          </w14:textFill>
        </w:rPr>
        <w:t>(1)</w:t>
      </w:r>
      <w:r>
        <w:rPr>
          <w:rFonts w:eastAsia="Arial"/>
          <w:color w:val="000000" w:themeColor="text1"/>
          <w:sz w:val="26"/>
          <w:szCs w:val="26"/>
          <w14:textFill>
            <w14:solidFill>
              <w14:schemeClr w14:val="tx1"/>
            </w14:solidFill>
          </w14:textFill>
        </w:rPr>
        <w:t xml:space="preserve"> that the </w:t>
      </w:r>
      <w:r>
        <w:rPr>
          <w:color w:val="000000" w:themeColor="text1"/>
          <w:sz w:val="26"/>
          <w:szCs w:val="26"/>
          <w14:textFill>
            <w14:solidFill>
              <w14:schemeClr w14:val="tx1"/>
            </w14:solidFill>
          </w14:textFill>
        </w:rPr>
        <w:t>Supplier</w:t>
      </w:r>
      <w:r>
        <w:rPr>
          <w:rFonts w:eastAsia="Arial"/>
          <w:color w:val="000000" w:themeColor="text1"/>
          <w:sz w:val="26"/>
          <w:szCs w:val="26"/>
          <w14:textFill>
            <w14:solidFill>
              <w14:schemeClr w14:val="tx1"/>
            </w14:solidFill>
          </w14:textFill>
        </w:rPr>
        <w:t xml:space="preserve"> fails to complete and sign the contract or  refuses to complete or sign the contract or fails to </w:t>
      </w:r>
      <w:r>
        <w:rPr>
          <w:color w:val="000000" w:themeColor="text1"/>
          <w:sz w:val="26"/>
          <w:szCs w:val="26"/>
          <w14:textFill>
            <w14:solidFill>
              <w14:schemeClr w14:val="tx1"/>
            </w14:solidFill>
          </w14:textFill>
        </w:rPr>
        <w:t xml:space="preserve">implement a Performance Security as above requirements, the Supplier shall be rejected and not be received the bid security. </w:t>
      </w:r>
    </w:p>
    <w:p w14:paraId="708C6F51">
      <w:pPr>
        <w:pStyle w:val="15"/>
        <w:widowControl w:val="0"/>
        <w:spacing w:before="120" w:line="264" w:lineRule="auto"/>
        <w:ind w:firstLine="567"/>
        <w:jc w:val="right"/>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Legal representative of the Purchaser</w:t>
      </w:r>
    </w:p>
    <w:p w14:paraId="708C6F52">
      <w:pPr>
        <w:pStyle w:val="15"/>
        <w:tabs>
          <w:tab w:val="center" w:pos="5670"/>
        </w:tabs>
        <w:spacing w:before="120"/>
        <w:ind w:firstLine="720"/>
        <w:jc w:val="right"/>
        <w:rPr>
          <w:b/>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(Full name, position, signature and seal)</w:t>
      </w:r>
    </w:p>
    <w:p w14:paraId="708C6F53">
      <w:pPr>
        <w:tabs>
          <w:tab w:val="left" w:pos="990"/>
        </w:tabs>
        <w:spacing w:before="120" w:after="120" w:line="264" w:lineRule="auto"/>
        <w:ind w:right="45" w:firstLine="567"/>
        <w:rPr>
          <w:rFonts w:eastAsia="Arial"/>
          <w:color w:val="000000" w:themeColor="text1"/>
          <w:sz w:val="26"/>
          <w:szCs w:val="26"/>
          <w14:textFill>
            <w14:solidFill>
              <w14:schemeClr w14:val="tx1"/>
            </w14:solidFill>
          </w14:textFill>
        </w:rPr>
      </w:pPr>
      <w:r>
        <w:rPr>
          <w:rFonts w:eastAsia="Arial"/>
          <w:color w:val="000000" w:themeColor="text1"/>
          <w:sz w:val="26"/>
          <w:szCs w:val="26"/>
          <w14:textFill>
            <w14:solidFill>
              <w14:schemeClr w14:val="tx1"/>
            </w14:solidFill>
          </w14:textFill>
        </w:rPr>
        <w:t>Notes:</w:t>
      </w:r>
    </w:p>
    <w:p w14:paraId="708C6F54">
      <w:pPr>
        <w:tabs>
          <w:tab w:val="left" w:pos="990"/>
        </w:tabs>
        <w:spacing w:before="120" w:after="120" w:line="264" w:lineRule="auto"/>
        <w:ind w:right="45" w:firstLine="567"/>
        <w:rPr>
          <w:rFonts w:eastAsia="Arial"/>
          <w:color w:val="000000" w:themeColor="text1"/>
          <w:sz w:val="26"/>
          <w:szCs w:val="26"/>
          <w14:textFill>
            <w14:solidFill>
              <w14:schemeClr w14:val="tx1"/>
            </w14:solidFill>
          </w14:textFill>
        </w:rPr>
      </w:pPr>
      <w:r>
        <w:rPr>
          <w:rFonts w:eastAsia="Arial"/>
          <w:color w:val="000000" w:themeColor="text1"/>
          <w:sz w:val="26"/>
          <w:szCs w:val="26"/>
          <w14:textFill>
            <w14:solidFill>
              <w14:schemeClr w14:val="tx1"/>
            </w14:solidFill>
          </w14:textFill>
        </w:rPr>
        <w:t>(1) Insert the date according to the period specified in Bid Security Form.</w:t>
      </w:r>
    </w:p>
    <w:p w14:paraId="708C6F55">
      <w:pPr>
        <w:tabs>
          <w:tab w:val="left" w:pos="990"/>
        </w:tabs>
        <w:spacing w:before="120" w:after="120" w:line="264" w:lineRule="auto"/>
        <w:ind w:right="45" w:firstLine="567"/>
        <w:jc w:val="right"/>
        <w:rPr>
          <w:b/>
          <w:color w:val="000000" w:themeColor="text1"/>
          <w:spacing w:val="-6"/>
          <w:sz w:val="26"/>
          <w:szCs w:val="26"/>
          <w14:textFill>
            <w14:solidFill>
              <w14:schemeClr w14:val="tx1"/>
            </w14:solidFill>
          </w14:textFill>
        </w:rPr>
      </w:pPr>
      <w:r>
        <w:rPr>
          <w:color w:val="000000" w:themeColor="text1"/>
          <w:sz w:val="26"/>
          <w:szCs w:val="26"/>
          <w14:textFill>
            <w14:solidFill>
              <w14:schemeClr w14:val="tx1"/>
            </w14:solidFill>
          </w14:textFill>
        </w:rPr>
        <w:br w:type="page"/>
      </w:r>
      <w:r>
        <w:rPr>
          <w:b/>
          <w:color w:val="000000" w:themeColor="text1"/>
          <w:sz w:val="26"/>
          <w:szCs w:val="26"/>
          <w14:textFill>
            <w14:solidFill>
              <w14:schemeClr w14:val="tx1"/>
            </w14:solidFill>
          </w14:textFill>
        </w:rPr>
        <w:t>Form 16</w:t>
      </w:r>
    </w:p>
    <w:p w14:paraId="708C6F56">
      <w:pPr>
        <w:pStyle w:val="15"/>
        <w:widowControl w:val="0"/>
        <w:spacing w:before="120" w:line="264" w:lineRule="auto"/>
        <w:jc w:val="center"/>
        <w:rPr>
          <w:b/>
          <w:color w:val="000000" w:themeColor="text1"/>
          <w:sz w:val="26"/>
          <w:szCs w:val="26"/>
          <w:vertAlign w:val="superscript"/>
          <w14:textFill>
            <w14:solidFill>
              <w14:schemeClr w14:val="tx1"/>
            </w14:solidFill>
          </w14:textFill>
        </w:rPr>
      </w:pPr>
      <w:r>
        <w:rPr>
          <w:b/>
          <w:color w:val="000000" w:themeColor="text1"/>
          <w:sz w:val="26"/>
          <w:szCs w:val="26"/>
          <w14:textFill>
            <w14:solidFill>
              <w14:schemeClr w14:val="tx1"/>
            </w14:solidFill>
          </w14:textFill>
        </w:rPr>
        <w:t>CONTRACT AGREEMENT</w:t>
      </w:r>
    </w:p>
    <w:p w14:paraId="708C6F57">
      <w:pPr>
        <w:pStyle w:val="15"/>
        <w:widowControl w:val="0"/>
        <w:spacing w:before="120" w:line="264" w:lineRule="auto"/>
        <w:ind w:firstLine="567"/>
        <w:jc w:val="right"/>
        <w:rPr>
          <w:i/>
          <w:color w:val="000000" w:themeColor="text1"/>
          <w:sz w:val="26"/>
          <w:szCs w:val="26"/>
          <w14:textFill>
            <w14:solidFill>
              <w14:schemeClr w14:val="tx1"/>
            </w14:solidFill>
          </w14:textFill>
        </w:rPr>
      </w:pPr>
    </w:p>
    <w:p w14:paraId="708C6F58">
      <w:pPr>
        <w:pStyle w:val="15"/>
        <w:widowControl w:val="0"/>
        <w:spacing w:before="120" w:line="264" w:lineRule="auto"/>
        <w:ind w:firstLine="567"/>
        <w:jc w:val="right"/>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____, ___/ ___/____</w:t>
      </w:r>
      <w:r>
        <w:rPr>
          <w:i/>
          <w:color w:val="000000" w:themeColor="text1"/>
          <w:sz w:val="26"/>
          <w:szCs w:val="26"/>
          <w14:textFill>
            <w14:solidFill>
              <w14:schemeClr w14:val="tx1"/>
            </w14:solidFill>
          </w14:textFill>
        </w:rPr>
        <w:t>[insert place and date of signing]</w:t>
      </w:r>
    </w:p>
    <w:p w14:paraId="708C6F59">
      <w:pPr>
        <w:pStyle w:val="15"/>
        <w:widowControl w:val="0"/>
        <w:spacing w:before="120" w:line="264" w:lineRule="auto"/>
        <w:ind w:firstLine="567"/>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Contract No.: _________</w:t>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p>
    <w:p w14:paraId="708C6F5A">
      <w:pPr>
        <w:pStyle w:val="15"/>
        <w:widowControl w:val="0"/>
        <w:spacing w:before="120" w:line="264" w:lineRule="auto"/>
        <w:ind w:firstLine="567"/>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Package: ____________ </w:t>
      </w:r>
      <w:r>
        <w:rPr>
          <w:i/>
          <w:color w:val="000000" w:themeColor="text1"/>
          <w:sz w:val="26"/>
          <w:szCs w:val="26"/>
          <w14:textFill>
            <w14:solidFill>
              <w14:schemeClr w14:val="tx1"/>
            </w14:solidFill>
          </w14:textFill>
        </w:rPr>
        <w:t>[insert name of package]</w:t>
      </w:r>
    </w:p>
    <w:p w14:paraId="708C6F5B">
      <w:pPr>
        <w:pStyle w:val="15"/>
        <w:widowControl w:val="0"/>
        <w:spacing w:before="120" w:line="264" w:lineRule="auto"/>
        <w:ind w:firstLine="567"/>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Project: _________ </w:t>
      </w:r>
      <w:r>
        <w:rPr>
          <w:i/>
          <w:color w:val="000000" w:themeColor="text1"/>
          <w:sz w:val="26"/>
          <w:szCs w:val="26"/>
          <w14:textFill>
            <w14:solidFill>
              <w14:schemeClr w14:val="tx1"/>
            </w14:solidFill>
          </w14:textFill>
        </w:rPr>
        <w:t>[insert name of project]</w:t>
      </w:r>
    </w:p>
    <w:p w14:paraId="708C6F5C">
      <w:pPr>
        <w:pStyle w:val="15"/>
        <w:widowControl w:val="0"/>
        <w:spacing w:before="120" w:line="264"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Whereas the Civil Law No. 91/2015/QH13 dated November 24, 2015 of National Assembly;</w:t>
      </w:r>
    </w:p>
    <w:p w14:paraId="708C6F5D">
      <w:pPr>
        <w:widowControl w:val="0"/>
        <w:spacing w:before="120" w:after="120" w:line="240" w:lineRule="auto"/>
        <w:ind w:firstLine="567"/>
        <w:jc w:val="both"/>
        <w:rPr>
          <w:color w:val="000000" w:themeColor="text1"/>
          <w:sz w:val="26"/>
          <w:szCs w:val="26"/>
          <w14:textFill>
            <w14:solidFill>
              <w14:schemeClr w14:val="tx1"/>
            </w14:solidFill>
          </w14:textFill>
        </w:rPr>
      </w:pPr>
      <w:bookmarkStart w:id="438" w:name="_Hlk196744614"/>
      <w:r>
        <w:rPr>
          <w:color w:val="000000" w:themeColor="text1"/>
          <w:sz w:val="26"/>
          <w:szCs w:val="26"/>
          <w14:textFill>
            <w14:solidFill>
              <w14:schemeClr w14:val="tx1"/>
            </w14:solidFill>
          </w14:textFill>
        </w:rPr>
        <w:t>Whereas the Procurement Law No.22/2023/QH15 dated one June 23</w:t>
      </w:r>
      <w:r>
        <w:rPr>
          <w:color w:val="000000" w:themeColor="text1"/>
          <w:sz w:val="26"/>
          <w:szCs w:val="26"/>
          <w:vertAlign w:val="superscript"/>
          <w14:textFill>
            <w14:solidFill>
              <w14:schemeClr w14:val="tx1"/>
            </w14:solidFill>
          </w14:textFill>
        </w:rPr>
        <w:t>rd</w:t>
      </w:r>
      <w:r>
        <w:rPr>
          <w:color w:val="000000" w:themeColor="text1"/>
          <w:sz w:val="26"/>
          <w:szCs w:val="26"/>
          <w14:textFill>
            <w14:solidFill>
              <w14:schemeClr w14:val="tx1"/>
            </w14:solidFill>
          </w14:textFill>
        </w:rPr>
        <w:t xml:space="preserve"> 2023 of National Assembly;</w:t>
      </w:r>
    </w:p>
    <w:bookmarkEnd w:id="438"/>
    <w:p w14:paraId="708C6F5E">
      <w:pPr>
        <w:widowControl w:val="0"/>
        <w:spacing w:before="120" w:after="120" w:line="240" w:lineRule="auto"/>
        <w:ind w:firstLine="567"/>
        <w:jc w:val="both"/>
        <w:rPr>
          <w:rFonts w:hint="default"/>
          <w:color w:val="auto"/>
          <w:sz w:val="27"/>
          <w:szCs w:val="27"/>
          <w:lang w:val="en-US"/>
        </w:rPr>
      </w:pPr>
      <w:r>
        <w:rPr>
          <w:color w:val="000000" w:themeColor="text1"/>
          <w:sz w:val="26"/>
          <w:szCs w:val="26"/>
          <w14:textFill>
            <w14:solidFill>
              <w14:schemeClr w14:val="tx1"/>
            </w14:solidFill>
          </w14:textFill>
        </w:rPr>
        <w:t xml:space="preserve">Whereas </w:t>
      </w:r>
      <w:r>
        <w:rPr>
          <w:sz w:val="27"/>
          <w:szCs w:val="27"/>
        </w:rPr>
        <w:t>the Law amending and supplementing a number of articles of the Law on Planning, the Law on Investme</w:t>
      </w:r>
      <w:r>
        <w:rPr>
          <w:color w:val="auto"/>
          <w:sz w:val="27"/>
          <w:szCs w:val="27"/>
        </w:rPr>
        <w:t>nt, the Law on Investment under the form of public-private partnership and the Law on Bidding No.57/2024/QH15 dated November 29, 2024;</w:t>
      </w:r>
      <w:r>
        <w:rPr>
          <w:rFonts w:hint="default"/>
          <w:color w:val="auto"/>
          <w:sz w:val="27"/>
          <w:szCs w:val="27"/>
          <w:lang w:val="en-US"/>
        </w:rPr>
        <w:t xml:space="preserve"> Law 90/2025/QH15 dated July 01</w:t>
      </w:r>
      <w:r>
        <w:rPr>
          <w:rFonts w:hint="default"/>
          <w:color w:val="auto"/>
          <w:sz w:val="27"/>
          <w:szCs w:val="27"/>
          <w:vertAlign w:val="superscript"/>
          <w:lang w:val="en-US"/>
        </w:rPr>
        <w:t>st</w:t>
      </w:r>
      <w:r>
        <w:rPr>
          <w:rFonts w:hint="default"/>
          <w:color w:val="auto"/>
          <w:sz w:val="27"/>
          <w:szCs w:val="27"/>
          <w:lang w:val="en-US"/>
        </w:rPr>
        <w:t xml:space="preserve"> 2025;</w:t>
      </w:r>
    </w:p>
    <w:p w14:paraId="708C6F5F">
      <w:pPr>
        <w:widowControl w:val="0"/>
        <w:spacing w:before="120" w:after="120" w:line="240" w:lineRule="auto"/>
        <w:ind w:firstLine="567"/>
        <w:jc w:val="both"/>
        <w:rPr>
          <w:color w:val="auto"/>
          <w:sz w:val="27"/>
          <w:szCs w:val="27"/>
        </w:rPr>
      </w:pPr>
      <w:r>
        <w:rPr>
          <w:color w:val="auto"/>
          <w:sz w:val="27"/>
          <w:szCs w:val="27"/>
        </w:rPr>
        <w:t xml:space="preserve">Whereas the </w:t>
      </w:r>
      <w:r>
        <w:rPr>
          <w:color w:val="auto"/>
          <w:sz w:val="26"/>
          <w:szCs w:val="26"/>
        </w:rPr>
        <w:t>Decree No. 214/2025/ND-CP</w:t>
      </w:r>
      <w:r>
        <w:rPr>
          <w:rFonts w:hint="default"/>
          <w:color w:val="auto"/>
          <w:sz w:val="26"/>
          <w:szCs w:val="26"/>
          <w:lang w:val="en-US"/>
        </w:rPr>
        <w:t xml:space="preserve"> dated on 04</w:t>
      </w:r>
      <w:r>
        <w:rPr>
          <w:rFonts w:hint="default"/>
          <w:color w:val="auto"/>
          <w:sz w:val="26"/>
          <w:szCs w:val="26"/>
          <w:vertAlign w:val="superscript"/>
          <w:lang w:val="en-US"/>
        </w:rPr>
        <w:t>th</w:t>
      </w:r>
      <w:r>
        <w:rPr>
          <w:rFonts w:hint="default"/>
          <w:color w:val="auto"/>
          <w:sz w:val="26"/>
          <w:szCs w:val="26"/>
          <w:lang w:val="en-US"/>
        </w:rPr>
        <w:t xml:space="preserve"> August 2025 of </w:t>
      </w:r>
      <w:r>
        <w:rPr>
          <w:color w:val="auto"/>
          <w:sz w:val="27"/>
          <w:szCs w:val="27"/>
        </w:rPr>
        <w:t>the Government providing guidelines the implementation of Procurement Law on selection of contractor;</w:t>
      </w:r>
    </w:p>
    <w:p w14:paraId="708C6F60">
      <w:pPr>
        <w:widowControl w:val="0"/>
        <w:spacing w:before="120" w:after="120" w:line="240" w:lineRule="auto"/>
        <w:ind w:firstLine="567"/>
        <w:jc w:val="both"/>
        <w:rPr>
          <w:color w:val="000000" w:themeColor="text1"/>
          <w:sz w:val="26"/>
          <w:szCs w:val="26"/>
          <w14:textFill>
            <w14:solidFill>
              <w14:schemeClr w14:val="tx1"/>
            </w14:solidFill>
          </w14:textFill>
        </w:rPr>
      </w:pPr>
      <w:r>
        <w:rPr>
          <w:color w:val="000000" w:themeColor="text1"/>
          <w:sz w:val="27"/>
          <w:szCs w:val="27"/>
          <w14:textFill>
            <w14:solidFill>
              <w14:schemeClr w14:val="tx1"/>
            </w14:solidFill>
          </w14:textFill>
        </w:rPr>
        <w:t xml:space="preserve">Whereas the </w:t>
      </w:r>
      <w:r>
        <w:rPr>
          <w:sz w:val="27"/>
          <w:szCs w:val="27"/>
        </w:rPr>
        <w:t>Decree No.17/2025/ND-CP dated February 6, 2025 of the Government amending and supplementing a number of articles of the Decrees detailing a number of articles and measures to implement the Law on Bidding;</w:t>
      </w:r>
    </w:p>
    <w:p w14:paraId="708C6F61">
      <w:pPr>
        <w:pStyle w:val="15"/>
        <w:widowControl w:val="0"/>
        <w:spacing w:before="120" w:line="264" w:lineRule="auto"/>
        <w:ind w:firstLine="567"/>
        <w:jc w:val="both"/>
        <w:rPr>
          <w:color w:val="000000" w:themeColor="text1"/>
          <w:sz w:val="26"/>
          <w:szCs w:val="26"/>
          <w14:textFill>
            <w14:solidFill>
              <w14:schemeClr w14:val="tx1"/>
            </w14:solidFill>
          </w14:textFill>
        </w:rPr>
      </w:pPr>
      <w:bookmarkStart w:id="439" w:name="_Hlk196744641"/>
      <w:r>
        <w:rPr>
          <w:color w:val="000000" w:themeColor="text1"/>
          <w:sz w:val="26"/>
          <w:szCs w:val="26"/>
          <w14:textFill>
            <w14:solidFill>
              <w14:schemeClr w14:val="tx1"/>
            </w14:solidFill>
          </w14:textFill>
        </w:rPr>
        <w:t xml:space="preserve">Whereas the Decision No. ___ dated on ______ of </w:t>
      </w:r>
      <w:r>
        <w:rPr>
          <w:i/>
          <w:color w:val="000000" w:themeColor="text1"/>
          <w:sz w:val="26"/>
          <w:szCs w:val="26"/>
          <w14:textFill>
            <w14:solidFill>
              <w14:schemeClr w14:val="tx1"/>
            </w14:solidFill>
          </w14:textFill>
        </w:rPr>
        <w:t>[insert name of Purchaser]</w:t>
      </w:r>
      <w:r>
        <w:rPr>
          <w:color w:val="000000" w:themeColor="text1"/>
          <w:sz w:val="26"/>
          <w:szCs w:val="26"/>
          <w14:textFill>
            <w14:solidFill>
              <w14:schemeClr w14:val="tx1"/>
            </w14:solidFill>
          </w14:textFill>
        </w:rPr>
        <w:t xml:space="preserve"> on approval of the Bid selection result for </w:t>
      </w:r>
      <w:r>
        <w:rPr>
          <w:i/>
          <w:color w:val="000000" w:themeColor="text1"/>
          <w:sz w:val="26"/>
          <w:szCs w:val="26"/>
          <w14:textFill>
            <w14:solidFill>
              <w14:schemeClr w14:val="tx1"/>
            </w14:solidFill>
          </w14:textFill>
        </w:rPr>
        <w:t>[insert name of package]</w:t>
      </w:r>
      <w:r>
        <w:rPr>
          <w:color w:val="000000" w:themeColor="text1"/>
          <w:sz w:val="26"/>
          <w:szCs w:val="26"/>
          <w14:textFill>
            <w14:solidFill>
              <w14:schemeClr w14:val="tx1"/>
            </w14:solidFill>
          </w14:textFill>
        </w:rPr>
        <w:t xml:space="preserve"> and the </w:t>
      </w:r>
      <w:r>
        <w:rPr>
          <w:rFonts w:eastAsia="Arial"/>
          <w:color w:val="000000" w:themeColor="text1"/>
          <w:sz w:val="26"/>
          <w:szCs w:val="26"/>
          <w14:textFill>
            <w14:solidFill>
              <w14:schemeClr w14:val="tx1"/>
            </w14:solidFill>
          </w14:textFill>
        </w:rPr>
        <w:t xml:space="preserve">Notification of acceptance and award contract </w:t>
      </w:r>
      <w:r>
        <w:rPr>
          <w:color w:val="000000" w:themeColor="text1"/>
          <w:sz w:val="26"/>
          <w:szCs w:val="26"/>
          <w14:textFill>
            <w14:solidFill>
              <w14:schemeClr w14:val="tx1"/>
            </w14:solidFill>
          </w14:textFill>
        </w:rPr>
        <w:t>and award No.___ dated on _____ of the Purchaser;</w:t>
      </w:r>
    </w:p>
    <w:p w14:paraId="708C6F62">
      <w:pPr>
        <w:pStyle w:val="15"/>
        <w:widowControl w:val="0"/>
        <w:spacing w:before="120" w:line="264"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Whereas the Minutes of contract negotiation (if any) and the Minutes of contract completion signed by the Purchaser and the Supplier on ____</w:t>
      </w:r>
      <w:r>
        <w:rPr>
          <w:i/>
          <w:color w:val="000000" w:themeColor="text1"/>
          <w:sz w:val="26"/>
          <w:szCs w:val="26"/>
          <w14:textFill>
            <w14:solidFill>
              <w14:schemeClr w14:val="tx1"/>
            </w14:solidFill>
          </w14:textFill>
        </w:rPr>
        <w:t>[insert date of signing].</w:t>
      </w:r>
    </w:p>
    <w:bookmarkEnd w:id="439"/>
    <w:p w14:paraId="708C6F63">
      <w:pPr>
        <w:pStyle w:val="15"/>
        <w:widowControl w:val="0"/>
        <w:spacing w:before="120" w:line="264" w:lineRule="auto"/>
        <w:ind w:firstLine="567"/>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We, parties to this Contract:</w:t>
      </w:r>
    </w:p>
    <w:p w14:paraId="708C6F64">
      <w:pPr>
        <w:pStyle w:val="15"/>
        <w:widowControl w:val="0"/>
        <w:spacing w:before="120" w:line="264" w:lineRule="auto"/>
        <w:ind w:firstLine="567"/>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Purchaser (hereinafter called “the Purchaser”)</w:t>
      </w:r>
    </w:p>
    <w:p w14:paraId="708C6F65">
      <w:pPr>
        <w:pStyle w:val="15"/>
        <w:widowControl w:val="0"/>
        <w:tabs>
          <w:tab w:val="left" w:leader="underscore" w:pos="9072"/>
        </w:tabs>
        <w:spacing w:before="120"/>
        <w:ind w:firstLine="56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Name of the Purchaser:</w:t>
      </w:r>
      <w:r>
        <w:rPr>
          <w:color w:val="000000" w:themeColor="text1"/>
          <w:sz w:val="26"/>
          <w:szCs w:val="26"/>
          <w14:textFill>
            <w14:solidFill>
              <w14:schemeClr w14:val="tx1"/>
            </w14:solidFill>
          </w14:textFill>
        </w:rPr>
        <w:tab/>
      </w:r>
    </w:p>
    <w:p w14:paraId="708C6F66">
      <w:pPr>
        <w:pStyle w:val="15"/>
        <w:widowControl w:val="0"/>
        <w:tabs>
          <w:tab w:val="left" w:leader="underscore" w:pos="9072"/>
        </w:tabs>
        <w:spacing w:before="120"/>
        <w:ind w:firstLine="56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Address:</w:t>
      </w:r>
      <w:r>
        <w:rPr>
          <w:color w:val="000000" w:themeColor="text1"/>
          <w:sz w:val="26"/>
          <w:szCs w:val="26"/>
          <w14:textFill>
            <w14:solidFill>
              <w14:schemeClr w14:val="tx1"/>
            </w14:solidFill>
          </w14:textFill>
        </w:rPr>
        <w:tab/>
      </w:r>
    </w:p>
    <w:p w14:paraId="708C6F67">
      <w:pPr>
        <w:pStyle w:val="15"/>
        <w:widowControl w:val="0"/>
        <w:tabs>
          <w:tab w:val="left" w:leader="underscore" w:pos="9072"/>
        </w:tabs>
        <w:spacing w:before="120"/>
        <w:ind w:firstLine="56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Telephone:</w:t>
      </w:r>
      <w:r>
        <w:rPr>
          <w:color w:val="000000" w:themeColor="text1"/>
          <w:sz w:val="26"/>
          <w:szCs w:val="26"/>
          <w14:textFill>
            <w14:solidFill>
              <w14:schemeClr w14:val="tx1"/>
            </w14:solidFill>
          </w14:textFill>
        </w:rPr>
        <w:tab/>
      </w:r>
    </w:p>
    <w:p w14:paraId="708C6F68">
      <w:pPr>
        <w:pStyle w:val="15"/>
        <w:widowControl w:val="0"/>
        <w:tabs>
          <w:tab w:val="left" w:leader="underscore" w:pos="9072"/>
        </w:tabs>
        <w:spacing w:before="120"/>
        <w:ind w:firstLine="56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Fax:</w:t>
      </w:r>
      <w:r>
        <w:rPr>
          <w:color w:val="000000" w:themeColor="text1"/>
          <w:sz w:val="26"/>
          <w:szCs w:val="26"/>
          <w14:textFill>
            <w14:solidFill>
              <w14:schemeClr w14:val="tx1"/>
            </w14:solidFill>
          </w14:textFill>
        </w:rPr>
        <w:tab/>
      </w:r>
    </w:p>
    <w:p w14:paraId="708C6F69">
      <w:pPr>
        <w:pStyle w:val="15"/>
        <w:widowControl w:val="0"/>
        <w:tabs>
          <w:tab w:val="left" w:leader="underscore" w:pos="9072"/>
        </w:tabs>
        <w:spacing w:before="120"/>
        <w:ind w:firstLine="56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E-mail:</w:t>
      </w:r>
      <w:r>
        <w:rPr>
          <w:color w:val="000000" w:themeColor="text1"/>
          <w:sz w:val="26"/>
          <w:szCs w:val="26"/>
          <w14:textFill>
            <w14:solidFill>
              <w14:schemeClr w14:val="tx1"/>
            </w14:solidFill>
          </w14:textFill>
        </w:rPr>
        <w:tab/>
      </w:r>
    </w:p>
    <w:p w14:paraId="708C6F6A">
      <w:pPr>
        <w:pStyle w:val="15"/>
        <w:widowControl w:val="0"/>
        <w:tabs>
          <w:tab w:val="left" w:leader="underscore" w:pos="9072"/>
        </w:tabs>
        <w:spacing w:before="120"/>
        <w:ind w:firstLine="56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Account No:</w:t>
      </w:r>
      <w:r>
        <w:rPr>
          <w:color w:val="000000" w:themeColor="text1"/>
          <w:sz w:val="26"/>
          <w:szCs w:val="26"/>
          <w14:textFill>
            <w14:solidFill>
              <w14:schemeClr w14:val="tx1"/>
            </w14:solidFill>
          </w14:textFill>
        </w:rPr>
        <w:tab/>
      </w:r>
    </w:p>
    <w:p w14:paraId="708C6F6B">
      <w:pPr>
        <w:pStyle w:val="15"/>
        <w:widowControl w:val="0"/>
        <w:tabs>
          <w:tab w:val="left" w:leader="underscore" w:pos="9072"/>
        </w:tabs>
        <w:spacing w:before="120"/>
        <w:ind w:firstLine="56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Tax reference number:</w:t>
      </w:r>
      <w:r>
        <w:rPr>
          <w:color w:val="000000" w:themeColor="text1"/>
          <w:sz w:val="26"/>
          <w:szCs w:val="26"/>
          <w14:textFill>
            <w14:solidFill>
              <w14:schemeClr w14:val="tx1"/>
            </w14:solidFill>
          </w14:textFill>
        </w:rPr>
        <w:tab/>
      </w:r>
    </w:p>
    <w:p w14:paraId="708C6F6C">
      <w:pPr>
        <w:pStyle w:val="15"/>
        <w:widowControl w:val="0"/>
        <w:tabs>
          <w:tab w:val="left" w:leader="underscore" w:pos="9072"/>
        </w:tabs>
        <w:spacing w:before="120"/>
        <w:ind w:firstLine="56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Representative: Mr./Mrs./Ms.:</w:t>
      </w:r>
      <w:r>
        <w:rPr>
          <w:color w:val="000000" w:themeColor="text1"/>
          <w:sz w:val="26"/>
          <w:szCs w:val="26"/>
          <w14:textFill>
            <w14:solidFill>
              <w14:schemeClr w14:val="tx1"/>
            </w14:solidFill>
          </w14:textFill>
        </w:rPr>
        <w:tab/>
      </w:r>
    </w:p>
    <w:p w14:paraId="708C6F6D">
      <w:pPr>
        <w:pStyle w:val="15"/>
        <w:widowControl w:val="0"/>
        <w:tabs>
          <w:tab w:val="left" w:leader="underscore" w:pos="9072"/>
        </w:tabs>
        <w:spacing w:before="120"/>
        <w:ind w:firstLine="56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Title:</w:t>
      </w:r>
      <w:r>
        <w:rPr>
          <w:color w:val="000000" w:themeColor="text1"/>
          <w:sz w:val="26"/>
          <w:szCs w:val="26"/>
          <w14:textFill>
            <w14:solidFill>
              <w14:schemeClr w14:val="tx1"/>
            </w14:solidFill>
          </w14:textFill>
        </w:rPr>
        <w:tab/>
      </w:r>
    </w:p>
    <w:p w14:paraId="708C6F6E">
      <w:pPr>
        <w:pStyle w:val="15"/>
        <w:widowControl w:val="0"/>
        <w:spacing w:before="120" w:line="264" w:lineRule="auto"/>
        <w:ind w:firstLine="567"/>
        <w:rPr>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Power of Attorney No. (for signing of the Contract): dated on ___ [if any].</w:t>
      </w:r>
    </w:p>
    <w:p w14:paraId="708C6F6F">
      <w:pPr>
        <w:pStyle w:val="15"/>
        <w:widowControl w:val="0"/>
        <w:spacing w:before="120" w:line="264" w:lineRule="auto"/>
        <w:ind w:firstLine="567"/>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Supplier (hereinafter called “the Supplier”)</w:t>
      </w:r>
    </w:p>
    <w:p w14:paraId="708C6F70">
      <w:pPr>
        <w:pStyle w:val="15"/>
        <w:widowControl w:val="0"/>
        <w:tabs>
          <w:tab w:val="left" w:leader="underscore" w:pos="9072"/>
        </w:tabs>
        <w:spacing w:before="120"/>
        <w:ind w:firstLine="56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Name of the Supplier:</w:t>
      </w:r>
      <w:r>
        <w:rPr>
          <w:color w:val="000000" w:themeColor="text1"/>
          <w:sz w:val="26"/>
          <w:szCs w:val="26"/>
          <w14:textFill>
            <w14:solidFill>
              <w14:schemeClr w14:val="tx1"/>
            </w14:solidFill>
          </w14:textFill>
        </w:rPr>
        <w:tab/>
      </w:r>
    </w:p>
    <w:p w14:paraId="708C6F71">
      <w:pPr>
        <w:pStyle w:val="15"/>
        <w:widowControl w:val="0"/>
        <w:tabs>
          <w:tab w:val="left" w:leader="underscore" w:pos="9072"/>
        </w:tabs>
        <w:spacing w:before="120"/>
        <w:ind w:firstLine="56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Address:</w:t>
      </w:r>
      <w:r>
        <w:rPr>
          <w:color w:val="000000" w:themeColor="text1"/>
          <w:sz w:val="26"/>
          <w:szCs w:val="26"/>
          <w14:textFill>
            <w14:solidFill>
              <w14:schemeClr w14:val="tx1"/>
            </w14:solidFill>
          </w14:textFill>
        </w:rPr>
        <w:tab/>
      </w:r>
    </w:p>
    <w:p w14:paraId="708C6F72">
      <w:pPr>
        <w:pStyle w:val="15"/>
        <w:widowControl w:val="0"/>
        <w:tabs>
          <w:tab w:val="left" w:leader="underscore" w:pos="9072"/>
        </w:tabs>
        <w:spacing w:before="120"/>
        <w:ind w:firstLine="56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Telephone:</w:t>
      </w:r>
      <w:r>
        <w:rPr>
          <w:color w:val="000000" w:themeColor="text1"/>
          <w:sz w:val="26"/>
          <w:szCs w:val="26"/>
          <w14:textFill>
            <w14:solidFill>
              <w14:schemeClr w14:val="tx1"/>
            </w14:solidFill>
          </w14:textFill>
        </w:rPr>
        <w:tab/>
      </w:r>
    </w:p>
    <w:p w14:paraId="708C6F73">
      <w:pPr>
        <w:pStyle w:val="15"/>
        <w:widowControl w:val="0"/>
        <w:tabs>
          <w:tab w:val="left" w:leader="underscore" w:pos="9072"/>
        </w:tabs>
        <w:spacing w:before="120"/>
        <w:ind w:firstLine="56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Fax:</w:t>
      </w:r>
      <w:r>
        <w:rPr>
          <w:color w:val="000000" w:themeColor="text1"/>
          <w:sz w:val="26"/>
          <w:szCs w:val="26"/>
          <w14:textFill>
            <w14:solidFill>
              <w14:schemeClr w14:val="tx1"/>
            </w14:solidFill>
          </w14:textFill>
        </w:rPr>
        <w:tab/>
      </w:r>
    </w:p>
    <w:p w14:paraId="708C6F74">
      <w:pPr>
        <w:pStyle w:val="15"/>
        <w:widowControl w:val="0"/>
        <w:tabs>
          <w:tab w:val="left" w:leader="underscore" w:pos="9072"/>
        </w:tabs>
        <w:spacing w:before="120"/>
        <w:ind w:firstLine="56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E-mail:</w:t>
      </w:r>
      <w:r>
        <w:rPr>
          <w:color w:val="000000" w:themeColor="text1"/>
          <w:sz w:val="26"/>
          <w:szCs w:val="26"/>
          <w14:textFill>
            <w14:solidFill>
              <w14:schemeClr w14:val="tx1"/>
            </w14:solidFill>
          </w14:textFill>
        </w:rPr>
        <w:tab/>
      </w:r>
    </w:p>
    <w:p w14:paraId="708C6F75">
      <w:pPr>
        <w:pStyle w:val="15"/>
        <w:widowControl w:val="0"/>
        <w:tabs>
          <w:tab w:val="left" w:leader="underscore" w:pos="9072"/>
        </w:tabs>
        <w:spacing w:before="120"/>
        <w:ind w:firstLine="56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Account No:</w:t>
      </w:r>
      <w:r>
        <w:rPr>
          <w:color w:val="000000" w:themeColor="text1"/>
          <w:sz w:val="26"/>
          <w:szCs w:val="26"/>
          <w14:textFill>
            <w14:solidFill>
              <w14:schemeClr w14:val="tx1"/>
            </w14:solidFill>
          </w14:textFill>
        </w:rPr>
        <w:tab/>
      </w:r>
    </w:p>
    <w:p w14:paraId="708C6F76">
      <w:pPr>
        <w:pStyle w:val="15"/>
        <w:widowControl w:val="0"/>
        <w:tabs>
          <w:tab w:val="left" w:leader="underscore" w:pos="9072"/>
        </w:tabs>
        <w:spacing w:before="120"/>
        <w:ind w:firstLine="56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Tax reference number:</w:t>
      </w:r>
      <w:r>
        <w:rPr>
          <w:color w:val="000000" w:themeColor="text1"/>
          <w:sz w:val="26"/>
          <w:szCs w:val="26"/>
          <w14:textFill>
            <w14:solidFill>
              <w14:schemeClr w14:val="tx1"/>
            </w14:solidFill>
          </w14:textFill>
        </w:rPr>
        <w:tab/>
      </w:r>
    </w:p>
    <w:p w14:paraId="708C6F77">
      <w:pPr>
        <w:pStyle w:val="15"/>
        <w:widowControl w:val="0"/>
        <w:tabs>
          <w:tab w:val="left" w:leader="underscore" w:pos="9072"/>
        </w:tabs>
        <w:spacing w:before="120"/>
        <w:ind w:firstLine="56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Representative: Mr./Mrs./Ms.:</w:t>
      </w:r>
      <w:r>
        <w:rPr>
          <w:color w:val="000000" w:themeColor="text1"/>
          <w:sz w:val="26"/>
          <w:szCs w:val="26"/>
          <w14:textFill>
            <w14:solidFill>
              <w14:schemeClr w14:val="tx1"/>
            </w14:solidFill>
          </w14:textFill>
        </w:rPr>
        <w:tab/>
      </w:r>
    </w:p>
    <w:p w14:paraId="708C6F78">
      <w:pPr>
        <w:pStyle w:val="15"/>
        <w:widowControl w:val="0"/>
        <w:tabs>
          <w:tab w:val="left" w:leader="underscore" w:pos="9072"/>
        </w:tabs>
        <w:spacing w:before="120"/>
        <w:ind w:firstLine="56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Title:</w:t>
      </w:r>
      <w:r>
        <w:rPr>
          <w:color w:val="000000" w:themeColor="text1"/>
          <w:sz w:val="26"/>
          <w:szCs w:val="26"/>
          <w14:textFill>
            <w14:solidFill>
              <w14:schemeClr w14:val="tx1"/>
            </w14:solidFill>
          </w14:textFill>
        </w:rPr>
        <w:tab/>
      </w:r>
    </w:p>
    <w:p w14:paraId="708C6F79">
      <w:pPr>
        <w:pStyle w:val="15"/>
        <w:widowControl w:val="0"/>
        <w:spacing w:before="120" w:line="264" w:lineRule="auto"/>
        <w:ind w:firstLine="567"/>
        <w:rPr>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Power of Attorney No. (for signing of the Contract): dated on ___ [if any].</w:t>
      </w:r>
    </w:p>
    <w:p w14:paraId="708C6F7A">
      <w:pPr>
        <w:pStyle w:val="15"/>
        <w:widowControl w:val="0"/>
        <w:spacing w:before="120" w:line="264" w:lineRule="auto"/>
        <w:ind w:firstLine="567"/>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Now hereby agree to sign the Contract for supply of goods as follows:</w:t>
      </w:r>
    </w:p>
    <w:p w14:paraId="708C6F7B">
      <w:pPr>
        <w:pStyle w:val="15"/>
        <w:widowControl w:val="0"/>
        <w:spacing w:before="120" w:line="252" w:lineRule="auto"/>
        <w:ind w:firstLine="562"/>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Article 1. Subject of Contract </w:t>
      </w:r>
    </w:p>
    <w:p w14:paraId="708C6F7C">
      <w:pPr>
        <w:pStyle w:val="15"/>
        <w:widowControl w:val="0"/>
        <w:spacing w:before="120" w:line="252" w:lineRule="auto"/>
        <w:ind w:firstLine="562"/>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The subject of the Contract is the Goods and Related Services identified in the attached Appendix. </w:t>
      </w:r>
    </w:p>
    <w:p w14:paraId="708C6F7D">
      <w:pPr>
        <w:pStyle w:val="15"/>
        <w:widowControl w:val="0"/>
        <w:spacing w:before="120" w:line="252" w:lineRule="auto"/>
        <w:ind w:firstLine="562"/>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Article 2. Contract Documents</w:t>
      </w:r>
    </w:p>
    <w:p w14:paraId="708C6F7E">
      <w:pPr>
        <w:widowControl w:val="0"/>
        <w:tabs>
          <w:tab w:val="left" w:pos="342"/>
          <w:tab w:val="left" w:pos="567"/>
        </w:tabs>
        <w:overflowPunct w:val="0"/>
        <w:autoSpaceDE w:val="0"/>
        <w:autoSpaceDN w:val="0"/>
        <w:adjustRightInd w:val="0"/>
        <w:spacing w:before="120" w:after="120"/>
        <w:ind w:right="138"/>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 xml:space="preserve">The documents forming the Contract shall be interpreted in the following order of priority: </w:t>
      </w:r>
    </w:p>
    <w:p w14:paraId="708C6F7F">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Contract agreement, attached annexes;</w:t>
      </w:r>
    </w:p>
    <w:p w14:paraId="708C6F80">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iCs/>
          <w:color w:val="000000" w:themeColor="text1"/>
          <w:sz w:val="26"/>
          <w:szCs w:val="26"/>
          <w14:textFill>
            <w14:solidFill>
              <w14:schemeClr w14:val="tx1"/>
            </w14:solidFill>
          </w14:textFill>
        </w:rPr>
      </w:pPr>
      <w:r>
        <w:rPr>
          <w:sz w:val="26"/>
          <w:szCs w:val="26"/>
        </w:rPr>
        <w:t xml:space="preserve">Minutes of contract negotiation (if any), </w:t>
      </w:r>
      <w:r>
        <w:rPr>
          <w:iCs/>
          <w:sz w:val="26"/>
          <w:szCs w:val="26"/>
        </w:rPr>
        <w:t>completion</w:t>
      </w:r>
    </w:p>
    <w:p w14:paraId="708C6F81">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Notification of acceptance and award;</w:t>
      </w:r>
    </w:p>
    <w:p w14:paraId="708C6F82">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Decision approving selection bidder result; </w:t>
      </w:r>
    </w:p>
    <w:p w14:paraId="708C6F83">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SCC;</w:t>
      </w:r>
    </w:p>
    <w:p w14:paraId="708C6F84">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GCC;</w:t>
      </w:r>
    </w:p>
    <w:p w14:paraId="708C6F85">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Bid and bidder’s documents on clarification of bid; </w:t>
      </w:r>
    </w:p>
    <w:p w14:paraId="708C6F86">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Bidding Documents and its modification documents (if any);</w:t>
      </w:r>
    </w:p>
    <w:p w14:paraId="708C6F87">
      <w:pPr>
        <w:widowControl w:val="0"/>
        <w:numPr>
          <w:ilvl w:val="0"/>
          <w:numId w:val="90"/>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Any other document listed in the </w:t>
      </w:r>
      <w:r>
        <w:rPr>
          <w:b/>
          <w:color w:val="000000" w:themeColor="text1"/>
          <w:sz w:val="26"/>
          <w:szCs w:val="26"/>
          <w14:textFill>
            <w14:solidFill>
              <w14:schemeClr w14:val="tx1"/>
            </w14:solidFill>
          </w14:textFill>
        </w:rPr>
        <w:t>SCC</w:t>
      </w:r>
      <w:r>
        <w:rPr>
          <w:color w:val="000000" w:themeColor="text1"/>
          <w:sz w:val="26"/>
          <w:szCs w:val="26"/>
          <w14:textFill>
            <w14:solidFill>
              <w14:schemeClr w14:val="tx1"/>
            </w14:solidFill>
          </w14:textFill>
        </w:rPr>
        <w:t>.</w:t>
      </w:r>
    </w:p>
    <w:p w14:paraId="708C6F88">
      <w:pPr>
        <w:widowControl w:val="0"/>
        <w:shd w:val="clear" w:color="auto" w:fill="FFFFFF"/>
        <w:tabs>
          <w:tab w:val="left" w:pos="461"/>
        </w:tabs>
        <w:overflowPunct w:val="0"/>
        <w:autoSpaceDE w:val="0"/>
        <w:autoSpaceDN w:val="0"/>
        <w:adjustRightInd w:val="0"/>
        <w:spacing w:before="40" w:after="40" w:line="240" w:lineRule="auto"/>
        <w:ind w:left="603" w:right="138"/>
        <w:jc w:val="both"/>
        <w:textAlignment w:val="baseline"/>
        <w:rPr>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Article 3. Liability of the Purchaser</w:t>
      </w:r>
    </w:p>
    <w:p w14:paraId="708C6F89">
      <w:pPr>
        <w:pStyle w:val="15"/>
        <w:widowControl w:val="0"/>
        <w:spacing w:before="120" w:line="252" w:lineRule="auto"/>
        <w:ind w:firstLine="562"/>
        <w:jc w:val="both"/>
        <w:rPr>
          <w:color w:val="000000" w:themeColor="text1"/>
          <w:spacing w:val="-2"/>
          <w:sz w:val="26"/>
          <w:szCs w:val="26"/>
          <w14:textFill>
            <w14:solidFill>
              <w14:schemeClr w14:val="tx1"/>
            </w14:solidFill>
          </w14:textFill>
        </w:rPr>
      </w:pPr>
      <w:r>
        <w:rPr>
          <w:color w:val="000000" w:themeColor="text1"/>
          <w:sz w:val="26"/>
          <w:szCs w:val="26"/>
          <w14:textFill>
            <w14:solidFill>
              <w14:schemeClr w14:val="tx1"/>
            </w14:solidFill>
          </w14:textFill>
        </w:rPr>
        <w:t>The Purchaser commits to pay the Supplier in consideration of the Contract Price as stated in the Article 5 of this Contract in the manner prescribed by the Special Conditions of the Contract, as well as to carry out the duties and liabilities in conformity in all respects with the provisions the General Conditions of the Contract and the Special Conditions of the Contract.</w:t>
      </w:r>
    </w:p>
    <w:p w14:paraId="708C6F8A">
      <w:pPr>
        <w:pStyle w:val="15"/>
        <w:widowControl w:val="0"/>
        <w:spacing w:before="120" w:line="264" w:lineRule="auto"/>
        <w:ind w:firstLine="567"/>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Article 4. Liability of the Supplier</w:t>
      </w:r>
    </w:p>
    <w:p w14:paraId="708C6F8B">
      <w:pPr>
        <w:pStyle w:val="15"/>
        <w:widowControl w:val="0"/>
        <w:spacing w:before="120" w:line="252" w:lineRule="auto"/>
        <w:ind w:firstLine="562"/>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Supplier commits with the Purchaser to provide the Goods and Related Services as specified in the Article 1 of this Contract and commit to carry out the duties and liabilities in conformity in all respects with the provisions the General Conditions of the Contract and the Special Conditions of the Contract.</w:t>
      </w:r>
    </w:p>
    <w:p w14:paraId="708C6F8C">
      <w:pPr>
        <w:pStyle w:val="15"/>
        <w:widowControl w:val="0"/>
        <w:spacing w:before="120" w:line="264" w:lineRule="auto"/>
        <w:ind w:firstLine="567"/>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Article 5. Contract Price and Terms of Payment </w:t>
      </w:r>
    </w:p>
    <w:p w14:paraId="708C6F8D">
      <w:pPr>
        <w:pStyle w:val="15"/>
        <w:widowControl w:val="0"/>
        <w:spacing w:before="120" w:line="264" w:lineRule="auto"/>
        <w:ind w:firstLine="567"/>
        <w:rPr>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1.Contract Price:</w:t>
      </w:r>
      <w:r>
        <w:rPr>
          <w:i/>
          <w:color w:val="000000" w:themeColor="text1"/>
          <w:sz w:val="26"/>
          <w:szCs w:val="26"/>
          <w14:textFill>
            <w14:solidFill>
              <w14:schemeClr w14:val="tx1"/>
            </w14:solidFill>
          </w14:textFill>
        </w:rPr>
        <w:t xml:space="preserve"> ____[insert clearly in numbers, in words and the currency].</w:t>
      </w:r>
    </w:p>
    <w:p w14:paraId="708C6F8E">
      <w:pPr>
        <w:pStyle w:val="15"/>
        <w:widowControl w:val="0"/>
        <w:spacing w:before="120" w:line="264" w:lineRule="auto"/>
        <w:ind w:firstLine="567"/>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2.Terms of Payment: are specified in the SCC Clause 14.2.</w:t>
      </w:r>
    </w:p>
    <w:p w14:paraId="708C6F8F">
      <w:pPr>
        <w:pStyle w:val="15"/>
        <w:widowControl w:val="0"/>
        <w:spacing w:before="120" w:line="264" w:lineRule="auto"/>
        <w:ind w:firstLine="567"/>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Article 6. Type of the Contract</w:t>
      </w:r>
    </w:p>
    <w:p w14:paraId="708C6F90">
      <w:pPr>
        <w:pStyle w:val="15"/>
        <w:widowControl w:val="0"/>
        <w:spacing w:before="120" w:line="264" w:lineRule="auto"/>
        <w:ind w:firstLine="567"/>
        <w:rPr>
          <w:i/>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____</w:t>
      </w:r>
      <w:r>
        <w:rPr>
          <w:i/>
          <w:color w:val="000000" w:themeColor="text1"/>
          <w:sz w:val="26"/>
          <w:szCs w:val="26"/>
          <w14:textFill>
            <w14:solidFill>
              <w14:schemeClr w14:val="tx1"/>
            </w14:solidFill>
          </w14:textFill>
        </w:rPr>
        <w:t>[insert the type of contract pursuant to the SCC]</w:t>
      </w:r>
    </w:p>
    <w:p w14:paraId="708C6F91">
      <w:pPr>
        <w:pStyle w:val="15"/>
        <w:widowControl w:val="0"/>
        <w:spacing w:before="120" w:line="264" w:lineRule="auto"/>
        <w:ind w:firstLine="567"/>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Article 7. Time for Contract Performance</w:t>
      </w:r>
    </w:p>
    <w:p w14:paraId="708C6F92">
      <w:pPr>
        <w:pStyle w:val="15"/>
        <w:widowControl w:val="0"/>
        <w:spacing w:before="120" w:line="264" w:lineRule="auto"/>
        <w:ind w:firstLine="567"/>
        <w:jc w:val="both"/>
        <w:rPr>
          <w:i/>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____</w:t>
      </w:r>
      <w:r>
        <w:rPr>
          <w:i/>
          <w:color w:val="000000" w:themeColor="text1"/>
          <w:sz w:val="26"/>
          <w:szCs w:val="26"/>
          <w14:textFill>
            <w14:solidFill>
              <w14:schemeClr w14:val="tx1"/>
            </w14:solidFill>
          </w14:textFill>
        </w:rPr>
        <w:t xml:space="preserve">[insert the time for contract performance pursuant to the SCC Clause 9,Bid and the result of contract </w:t>
      </w:r>
      <w:r>
        <w:rPr>
          <w:i/>
          <w:sz w:val="26"/>
          <w:szCs w:val="26"/>
        </w:rPr>
        <w:t>completion</w:t>
      </w:r>
      <w:r>
        <w:t xml:space="preserve"> </w:t>
      </w:r>
      <w:r>
        <w:rPr>
          <w:i/>
          <w:color w:val="000000" w:themeColor="text1"/>
          <w:sz w:val="26"/>
          <w:szCs w:val="26"/>
          <w14:textFill>
            <w14:solidFill>
              <w14:schemeClr w14:val="tx1"/>
            </w14:solidFill>
          </w14:textFill>
        </w:rPr>
        <w:t xml:space="preserve"> of two parties] </w:t>
      </w:r>
    </w:p>
    <w:p w14:paraId="708C6F93">
      <w:pPr>
        <w:pStyle w:val="15"/>
        <w:widowControl w:val="0"/>
        <w:spacing w:before="120" w:line="264" w:lineRule="auto"/>
        <w:ind w:firstLine="567"/>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Article 8. Effectiveness of the Contract</w:t>
      </w:r>
    </w:p>
    <w:p w14:paraId="708C6F94">
      <w:pPr>
        <w:pStyle w:val="15"/>
        <w:widowControl w:val="0"/>
        <w:spacing w:before="120" w:line="264"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 The Contract shall enter into full force and effective on….</w:t>
      </w:r>
    </w:p>
    <w:p w14:paraId="708C6F95">
      <w:pPr>
        <w:pStyle w:val="15"/>
        <w:widowControl w:val="0"/>
        <w:spacing w:before="120" w:line="264"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2. The Contract shall expire when the Contract is liquidated by the Parties according to the laws. </w:t>
      </w:r>
    </w:p>
    <w:p w14:paraId="708C6F96">
      <w:pPr>
        <w:pStyle w:val="15"/>
        <w:widowControl w:val="0"/>
        <w:spacing w:before="120" w:line="264"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This Contract is signed on and executed in ____ originals which having equal validity, the Purchaser shall keep ___ original(s) and the Supplier shall keep ___ original(s).</w:t>
      </w:r>
    </w:p>
    <w:p w14:paraId="708C6F97">
      <w:pPr>
        <w:pStyle w:val="15"/>
        <w:widowControl w:val="0"/>
        <w:spacing w:before="120" w:line="264" w:lineRule="auto"/>
        <w:ind w:firstLine="567"/>
        <w:rPr>
          <w:color w:val="000000" w:themeColor="text1"/>
          <w:sz w:val="26"/>
          <w:szCs w:val="26"/>
          <w14:textFill>
            <w14:solidFill>
              <w14:schemeClr w14:val="tx1"/>
            </w14:solidFill>
          </w14:textFill>
        </w:rPr>
      </w:pPr>
    </w:p>
    <w:tbl>
      <w:tblPr>
        <w:tblStyle w:val="12"/>
        <w:tblW w:w="9125" w:type="dxa"/>
        <w:tblInd w:w="0" w:type="dxa"/>
        <w:tblLayout w:type="autofit"/>
        <w:tblCellMar>
          <w:top w:w="0" w:type="dxa"/>
          <w:left w:w="108" w:type="dxa"/>
          <w:bottom w:w="0" w:type="dxa"/>
          <w:right w:w="108" w:type="dxa"/>
        </w:tblCellMar>
      </w:tblPr>
      <w:tblGrid>
        <w:gridCol w:w="4678"/>
        <w:gridCol w:w="4447"/>
      </w:tblGrid>
      <w:tr w14:paraId="708C6F9C">
        <w:tblPrEx>
          <w:tblCellMar>
            <w:top w:w="0" w:type="dxa"/>
            <w:left w:w="108" w:type="dxa"/>
            <w:bottom w:w="0" w:type="dxa"/>
            <w:right w:w="108" w:type="dxa"/>
          </w:tblCellMar>
        </w:tblPrEx>
        <w:tc>
          <w:tcPr>
            <w:tcW w:w="4678" w:type="dxa"/>
          </w:tcPr>
          <w:p w14:paraId="708C6F98">
            <w:pPr>
              <w:widowControl w:val="0"/>
              <w:jc w:val="both"/>
              <w:rPr>
                <w:b/>
                <w:bCs/>
              </w:rPr>
            </w:pPr>
            <w:r>
              <w:rPr>
                <w:b/>
                <w:bCs/>
              </w:rPr>
              <w:t>For and on behalf of the Supplier</w:t>
            </w:r>
          </w:p>
          <w:p w14:paraId="708C6F99">
            <w:pPr>
              <w:widowControl w:val="0"/>
              <w:spacing w:line="300" w:lineRule="exact"/>
              <w:jc w:val="center"/>
              <w:rPr>
                <w:color w:val="000000" w:themeColor="text1"/>
                <w:sz w:val="26"/>
                <w:szCs w:val="26"/>
                <w14:textFill>
                  <w14:solidFill>
                    <w14:schemeClr w14:val="tx1"/>
                  </w14:solidFill>
                </w14:textFill>
              </w:rPr>
            </w:pPr>
          </w:p>
        </w:tc>
        <w:tc>
          <w:tcPr>
            <w:tcW w:w="4447" w:type="dxa"/>
          </w:tcPr>
          <w:p w14:paraId="708C6F9A">
            <w:pPr>
              <w:widowControl w:val="0"/>
              <w:jc w:val="both"/>
              <w:rPr>
                <w:b/>
                <w:bCs/>
              </w:rPr>
            </w:pPr>
            <w:r>
              <w:rPr>
                <w:b/>
                <w:bCs/>
              </w:rPr>
              <w:t>For and on behalf of the Purchaser</w:t>
            </w:r>
          </w:p>
          <w:p w14:paraId="708C6F9B">
            <w:pPr>
              <w:widowControl w:val="0"/>
              <w:spacing w:line="300" w:lineRule="exact"/>
              <w:jc w:val="center"/>
              <w:rPr>
                <w:color w:val="000000" w:themeColor="text1"/>
                <w:sz w:val="26"/>
                <w:szCs w:val="26"/>
                <w14:textFill>
                  <w14:solidFill>
                    <w14:schemeClr w14:val="tx1"/>
                  </w14:solidFill>
                </w14:textFill>
              </w:rPr>
            </w:pPr>
          </w:p>
        </w:tc>
      </w:tr>
      <w:tr w14:paraId="708C6F9F">
        <w:tblPrEx>
          <w:tblCellMar>
            <w:top w:w="0" w:type="dxa"/>
            <w:left w:w="108" w:type="dxa"/>
            <w:bottom w:w="0" w:type="dxa"/>
            <w:right w:w="108" w:type="dxa"/>
          </w:tblCellMar>
        </w:tblPrEx>
        <w:tc>
          <w:tcPr>
            <w:tcW w:w="4678" w:type="dxa"/>
          </w:tcPr>
          <w:p w14:paraId="708C6F9D">
            <w:pPr>
              <w:widowControl w:val="0"/>
              <w:spacing w:line="300" w:lineRule="exact"/>
              <w:jc w:val="center"/>
              <w:rPr>
                <w:color w:val="000000" w:themeColor="text1"/>
                <w:sz w:val="26"/>
                <w:szCs w:val="26"/>
                <w14:textFill>
                  <w14:solidFill>
                    <w14:schemeClr w14:val="tx1"/>
                  </w14:solidFill>
                </w14:textFill>
              </w:rPr>
            </w:pPr>
            <w:r>
              <w:rPr>
                <w:rFonts w:eastAsia="Arial Unicode MS"/>
                <w:color w:val="000000" w:themeColor="text1"/>
                <w:sz w:val="26"/>
                <w:szCs w:val="26"/>
                <w14:textFill>
                  <w14:solidFill>
                    <w14:schemeClr w14:val="tx1"/>
                  </w14:solidFill>
                </w14:textFill>
              </w:rPr>
              <w:t>[</w:t>
            </w:r>
            <w:r>
              <w:rPr>
                <w:rFonts w:eastAsia="Arial Unicode MS"/>
                <w:i/>
                <w:iCs/>
                <w:color w:val="000000" w:themeColor="text1"/>
                <w:sz w:val="26"/>
                <w:szCs w:val="26"/>
                <w14:textFill>
                  <w14:solidFill>
                    <w14:schemeClr w14:val="tx1"/>
                  </w14:solidFill>
                </w14:textFill>
              </w:rPr>
              <w:t>Name, title, signature and stamp</w:t>
            </w:r>
            <w:r>
              <w:rPr>
                <w:rFonts w:eastAsia="Arial Unicode MS"/>
                <w:color w:val="000000" w:themeColor="text1"/>
                <w:sz w:val="26"/>
                <w:szCs w:val="26"/>
                <w14:textFill>
                  <w14:solidFill>
                    <w14:schemeClr w14:val="tx1"/>
                  </w14:solidFill>
                </w14:textFill>
              </w:rPr>
              <w:t>]</w:t>
            </w:r>
          </w:p>
        </w:tc>
        <w:tc>
          <w:tcPr>
            <w:tcW w:w="4447" w:type="dxa"/>
          </w:tcPr>
          <w:p w14:paraId="708C6F9E">
            <w:pPr>
              <w:widowControl w:val="0"/>
              <w:suppressAutoHyphens/>
              <w:spacing w:line="300" w:lineRule="exact"/>
              <w:ind w:left="360" w:hanging="360"/>
              <w:jc w:val="center"/>
              <w:rPr>
                <w:color w:val="000000" w:themeColor="text1"/>
                <w:sz w:val="26"/>
                <w:szCs w:val="26"/>
                <w14:textFill>
                  <w14:solidFill>
                    <w14:schemeClr w14:val="tx1"/>
                  </w14:solidFill>
                </w14:textFill>
              </w:rPr>
            </w:pPr>
            <w:r>
              <w:rPr>
                <w:rFonts w:eastAsia="Arial Unicode MS"/>
                <w:color w:val="000000" w:themeColor="text1"/>
                <w:sz w:val="26"/>
                <w:szCs w:val="26"/>
                <w14:textFill>
                  <w14:solidFill>
                    <w14:schemeClr w14:val="tx1"/>
                  </w14:solidFill>
                </w14:textFill>
              </w:rPr>
              <w:t>[</w:t>
            </w:r>
            <w:r>
              <w:rPr>
                <w:rFonts w:eastAsia="Arial Unicode MS"/>
                <w:i/>
                <w:iCs/>
                <w:color w:val="000000" w:themeColor="text1"/>
                <w:sz w:val="26"/>
                <w:szCs w:val="26"/>
                <w14:textFill>
                  <w14:solidFill>
                    <w14:schemeClr w14:val="tx1"/>
                  </w14:solidFill>
                </w14:textFill>
              </w:rPr>
              <w:t>Name, title, signature and stamp</w:t>
            </w:r>
            <w:r>
              <w:rPr>
                <w:rFonts w:eastAsia="Arial Unicode MS"/>
                <w:color w:val="000000" w:themeColor="text1"/>
                <w:sz w:val="26"/>
                <w:szCs w:val="26"/>
                <w14:textFill>
                  <w14:solidFill>
                    <w14:schemeClr w14:val="tx1"/>
                  </w14:solidFill>
                </w14:textFill>
              </w:rPr>
              <w:t>]</w:t>
            </w:r>
          </w:p>
        </w:tc>
      </w:tr>
    </w:tbl>
    <w:p w14:paraId="708C6FA0">
      <w:pPr>
        <w:pStyle w:val="15"/>
        <w:spacing w:before="120"/>
        <w:ind w:firstLine="720"/>
        <w:jc w:val="center"/>
        <w:rPr>
          <w:b/>
          <w:color w:val="000000" w:themeColor="text1"/>
          <w:sz w:val="26"/>
          <w:szCs w:val="26"/>
          <w14:textFill>
            <w14:solidFill>
              <w14:schemeClr w14:val="tx1"/>
            </w14:solidFill>
          </w14:textFill>
        </w:rPr>
      </w:pPr>
    </w:p>
    <w:p w14:paraId="708C6FA1">
      <w:pPr>
        <w:pStyle w:val="15"/>
        <w:spacing w:before="120"/>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br w:type="page"/>
      </w:r>
      <w:r>
        <w:rPr>
          <w:b/>
          <w:color w:val="000000" w:themeColor="text1"/>
          <w:sz w:val="26"/>
          <w:szCs w:val="26"/>
          <w14:textFill>
            <w14:solidFill>
              <w14:schemeClr w14:val="tx1"/>
            </w14:solidFill>
          </w14:textFill>
        </w:rPr>
        <w:t>ANNEXES</w:t>
      </w:r>
    </w:p>
    <w:p w14:paraId="708C6FA2">
      <w:pPr>
        <w:pStyle w:val="15"/>
        <w:spacing w:before="120"/>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CONTRACT PRICE SCHEDULES</w:t>
      </w:r>
    </w:p>
    <w:p w14:paraId="708C6FA3">
      <w:pPr>
        <w:ind w:right="49" w:firstLine="567"/>
        <w:jc w:val="center"/>
        <w:rPr>
          <w:b/>
          <w:color w:val="000000" w:themeColor="text1"/>
          <w:sz w:val="26"/>
          <w:szCs w:val="26"/>
          <w14:textFill>
            <w14:solidFill>
              <w14:schemeClr w14:val="tx1"/>
            </w14:solidFill>
          </w14:textFill>
        </w:rPr>
      </w:pPr>
    </w:p>
    <w:p w14:paraId="708C6FA4">
      <w:pPr>
        <w:ind w:right="49" w:firstLine="567"/>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(Attachment of Contract No.____, dated on _____)</w:t>
      </w:r>
    </w:p>
    <w:p w14:paraId="708C6FA5">
      <w:pPr>
        <w:pStyle w:val="15"/>
        <w:spacing w:before="60" w:after="60"/>
        <w:ind w:right="49" w:firstLine="567"/>
        <w:rPr>
          <w:iCs/>
          <w:color w:val="000000" w:themeColor="text1"/>
          <w:sz w:val="26"/>
          <w:szCs w:val="26"/>
          <w14:textFill>
            <w14:solidFill>
              <w14:schemeClr w14:val="tx1"/>
            </w14:solidFill>
          </w14:textFill>
        </w:rPr>
      </w:pPr>
    </w:p>
    <w:p w14:paraId="708C6FA6">
      <w:pPr>
        <w:pStyle w:val="15"/>
        <w:spacing w:before="120"/>
        <w:ind w:firstLine="720"/>
        <w:jc w:val="right"/>
        <w:rPr>
          <w:rFonts w:eastAsia="Arial"/>
          <w:b/>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br w:type="page"/>
      </w:r>
      <w:r>
        <w:rPr>
          <w:b/>
          <w:color w:val="000000" w:themeColor="text1"/>
          <w:sz w:val="26"/>
          <w:szCs w:val="26"/>
          <w14:textFill>
            <w14:solidFill>
              <w14:schemeClr w14:val="tx1"/>
            </w14:solidFill>
          </w14:textFill>
        </w:rPr>
        <w:t>Form 17</w:t>
      </w:r>
    </w:p>
    <w:p w14:paraId="708C6FA7">
      <w:pPr>
        <w:spacing w:before="60" w:after="60"/>
        <w:jc w:val="center"/>
        <w:rPr>
          <w:b/>
          <w:color w:val="000000" w:themeColor="text1"/>
          <w:sz w:val="26"/>
          <w:szCs w:val="26"/>
          <w:vertAlign w:val="superscript"/>
          <w14:textFill>
            <w14:solidFill>
              <w14:schemeClr w14:val="tx1"/>
            </w14:solidFill>
          </w14:textFill>
        </w:rPr>
      </w:pPr>
      <w:bookmarkStart w:id="440" w:name="_Toc282516808"/>
      <w:bookmarkStart w:id="441" w:name="_Toc265045557"/>
      <w:bookmarkStart w:id="442" w:name="_Toc415063637"/>
      <w:r>
        <w:rPr>
          <w:b/>
          <w:color w:val="000000" w:themeColor="text1"/>
          <w:sz w:val="26"/>
          <w:szCs w:val="26"/>
          <w14:textFill>
            <w14:solidFill>
              <w14:schemeClr w14:val="tx1"/>
            </w14:solidFill>
          </w14:textFill>
        </w:rPr>
        <w:t>PERFORMANCE SECURITY FORM</w:t>
      </w:r>
      <w:bookmarkEnd w:id="440"/>
      <w:bookmarkEnd w:id="441"/>
      <w:bookmarkEnd w:id="442"/>
    </w:p>
    <w:p w14:paraId="708C6FA8">
      <w:pPr>
        <w:spacing w:before="60" w:after="60"/>
        <w:jc w:val="right"/>
        <w:rPr>
          <w:color w:val="000000" w:themeColor="text1"/>
          <w:sz w:val="26"/>
          <w:szCs w:val="26"/>
          <w14:textFill>
            <w14:solidFill>
              <w14:schemeClr w14:val="tx1"/>
            </w14:solidFill>
          </w14:textFill>
        </w:rPr>
      </w:pPr>
    </w:p>
    <w:p w14:paraId="708C6FA9">
      <w:pPr>
        <w:spacing w:before="120" w:after="120" w:line="264" w:lineRule="auto"/>
        <w:ind w:firstLine="567"/>
        <w:jc w:val="right"/>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____, ___/ ___/____</w:t>
      </w:r>
      <w:r>
        <w:rPr>
          <w:i/>
          <w:color w:val="000000" w:themeColor="text1"/>
          <w:sz w:val="26"/>
          <w:szCs w:val="26"/>
          <w14:textFill>
            <w14:solidFill>
              <w14:schemeClr w14:val="tx1"/>
            </w14:solidFill>
          </w14:textFill>
        </w:rPr>
        <w:t>[insert place and date of signing]</w:t>
      </w:r>
    </w:p>
    <w:p w14:paraId="708C6FAA">
      <w:pPr>
        <w:spacing w:before="120" w:after="120" w:line="264" w:lineRule="auto"/>
        <w:ind w:firstLine="567"/>
        <w:jc w:val="center"/>
        <w:rPr>
          <w:color w:val="000000" w:themeColor="text1"/>
          <w:sz w:val="26"/>
          <w:szCs w:val="26"/>
          <w14:textFill>
            <w14:solidFill>
              <w14:schemeClr w14:val="tx1"/>
            </w14:solidFill>
          </w14:textFill>
        </w:rPr>
      </w:pPr>
    </w:p>
    <w:p w14:paraId="708C6FAB">
      <w:pPr>
        <w:spacing w:before="120" w:after="120" w:line="264" w:lineRule="auto"/>
        <w:ind w:firstLine="567"/>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To:  </w:t>
      </w:r>
      <w:r>
        <w:rPr>
          <w:i/>
          <w:color w:val="000000" w:themeColor="text1"/>
          <w:sz w:val="26"/>
          <w:szCs w:val="26"/>
          <w14:textFill>
            <w14:solidFill>
              <w14:schemeClr w14:val="tx1"/>
            </w14:solidFill>
          </w14:textFill>
        </w:rPr>
        <w:t>[insert name of Purchaser]</w:t>
      </w:r>
    </w:p>
    <w:p w14:paraId="708C6FAC">
      <w:pPr>
        <w:spacing w:before="120" w:after="120" w:line="264" w:lineRule="auto"/>
        <w:ind w:firstLine="567"/>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b/>
      </w:r>
      <w:r>
        <w:rPr>
          <w:color w:val="000000" w:themeColor="text1"/>
          <w:sz w:val="26"/>
          <w:szCs w:val="26"/>
          <w14:textFill>
            <w14:solidFill>
              <w14:schemeClr w14:val="tx1"/>
            </w14:solidFill>
          </w14:textFill>
        </w:rPr>
        <w:t>(hereinafter called “the Purchaser”)</w:t>
      </w:r>
    </w:p>
    <w:p w14:paraId="708C6FAD">
      <w:pPr>
        <w:widowControl w:val="0"/>
        <w:rPr>
          <w:color w:val="000000" w:themeColor="text1"/>
          <w:sz w:val="26"/>
          <w:szCs w:val="26"/>
          <w14:textFill>
            <w14:solidFill>
              <w14:schemeClr w14:val="tx1"/>
            </w14:solidFill>
          </w14:textFill>
        </w:rPr>
      </w:pPr>
    </w:p>
    <w:p w14:paraId="708C6FAE">
      <w:pPr>
        <w:widowControl w:val="0"/>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WHEREAS the request of </w:t>
      </w:r>
      <w:r>
        <w:rPr>
          <w:i/>
          <w:color w:val="000000" w:themeColor="text1"/>
          <w:sz w:val="26"/>
          <w:szCs w:val="26"/>
          <w14:textFill>
            <w14:solidFill>
              <w14:schemeClr w14:val="tx1"/>
            </w14:solidFill>
          </w14:textFill>
        </w:rPr>
        <w:t xml:space="preserve">[insert name of </w:t>
      </w:r>
      <w:r>
        <w:rPr>
          <w:color w:val="000000" w:themeColor="text1"/>
          <w:sz w:val="26"/>
          <w:szCs w:val="26"/>
          <w14:textFill>
            <w14:solidFill>
              <w14:schemeClr w14:val="tx1"/>
            </w14:solidFill>
          </w14:textFill>
        </w:rPr>
        <w:t>Supplier</w:t>
      </w:r>
      <w:r>
        <w:rPr>
          <w:i/>
          <w:color w:val="000000" w:themeColor="text1"/>
          <w:sz w:val="26"/>
          <w:szCs w:val="26"/>
          <w14:textFill>
            <w14:solidFill>
              <w14:schemeClr w14:val="tx1"/>
            </w14:solidFill>
          </w14:textFill>
        </w:rPr>
        <w:t xml:space="preserve">] </w:t>
      </w:r>
      <w:r>
        <w:rPr>
          <w:color w:val="000000" w:themeColor="text1"/>
          <w:sz w:val="26"/>
          <w:szCs w:val="26"/>
          <w14:textFill>
            <w14:solidFill>
              <w14:schemeClr w14:val="tx1"/>
            </w14:solidFill>
          </w14:textFill>
        </w:rPr>
        <w:t xml:space="preserve">(hereinafter called “the Supplier”) that the Supplier has won the package </w:t>
      </w:r>
      <w:r>
        <w:rPr>
          <w:i/>
          <w:color w:val="000000" w:themeColor="text1"/>
          <w:sz w:val="26"/>
          <w:szCs w:val="26"/>
          <w14:textFill>
            <w14:solidFill>
              <w14:schemeClr w14:val="tx1"/>
            </w14:solidFill>
          </w14:textFill>
        </w:rPr>
        <w:t>[insert name of package]</w:t>
      </w:r>
      <w:r>
        <w:rPr>
          <w:color w:val="000000" w:themeColor="text1"/>
          <w:sz w:val="26"/>
          <w:szCs w:val="26"/>
          <w14:textFill>
            <w14:solidFill>
              <w14:schemeClr w14:val="tx1"/>
            </w14:solidFill>
          </w14:textFill>
        </w:rPr>
        <w:t xml:space="preserve"> and committed to signing the contract to provide goods for above package (hereinafter called “the Contract”)</w:t>
      </w:r>
      <w:r>
        <w:rPr>
          <w:color w:val="000000" w:themeColor="text1"/>
          <w:sz w:val="26"/>
          <w:szCs w:val="26"/>
          <w:vertAlign w:val="superscript"/>
          <w14:textFill>
            <w14:solidFill>
              <w14:schemeClr w14:val="tx1"/>
            </w14:solidFill>
          </w14:textFill>
        </w:rPr>
        <w:t>(1)</w:t>
      </w:r>
      <w:r>
        <w:rPr>
          <w:color w:val="000000" w:themeColor="text1"/>
          <w:sz w:val="26"/>
          <w:szCs w:val="26"/>
          <w14:textFill>
            <w14:solidFill>
              <w14:schemeClr w14:val="tx1"/>
            </w14:solidFill>
          </w14:textFill>
        </w:rPr>
        <w:t>.</w:t>
      </w:r>
    </w:p>
    <w:p w14:paraId="708C6FAF">
      <w:pPr>
        <w:widowControl w:val="0"/>
        <w:ind w:firstLine="567"/>
        <w:jc w:val="both"/>
        <w:rPr>
          <w:color w:val="000000" w:themeColor="text1"/>
          <w:sz w:val="26"/>
          <w:szCs w:val="26"/>
          <w:highlight w:val="none"/>
          <w14:textFill>
            <w14:solidFill>
              <w14:schemeClr w14:val="tx1"/>
            </w14:solidFill>
          </w14:textFill>
        </w:rPr>
      </w:pPr>
      <w:r>
        <w:rPr>
          <w:color w:val="000000" w:themeColor="text1"/>
          <w:sz w:val="26"/>
          <w:szCs w:val="26"/>
          <w14:textFill>
            <w14:solidFill>
              <w14:schemeClr w14:val="tx1"/>
            </w14:solidFill>
          </w14:textFill>
        </w:rPr>
        <w:t>AND WHEREAS it has been stipulated by you in the said Contract that the Supplier shall furnish you with a bank guarantee by a reputable bank for the sum specifie</w:t>
      </w:r>
      <w:r>
        <w:rPr>
          <w:color w:val="000000" w:themeColor="text1"/>
          <w:sz w:val="26"/>
          <w:szCs w:val="26"/>
          <w:highlight w:val="none"/>
          <w14:textFill>
            <w14:solidFill>
              <w14:schemeClr w14:val="tx1"/>
            </w14:solidFill>
          </w14:textFill>
        </w:rPr>
        <w:t>d therein as security for compliance with the Supplier’s performance obligations in accordance with the Contract.</w:t>
      </w:r>
    </w:p>
    <w:p w14:paraId="708C6FB0">
      <w:pPr>
        <w:widowControl w:val="0"/>
        <w:spacing w:after="200"/>
        <w:ind w:firstLine="567"/>
        <w:jc w:val="both"/>
        <w:rPr>
          <w:b/>
          <w:bCs/>
          <w:color w:val="240FEF"/>
          <w:sz w:val="26"/>
          <w:szCs w:val="26"/>
          <w:highlight w:val="none"/>
        </w:rPr>
      </w:pPr>
      <w:r>
        <w:rPr>
          <w:color w:val="000000" w:themeColor="text1"/>
          <w:sz w:val="26"/>
          <w:szCs w:val="26"/>
          <w:highlight w:val="none"/>
          <w14:textFill>
            <w14:solidFill>
              <w14:schemeClr w14:val="tx1"/>
            </w14:solidFill>
          </w14:textFill>
        </w:rPr>
        <w:t xml:space="preserve">AND WHEREAS We, </w:t>
      </w:r>
      <w:r>
        <w:rPr>
          <w:i/>
          <w:color w:val="000000" w:themeColor="text1"/>
          <w:sz w:val="26"/>
          <w:szCs w:val="26"/>
          <w:highlight w:val="none"/>
          <w14:textFill>
            <w14:solidFill>
              <w14:schemeClr w14:val="tx1"/>
            </w14:solidFill>
          </w14:textFill>
        </w:rPr>
        <w:t>[insert name of bank]</w:t>
      </w:r>
      <w:r>
        <w:rPr>
          <w:color w:val="000000" w:themeColor="text1"/>
          <w:sz w:val="26"/>
          <w:szCs w:val="26"/>
          <w:highlight w:val="none"/>
          <w14:textFill>
            <w14:solidFill>
              <w14:schemeClr w14:val="tx1"/>
            </w14:solidFill>
          </w14:textFill>
        </w:rPr>
        <w:t xml:space="preserve"> in </w:t>
      </w:r>
      <w:r>
        <w:rPr>
          <w:i/>
          <w:color w:val="000000" w:themeColor="text1"/>
          <w:sz w:val="26"/>
          <w:szCs w:val="26"/>
          <w:highlight w:val="none"/>
          <w14:textFill>
            <w14:solidFill>
              <w14:schemeClr w14:val="tx1"/>
            </w14:solidFill>
          </w14:textFill>
        </w:rPr>
        <w:t>[insert name of country]</w:t>
      </w:r>
      <w:r>
        <w:rPr>
          <w:color w:val="000000" w:themeColor="text1"/>
          <w:sz w:val="26"/>
          <w:szCs w:val="26"/>
          <w:highlight w:val="none"/>
          <w14:textFill>
            <w14:solidFill>
              <w14:schemeClr w14:val="tx1"/>
            </w14:solidFill>
          </w14:textFill>
        </w:rPr>
        <w:t xml:space="preserve"> have our head office registered at </w:t>
      </w:r>
      <w:r>
        <w:rPr>
          <w:i/>
          <w:color w:val="000000" w:themeColor="text1"/>
          <w:sz w:val="26"/>
          <w:szCs w:val="26"/>
          <w:highlight w:val="none"/>
          <w14:textFill>
            <w14:solidFill>
              <w14:schemeClr w14:val="tx1"/>
            </w14:solidFill>
          </w14:textFill>
        </w:rPr>
        <w:t>[insert address, tel., fax, e-mail of bank]</w:t>
      </w:r>
      <w:r>
        <w:rPr>
          <w:color w:val="000000" w:themeColor="text1"/>
          <w:sz w:val="26"/>
          <w:szCs w:val="26"/>
          <w:highlight w:val="none"/>
          <w14:textFill>
            <w14:solidFill>
              <w14:schemeClr w14:val="tx1"/>
            </w14:solidFill>
          </w14:textFill>
        </w:rPr>
        <w:t xml:space="preserve"> (hereinafter called “the Bank”), hereby commits to guarantee the contract’s performance in the amount of ____</w:t>
      </w:r>
      <w:r>
        <w:rPr>
          <w:sz w:val="26"/>
          <w:szCs w:val="26"/>
          <w:highlight w:val="none"/>
        </w:rPr>
        <w:t>[</w:t>
      </w:r>
      <w:r>
        <w:rPr>
          <w:i/>
          <w:sz w:val="26"/>
          <w:szCs w:val="26"/>
          <w:highlight w:val="none"/>
        </w:rPr>
        <w:t>insert amount of guarantee in figures, words and used currency according to SCC  5.2 of the BDs</w:t>
      </w:r>
      <w:r>
        <w:rPr>
          <w:i/>
          <w:iCs/>
          <w:sz w:val="26"/>
          <w:szCs w:val="26"/>
          <w:highlight w:val="none"/>
        </w:rPr>
        <w:t>].</w:t>
      </w:r>
      <w:r>
        <w:rPr>
          <w:color w:val="000000" w:themeColor="text1"/>
          <w:sz w:val="26"/>
          <w:szCs w:val="26"/>
          <w:highlight w:val="none"/>
          <w14:textFill>
            <w14:solidFill>
              <w14:schemeClr w14:val="tx1"/>
            </w14:solidFill>
          </w14:textFill>
        </w:rPr>
        <w:t xml:space="preserve"> </w:t>
      </w:r>
      <w:r>
        <w:rPr>
          <w:sz w:val="26"/>
          <w:szCs w:val="26"/>
          <w:highlight w:val="none"/>
        </w:rPr>
        <w:t xml:space="preserve">We hereby undertake to pay </w:t>
      </w:r>
      <w:r>
        <w:rPr>
          <w:color w:val="000000" w:themeColor="text1"/>
          <w:sz w:val="26"/>
          <w:szCs w:val="26"/>
          <w:highlight w:val="none"/>
          <w14:textFill>
            <w14:solidFill>
              <w14:schemeClr w14:val="tx1"/>
            </w14:solidFill>
          </w14:textFill>
        </w:rPr>
        <w:t xml:space="preserve">unconditionally, irrevocably </w:t>
      </w:r>
      <w:r>
        <w:rPr>
          <w:sz w:val="26"/>
          <w:szCs w:val="26"/>
          <w:highlight w:val="none"/>
        </w:rPr>
        <w:t xml:space="preserve">upon receipt by us of your first demand in writing declaring the Supplier to be in default under the Contract, without cavil or argument, or your needing to prove or to show grounds or reasons for your demand or the sum specified therein. </w:t>
      </w:r>
    </w:p>
    <w:p w14:paraId="708C6FB1">
      <w:pPr>
        <w:widowControl w:val="0"/>
        <w:ind w:firstLine="567"/>
        <w:jc w:val="both"/>
        <w:rPr>
          <w:color w:val="000000" w:themeColor="text1"/>
          <w:sz w:val="26"/>
          <w:szCs w:val="26"/>
          <w:highlight w:val="none"/>
          <w14:textFill>
            <w14:solidFill>
              <w14:schemeClr w14:val="tx1"/>
            </w14:solidFill>
          </w14:textFill>
        </w:rPr>
      </w:pPr>
      <w:r>
        <w:rPr>
          <w:color w:val="000000" w:themeColor="text1"/>
          <w:sz w:val="26"/>
          <w:szCs w:val="26"/>
          <w:highlight w:val="none"/>
          <w14:textFill>
            <w14:solidFill>
              <w14:schemeClr w14:val="tx1"/>
            </w14:solidFill>
          </w14:textFill>
        </w:rPr>
        <w:t>This guarantee is valid since the security issuing date until the end of date ____/____/____</w:t>
      </w:r>
      <w:r>
        <w:rPr>
          <w:i/>
          <w:color w:val="000000" w:themeColor="text1"/>
          <w:sz w:val="26"/>
          <w:szCs w:val="26"/>
          <w:highlight w:val="none"/>
          <w14:textFill>
            <w14:solidFill>
              <w14:schemeClr w14:val="tx1"/>
            </w14:solidFill>
          </w14:textFill>
        </w:rPr>
        <w:t>[insert the date according to SCC Clause 5.2 of the Bidding Document]</w:t>
      </w:r>
      <w:r>
        <w:rPr>
          <w:color w:val="000000" w:themeColor="text1"/>
          <w:sz w:val="26"/>
          <w:szCs w:val="26"/>
          <w:highlight w:val="none"/>
          <w14:textFill>
            <w14:solidFill>
              <w14:schemeClr w14:val="tx1"/>
            </w14:solidFill>
          </w14:textFill>
        </w:rPr>
        <w:t>.</w:t>
      </w:r>
    </w:p>
    <w:p w14:paraId="708C6FB2">
      <w:pPr>
        <w:pStyle w:val="15"/>
        <w:widowControl w:val="0"/>
        <w:spacing w:before="120" w:line="264" w:lineRule="auto"/>
        <w:ind w:firstLine="567"/>
        <w:jc w:val="right"/>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Legal representative of the Bank</w:t>
      </w:r>
    </w:p>
    <w:p w14:paraId="708C6FB3">
      <w:pPr>
        <w:widowControl w:val="0"/>
        <w:jc w:val="right"/>
        <w:rPr>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(Full name, position, signature and seal)</w:t>
      </w:r>
    </w:p>
    <w:p w14:paraId="708C6FB4">
      <w:pPr>
        <w:pStyle w:val="15"/>
        <w:spacing w:before="120" w:line="264" w:lineRule="auto"/>
        <w:ind w:firstLine="567"/>
        <w:rPr>
          <w:color w:val="000000" w:themeColor="text1"/>
          <w:sz w:val="26"/>
          <w:szCs w:val="26"/>
          <w14:textFill>
            <w14:solidFill>
              <w14:schemeClr w14:val="tx1"/>
            </w14:solidFill>
          </w14:textFill>
        </w:rPr>
      </w:pPr>
    </w:p>
    <w:p w14:paraId="708C6FB5">
      <w:pPr>
        <w:ind w:firstLine="567"/>
        <w:jc w:val="both"/>
        <w:rPr>
          <w:bCs/>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(1) If the Bank asks for signed contract before issuing the Performance security, the Purchaser’s representative shall report the Purchaser for examining and deciding. In this case, it may be revised as follow:</w:t>
      </w:r>
    </w:p>
    <w:p w14:paraId="708C6FB6">
      <w:pPr>
        <w:ind w:firstLine="567"/>
        <w:jc w:val="both"/>
        <w:rPr>
          <w:bCs/>
          <w:color w:val="000000" w:themeColor="text1"/>
          <w:sz w:val="26"/>
          <w:szCs w:val="26"/>
          <w14:textFill>
            <w14:solidFill>
              <w14:schemeClr w14:val="tx1"/>
            </w14:solidFill>
          </w14:textFill>
        </w:rPr>
      </w:pPr>
      <w:r>
        <w:rPr>
          <w:bCs/>
          <w:color w:val="000000" w:themeColor="text1"/>
          <w:sz w:val="26"/>
          <w:szCs w:val="26"/>
          <w14:textFill>
            <w14:solidFill>
              <w14:schemeClr w14:val="tx1"/>
            </w14:solidFill>
          </w14:textFill>
        </w:rPr>
        <w:t>“</w:t>
      </w:r>
      <w:r>
        <w:rPr>
          <w:color w:val="000000" w:themeColor="text1"/>
          <w:sz w:val="26"/>
          <w:szCs w:val="26"/>
          <w14:textFill>
            <w14:solidFill>
              <w14:schemeClr w14:val="tx1"/>
            </w14:solidFill>
          </w14:textFill>
        </w:rPr>
        <w:t xml:space="preserve">WHEREAS the request of </w:t>
      </w:r>
      <w:r>
        <w:rPr>
          <w:i/>
          <w:color w:val="000000" w:themeColor="text1"/>
          <w:sz w:val="26"/>
          <w:szCs w:val="26"/>
          <w14:textFill>
            <w14:solidFill>
              <w14:schemeClr w14:val="tx1"/>
            </w14:solidFill>
          </w14:textFill>
        </w:rPr>
        <w:t xml:space="preserve">[insert name of </w:t>
      </w:r>
      <w:r>
        <w:rPr>
          <w:color w:val="000000" w:themeColor="text1"/>
          <w:sz w:val="26"/>
          <w:szCs w:val="26"/>
          <w14:textFill>
            <w14:solidFill>
              <w14:schemeClr w14:val="tx1"/>
            </w14:solidFill>
          </w14:textFill>
        </w:rPr>
        <w:t>Supplier</w:t>
      </w:r>
      <w:r>
        <w:rPr>
          <w:i/>
          <w:color w:val="000000" w:themeColor="text1"/>
          <w:sz w:val="26"/>
          <w:szCs w:val="26"/>
          <w14:textFill>
            <w14:solidFill>
              <w14:schemeClr w14:val="tx1"/>
            </w14:solidFill>
          </w14:textFill>
        </w:rPr>
        <w:t xml:space="preserve">] </w:t>
      </w:r>
      <w:r>
        <w:rPr>
          <w:color w:val="000000" w:themeColor="text1"/>
          <w:sz w:val="26"/>
          <w:szCs w:val="26"/>
          <w14:textFill>
            <w14:solidFill>
              <w14:schemeClr w14:val="tx1"/>
            </w14:solidFill>
          </w14:textFill>
        </w:rPr>
        <w:t xml:space="preserve">(hereinafter called “the Supplier”) that is the successful bidder of the package </w:t>
      </w:r>
      <w:r>
        <w:rPr>
          <w:i/>
          <w:color w:val="000000" w:themeColor="text1"/>
          <w:sz w:val="26"/>
          <w:szCs w:val="26"/>
          <w14:textFill>
            <w14:solidFill>
              <w14:schemeClr w14:val="tx1"/>
            </w14:solidFill>
          </w14:textFill>
        </w:rPr>
        <w:t>[insert name of package]</w:t>
      </w:r>
      <w:r>
        <w:rPr>
          <w:color w:val="000000" w:themeColor="text1"/>
          <w:sz w:val="26"/>
          <w:szCs w:val="26"/>
          <w14:textFill>
            <w14:solidFill>
              <w14:schemeClr w14:val="tx1"/>
            </w14:solidFill>
          </w14:textFill>
        </w:rPr>
        <w:t xml:space="preserve">, signed Contract number </w:t>
      </w:r>
      <w:r>
        <w:rPr>
          <w:i/>
          <w:color w:val="000000" w:themeColor="text1"/>
          <w:sz w:val="26"/>
          <w:szCs w:val="26"/>
          <w14:textFill>
            <w14:solidFill>
              <w14:schemeClr w14:val="tx1"/>
            </w14:solidFill>
          </w14:textFill>
        </w:rPr>
        <w:t>[insert name of</w:t>
      </w:r>
      <w:r>
        <w:rPr>
          <w:i/>
          <w:iCs/>
          <w:color w:val="000000" w:themeColor="text1"/>
          <w:sz w:val="26"/>
          <w:szCs w:val="26"/>
          <w14:textFill>
            <w14:solidFill>
              <w14:schemeClr w14:val="tx1"/>
            </w14:solidFill>
          </w14:textFill>
        </w:rPr>
        <w:t xml:space="preserve"> contract</w:t>
      </w:r>
      <w:r>
        <w:rPr>
          <w:i/>
          <w:color w:val="000000" w:themeColor="text1"/>
          <w:sz w:val="26"/>
          <w:szCs w:val="26"/>
          <w14:textFill>
            <w14:solidFill>
              <w14:schemeClr w14:val="tx1"/>
            </w14:solidFill>
          </w14:textFill>
        </w:rPr>
        <w:t xml:space="preserve">] </w:t>
      </w:r>
      <w:r>
        <w:rPr>
          <w:color w:val="000000" w:themeColor="text1"/>
          <w:sz w:val="26"/>
          <w:szCs w:val="26"/>
          <w14:textFill>
            <w14:solidFill>
              <w14:schemeClr w14:val="tx1"/>
            </w14:solidFill>
          </w14:textFill>
        </w:rPr>
        <w:t>dated …  (hereinafter called “the Contract”)”</w:t>
      </w:r>
    </w:p>
    <w:p w14:paraId="708C6FB7">
      <w:pPr>
        <w:jc w:val="right"/>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br w:type="page"/>
      </w:r>
      <w:r>
        <w:rPr>
          <w:b/>
          <w:color w:val="000000" w:themeColor="text1"/>
          <w:sz w:val="26"/>
          <w:szCs w:val="26"/>
          <w14:textFill>
            <w14:solidFill>
              <w14:schemeClr w14:val="tx1"/>
            </w14:solidFill>
          </w14:textFill>
        </w:rPr>
        <w:t>Form 18</w:t>
      </w:r>
    </w:p>
    <w:p w14:paraId="708C6FB8">
      <w:pPr>
        <w:spacing w:before="60" w:after="60"/>
        <w:jc w:val="center"/>
        <w:rPr>
          <w:color w:val="000000" w:themeColor="text1"/>
          <w:sz w:val="26"/>
          <w:szCs w:val="26"/>
          <w:vertAlign w:val="superscript"/>
          <w14:textFill>
            <w14:solidFill>
              <w14:schemeClr w14:val="tx1"/>
            </w14:solidFill>
          </w14:textFill>
        </w:rPr>
      </w:pPr>
      <w:r>
        <w:rPr>
          <w:b/>
          <w:color w:val="000000" w:themeColor="text1"/>
          <w:sz w:val="26"/>
          <w:szCs w:val="26"/>
          <w14:textFill>
            <w14:solidFill>
              <w14:schemeClr w14:val="tx1"/>
            </w14:solidFill>
          </w14:textFill>
        </w:rPr>
        <w:t>ADVANCE PAYMENT SECURITY</w:t>
      </w:r>
    </w:p>
    <w:p w14:paraId="708C6FB9">
      <w:pPr>
        <w:spacing w:before="60" w:after="60"/>
        <w:jc w:val="center"/>
        <w:rPr>
          <w:b/>
          <w:color w:val="000000" w:themeColor="text1"/>
          <w:sz w:val="26"/>
          <w:szCs w:val="26"/>
          <w:vertAlign w:val="superscript"/>
          <w14:textFill>
            <w14:solidFill>
              <w14:schemeClr w14:val="tx1"/>
            </w14:solidFill>
          </w14:textFill>
        </w:rPr>
      </w:pPr>
    </w:p>
    <w:p w14:paraId="708C6FBA">
      <w:pPr>
        <w:spacing w:before="120" w:after="120" w:line="264" w:lineRule="auto"/>
        <w:ind w:firstLine="567"/>
        <w:jc w:val="right"/>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____, ___/ ___/____</w:t>
      </w:r>
      <w:r>
        <w:rPr>
          <w:i/>
          <w:color w:val="000000" w:themeColor="text1"/>
          <w:sz w:val="26"/>
          <w:szCs w:val="26"/>
          <w14:textFill>
            <w14:solidFill>
              <w14:schemeClr w14:val="tx1"/>
            </w14:solidFill>
          </w14:textFill>
        </w:rPr>
        <w:t>[insert place and date of signing]</w:t>
      </w:r>
    </w:p>
    <w:p w14:paraId="708C6FBB">
      <w:pPr>
        <w:spacing w:before="120" w:after="120" w:line="264" w:lineRule="auto"/>
        <w:ind w:firstLine="567"/>
        <w:jc w:val="center"/>
        <w:rPr>
          <w:color w:val="000000" w:themeColor="text1"/>
          <w:sz w:val="26"/>
          <w:szCs w:val="26"/>
          <w14:textFill>
            <w14:solidFill>
              <w14:schemeClr w14:val="tx1"/>
            </w14:solidFill>
          </w14:textFill>
        </w:rPr>
      </w:pPr>
    </w:p>
    <w:p w14:paraId="708C6FBC">
      <w:pPr>
        <w:spacing w:before="120" w:after="120" w:line="264" w:lineRule="auto"/>
        <w:ind w:firstLine="567"/>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To:</w:t>
      </w:r>
      <w:r>
        <w:rPr>
          <w:i/>
          <w:color w:val="000000" w:themeColor="text1"/>
          <w:sz w:val="26"/>
          <w:szCs w:val="26"/>
          <w14:textFill>
            <w14:solidFill>
              <w14:schemeClr w14:val="tx1"/>
            </w14:solidFill>
          </w14:textFill>
        </w:rPr>
        <w:t>[insert name of Purchaser]</w:t>
      </w:r>
    </w:p>
    <w:p w14:paraId="708C6FBD">
      <w:pPr>
        <w:widowControl w:val="0"/>
        <w:spacing w:before="120" w:after="120" w:line="264" w:lineRule="auto"/>
        <w:ind w:firstLine="567"/>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(hereinafter called “the Purchaser”)</w:t>
      </w:r>
    </w:p>
    <w:p w14:paraId="708C6FBE">
      <w:pPr>
        <w:pStyle w:val="15"/>
        <w:widowControl w:val="0"/>
        <w:spacing w:before="120" w:line="264" w:lineRule="auto"/>
        <w:ind w:firstLine="567"/>
        <w:jc w:val="center"/>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[insert name and identification of contract]</w:t>
      </w:r>
    </w:p>
    <w:p w14:paraId="708C6FBF">
      <w:pPr>
        <w:pStyle w:val="15"/>
        <w:widowControl w:val="0"/>
        <w:spacing w:before="120" w:line="264" w:lineRule="auto"/>
        <w:ind w:firstLine="567"/>
        <w:rPr>
          <w:color w:val="000000" w:themeColor="text1"/>
          <w:sz w:val="26"/>
          <w:szCs w:val="26"/>
          <w14:textFill>
            <w14:solidFill>
              <w14:schemeClr w14:val="tx1"/>
            </w14:solidFill>
          </w14:textFill>
        </w:rPr>
      </w:pPr>
    </w:p>
    <w:p w14:paraId="708C6FC0">
      <w:pPr>
        <w:pStyle w:val="15"/>
        <w:widowControl w:val="0"/>
        <w:spacing w:before="120" w:line="264"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In accordance with the advance payment provision included in the Special Conditions of Contract, </w:t>
      </w:r>
      <w:r>
        <w:rPr>
          <w:i/>
          <w:color w:val="000000" w:themeColor="text1"/>
          <w:sz w:val="26"/>
          <w:szCs w:val="26"/>
          <w14:textFill>
            <w14:solidFill>
              <w14:schemeClr w14:val="tx1"/>
            </w14:solidFill>
          </w14:textFill>
        </w:rPr>
        <w:t xml:space="preserve">[insert name and address of </w:t>
      </w:r>
      <w:r>
        <w:rPr>
          <w:i/>
          <w:iCs/>
          <w:color w:val="000000" w:themeColor="text1"/>
          <w:sz w:val="26"/>
          <w:szCs w:val="26"/>
          <w14:textFill>
            <w14:solidFill>
              <w14:schemeClr w14:val="tx1"/>
            </w14:solidFill>
          </w14:textFill>
        </w:rPr>
        <w:t>Supplier</w:t>
      </w:r>
      <w:r>
        <w:rPr>
          <w:i/>
          <w:color w:val="000000" w:themeColor="text1"/>
          <w:sz w:val="26"/>
          <w:szCs w:val="26"/>
          <w14:textFill>
            <w14:solidFill>
              <w14:schemeClr w14:val="tx1"/>
            </w14:solidFill>
          </w14:textFill>
        </w:rPr>
        <w:t>]</w:t>
      </w:r>
      <w:r>
        <w:rPr>
          <w:color w:val="000000" w:themeColor="text1"/>
          <w:sz w:val="26"/>
          <w:szCs w:val="26"/>
          <w14:textFill>
            <w14:solidFill>
              <w14:schemeClr w14:val="tx1"/>
            </w14:solidFill>
          </w14:textFill>
        </w:rPr>
        <w:t xml:space="preserve"> (hereinafter called “the Supplier”) shall deposit with the Purchaser a bank guarantee to ensure the Supplier shall use, in a right purpose, an amount of </w:t>
      </w:r>
      <w:r>
        <w:rPr>
          <w:i/>
          <w:color w:val="000000" w:themeColor="text1"/>
          <w:sz w:val="26"/>
          <w:szCs w:val="26"/>
          <w14:textFill>
            <w14:solidFill>
              <w14:schemeClr w14:val="tx1"/>
            </w14:solidFill>
          </w14:textFill>
        </w:rPr>
        <w:t>[insert clearly amount of guarantee in figures and words and used currency]</w:t>
      </w:r>
      <w:r>
        <w:rPr>
          <w:iCs/>
          <w:color w:val="000000" w:themeColor="text1"/>
          <w:sz w:val="26"/>
          <w:szCs w:val="26"/>
          <w14:textFill>
            <w14:solidFill>
              <w14:schemeClr w14:val="tx1"/>
            </w14:solidFill>
          </w14:textFill>
        </w:rPr>
        <w:t xml:space="preserve"> for contract performance</w:t>
      </w:r>
      <w:r>
        <w:rPr>
          <w:color w:val="000000" w:themeColor="text1"/>
          <w:sz w:val="26"/>
          <w:szCs w:val="26"/>
          <w14:textFill>
            <w14:solidFill>
              <w14:schemeClr w14:val="tx1"/>
            </w14:solidFill>
          </w14:textFill>
        </w:rPr>
        <w:t>.</w:t>
      </w:r>
    </w:p>
    <w:p w14:paraId="708C6FC1">
      <w:pPr>
        <w:pStyle w:val="15"/>
        <w:widowControl w:val="0"/>
        <w:spacing w:before="120" w:line="264"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We, </w:t>
      </w:r>
      <w:r>
        <w:rPr>
          <w:i/>
          <w:color w:val="000000" w:themeColor="text1"/>
          <w:sz w:val="26"/>
          <w:szCs w:val="26"/>
          <w14:textFill>
            <w14:solidFill>
              <w14:schemeClr w14:val="tx1"/>
            </w14:solidFill>
          </w14:textFill>
        </w:rPr>
        <w:t>[insert name of bank]</w:t>
      </w:r>
      <w:r>
        <w:rPr>
          <w:color w:val="000000" w:themeColor="text1"/>
          <w:sz w:val="26"/>
          <w:szCs w:val="26"/>
          <w14:textFill>
            <w14:solidFill>
              <w14:schemeClr w14:val="tx1"/>
            </w14:solidFill>
          </w14:textFill>
        </w:rPr>
        <w:t xml:space="preserve"> have our head office registered at </w:t>
      </w:r>
      <w:r>
        <w:rPr>
          <w:i/>
          <w:color w:val="000000" w:themeColor="text1"/>
          <w:sz w:val="26"/>
          <w:szCs w:val="26"/>
          <w14:textFill>
            <w14:solidFill>
              <w14:schemeClr w14:val="tx1"/>
            </w14:solidFill>
          </w14:textFill>
        </w:rPr>
        <w:t>[insert address, tel., fax, e-mail of bank]</w:t>
      </w:r>
      <w:r>
        <w:rPr>
          <w:color w:val="000000" w:themeColor="text1"/>
          <w:sz w:val="26"/>
          <w:szCs w:val="26"/>
          <w14:textFill>
            <w14:solidFill>
              <w14:schemeClr w14:val="tx1"/>
            </w14:solidFill>
          </w14:textFill>
        </w:rPr>
        <w:t xml:space="preserve"> (hereinafter called “the Bank”), upon the Supplier’s request, agree unconditionally, irrevocably and do not require the Supplier’s prior review, to pay to the Purchaser when the Purchaser has a demand a sum not exceeding </w:t>
      </w:r>
      <w:r>
        <w:rPr>
          <w:i/>
          <w:color w:val="000000" w:themeColor="text1"/>
          <w:sz w:val="26"/>
          <w:szCs w:val="26"/>
          <w14:textFill>
            <w14:solidFill>
              <w14:schemeClr w14:val="tx1"/>
            </w14:solidFill>
          </w14:textFill>
        </w:rPr>
        <w:t>[insert amount of guarantee in figures, words and used currency according to SCC Clause 13.1 of the Bidding Document]</w:t>
      </w:r>
    </w:p>
    <w:p w14:paraId="708C6FC2">
      <w:pPr>
        <w:pStyle w:val="15"/>
        <w:widowControl w:val="0"/>
        <w:spacing w:before="120" w:line="264"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In addition, we agree that modifications, supplements, or adjustments to the provisions of contract or any documents concerning to the contract signed between the Purchaser and the Supplier will not change any of our obligations under this guarantee.</w:t>
      </w:r>
    </w:p>
    <w:p w14:paraId="708C6FC3">
      <w:pPr>
        <w:pStyle w:val="15"/>
        <w:widowControl w:val="0"/>
        <w:spacing w:before="120" w:line="264" w:lineRule="auto"/>
        <w:ind w:firstLine="567"/>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This guarantee is valid since the date of the advance payment under the contract received by the Supplier until ___/___/____</w:t>
      </w:r>
      <w:r>
        <w:rPr>
          <w:color w:val="000000" w:themeColor="text1"/>
          <w:sz w:val="26"/>
          <w:szCs w:val="26"/>
          <w:vertAlign w:val="superscript"/>
          <w14:textFill>
            <w14:solidFill>
              <w14:schemeClr w14:val="tx1"/>
            </w14:solidFill>
          </w14:textFill>
        </w:rPr>
        <w:t>(1)</w:t>
      </w:r>
      <w:r>
        <w:rPr>
          <w:color w:val="000000" w:themeColor="text1"/>
          <w:sz w:val="26"/>
          <w:szCs w:val="26"/>
          <w14:textFill>
            <w14:solidFill>
              <w14:schemeClr w14:val="tx1"/>
            </w14:solidFill>
          </w14:textFill>
        </w:rPr>
        <w:t xml:space="preserve">. </w:t>
      </w:r>
    </w:p>
    <w:p w14:paraId="708C6FC4">
      <w:pPr>
        <w:pStyle w:val="15"/>
        <w:widowControl w:val="0"/>
        <w:spacing w:before="120" w:line="264" w:lineRule="auto"/>
        <w:ind w:firstLine="567"/>
        <w:rPr>
          <w:color w:val="000000" w:themeColor="text1"/>
          <w:sz w:val="26"/>
          <w:szCs w:val="26"/>
          <w14:textFill>
            <w14:solidFill>
              <w14:schemeClr w14:val="tx1"/>
            </w14:solidFill>
          </w14:textFill>
        </w:rPr>
      </w:pPr>
    </w:p>
    <w:p w14:paraId="708C6FC5">
      <w:pPr>
        <w:pStyle w:val="15"/>
        <w:widowControl w:val="0"/>
        <w:spacing w:before="120" w:line="264" w:lineRule="auto"/>
        <w:ind w:firstLine="567"/>
        <w:jc w:val="right"/>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ab/>
      </w:r>
      <w:r>
        <w:rPr>
          <w:b/>
          <w:color w:val="000000" w:themeColor="text1"/>
          <w:sz w:val="26"/>
          <w:szCs w:val="26"/>
          <w14:textFill>
            <w14:solidFill>
              <w14:schemeClr w14:val="tx1"/>
            </w14:solidFill>
          </w14:textFill>
        </w:rPr>
        <w:t>Legal representative of the Bank</w:t>
      </w:r>
    </w:p>
    <w:p w14:paraId="708C6FC6">
      <w:pPr>
        <w:tabs>
          <w:tab w:val="center" w:pos="5670"/>
        </w:tabs>
        <w:spacing w:before="60" w:after="60"/>
        <w:jc w:val="right"/>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(Full name, position, signature and seal)</w:t>
      </w:r>
    </w:p>
    <w:p w14:paraId="708C6FC7">
      <w:pPr>
        <w:pStyle w:val="15"/>
        <w:rPr>
          <w:color w:val="000000" w:themeColor="text1"/>
          <w:sz w:val="26"/>
          <w:szCs w:val="26"/>
          <w14:textFill>
            <w14:solidFill>
              <w14:schemeClr w14:val="tx1"/>
            </w14:solidFill>
          </w14:textFill>
        </w:rPr>
      </w:pPr>
    </w:p>
    <w:p w14:paraId="708C6FC8">
      <w:pPr>
        <w:pStyle w:val="15"/>
        <w:rPr>
          <w:color w:val="000000" w:themeColor="text1"/>
          <w:sz w:val="26"/>
          <w:szCs w:val="26"/>
          <w14:textFill>
            <w14:solidFill>
              <w14:schemeClr w14:val="tx1"/>
            </w14:solidFill>
          </w14:textFill>
        </w:rPr>
      </w:pPr>
    </w:p>
    <w:p w14:paraId="708C6FC9">
      <w:pPr>
        <w:pStyle w:val="15"/>
        <w:rPr>
          <w:color w:val="000000" w:themeColor="text1"/>
          <w:sz w:val="26"/>
          <w:szCs w:val="26"/>
          <w14:textFill>
            <w14:solidFill>
              <w14:schemeClr w14:val="tx1"/>
            </w14:solidFill>
          </w14:textFill>
        </w:rPr>
      </w:pPr>
    </w:p>
    <w:p w14:paraId="708C6FCA">
      <w:pPr>
        <w:pStyle w:val="15"/>
        <w:widowControl w:val="0"/>
        <w:spacing w:before="120" w:line="264" w:lineRule="auto"/>
        <w:ind w:firstLine="567"/>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Notes: </w:t>
      </w:r>
    </w:p>
    <w:p w14:paraId="708C6FCB">
      <w:pPr>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 The delivery time is specified in the contract. If partial delivery, it may be specified that the advance payment guarantee is expired when the value of delivered and commissioned goods is greater or equivalent to the advanced amount. In case the performance period of contract need to be extended, then the validity of advance payment guarantee shall be extended respectively.</w:t>
      </w:r>
    </w:p>
    <w:p w14:paraId="708C6FCC">
      <w:pPr>
        <w:rPr>
          <w:color w:val="000000" w:themeColor="text1"/>
          <w:sz w:val="26"/>
          <w:szCs w:val="26"/>
          <w14:textFill>
            <w14:solidFill>
              <w14:schemeClr w14:val="tx1"/>
            </w14:solidFill>
          </w14:textFill>
        </w:rPr>
      </w:pPr>
    </w:p>
    <w:tbl>
      <w:tblPr>
        <w:tblStyle w:val="12"/>
        <w:tblW w:w="8643" w:type="dxa"/>
        <w:jc w:val="center"/>
        <w:tblLayout w:type="fixed"/>
        <w:tblCellMar>
          <w:top w:w="0" w:type="dxa"/>
          <w:left w:w="108" w:type="dxa"/>
          <w:bottom w:w="0" w:type="dxa"/>
          <w:right w:w="108" w:type="dxa"/>
        </w:tblCellMar>
      </w:tblPr>
      <w:tblGrid>
        <w:gridCol w:w="8643"/>
      </w:tblGrid>
      <w:tr w14:paraId="708C6FD0">
        <w:tblPrEx>
          <w:tblCellMar>
            <w:top w:w="0" w:type="dxa"/>
            <w:left w:w="108" w:type="dxa"/>
            <w:bottom w:w="0" w:type="dxa"/>
            <w:right w:w="108" w:type="dxa"/>
          </w:tblCellMar>
        </w:tblPrEx>
        <w:trPr>
          <w:trHeight w:val="977" w:hRule="atLeast"/>
          <w:jc w:val="center"/>
        </w:trPr>
        <w:tc>
          <w:tcPr>
            <w:tcW w:w="8643" w:type="dxa"/>
          </w:tcPr>
          <w:p w14:paraId="708C6FCD">
            <w:pPr>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SOCIALIST REPUBLIC OF VIETNAM </w:t>
            </w:r>
          </w:p>
          <w:p w14:paraId="708C6FCE">
            <w:pPr>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Independence-Freedom-Happiness</w:t>
            </w:r>
          </w:p>
          <w:p w14:paraId="708C6FCF">
            <w:pPr>
              <w:spacing w:after="240"/>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1659890</wp:posOffset>
                      </wp:positionH>
                      <wp:positionV relativeFrom="paragraph">
                        <wp:posOffset>31750</wp:posOffset>
                      </wp:positionV>
                      <wp:extent cx="1999615" cy="0"/>
                      <wp:effectExtent l="0" t="0" r="0" b="0"/>
                      <wp:wrapNone/>
                      <wp:docPr id="3" name="Straight Connector 3"/>
                      <wp:cNvGraphicFramePr/>
                      <a:graphic xmlns:a="http://schemas.openxmlformats.org/drawingml/2006/main">
                        <a:graphicData uri="http://schemas.microsoft.com/office/word/2010/wordprocessingShape">
                          <wps:wsp>
                            <wps:cNvCnPr>
                              <a:cxnSpLocks noChangeShapeType="1"/>
                            </wps:cNvCnPr>
                            <wps:spPr bwMode="auto">
                              <a:xfrm>
                                <a:off x="0" y="0"/>
                                <a:ext cx="199961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30.7pt;margin-top:2.5pt;height:0pt;width:157.45pt;z-index:251659264;mso-width-relative:page;mso-height-relative:page;" filled="f" stroked="t" coordsize="21600,21600" o:gfxdata="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jmbc41QAAAAcBAAAPAAAAAAAAAAEAIAAAACIA&#10;AABkcnMvZG93bnJldi54bWxQSwECFAAUAAAACACHTuJAWALnjdMBAACtAwAADgAAAAAAAAABACAA&#10;AAAkAQAAZHJzL2Uyb0RvYy54bWxQSwUGAAAAAAYABgBZAQAAaQUAAAAA&#10;">
                      <v:fill on="f" focussize="0,0"/>
                      <v:stroke color="#000000" joinstyle="round"/>
                      <v:imagedata o:title=""/>
                      <o:lock v:ext="edit" aspectratio="f"/>
                    </v:line>
                  </w:pict>
                </mc:Fallback>
              </mc:AlternateContent>
            </w:r>
          </w:p>
        </w:tc>
      </w:tr>
    </w:tbl>
    <w:p w14:paraId="708C6FD1">
      <w:pPr>
        <w:spacing w:before="120"/>
        <w:jc w:val="center"/>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WARRANTY CERTIFICATE OF MATERIALS AND EQUIPMENT </w:t>
      </w:r>
    </w:p>
    <w:p w14:paraId="708C6FD2">
      <w:pPr>
        <w:spacing w:after="120"/>
        <w:jc w:val="center"/>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No.:………………………/PBH/(year)/(unit)</w:t>
      </w:r>
    </w:p>
    <w:p w14:paraId="708C6FD3">
      <w:pPr>
        <w:tabs>
          <w:tab w:val="left" w:leader="dot" w:pos="8400"/>
        </w:tabs>
        <w:jc w:val="both"/>
        <w:rPr>
          <w:b/>
          <w:i/>
          <w:color w:val="000000" w:themeColor="text1"/>
          <w:sz w:val="26"/>
          <w:szCs w:val="26"/>
          <w14:textFill>
            <w14:solidFill>
              <w14:schemeClr w14:val="tx1"/>
            </w14:solidFill>
          </w14:textFill>
        </w:rPr>
      </w:pPr>
      <w:r>
        <w:rPr>
          <w:b/>
          <w:i/>
          <w:color w:val="000000" w:themeColor="text1"/>
          <w:sz w:val="26"/>
          <w:szCs w:val="26"/>
          <w14:textFill>
            <w14:solidFill>
              <w14:schemeClr w14:val="tx1"/>
            </w14:solidFill>
          </w14:textFill>
        </w:rPr>
        <w:t>On the basis of:</w:t>
      </w:r>
    </w:p>
    <w:p w14:paraId="708C6FD4">
      <w:pPr>
        <w:shd w:val="clear" w:color="auto" w:fill="FFFFFF"/>
        <w:ind w:firstLine="72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Materials and Equipment Contract No .: ……………........... / (unit)-(unit);</w:t>
      </w:r>
    </w:p>
    <w:p w14:paraId="708C6FD5">
      <w:pPr>
        <w:shd w:val="clear" w:color="auto" w:fill="FFFFFF"/>
        <w:ind w:firstLine="72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We………………………………….……..</w:t>
      </w:r>
      <w:r>
        <w:rPr>
          <w:i/>
          <w:color w:val="000000" w:themeColor="text1"/>
          <w:sz w:val="26"/>
          <w:szCs w:val="26"/>
          <w14:textFill>
            <w14:solidFill>
              <w14:schemeClr w14:val="tx1"/>
            </w14:solidFill>
          </w14:textFill>
        </w:rPr>
        <w:t>(warrantee)</w:t>
      </w:r>
      <w:r>
        <w:rPr>
          <w:color w:val="000000" w:themeColor="text1"/>
          <w:sz w:val="26"/>
          <w:szCs w:val="26"/>
          <w14:textFill>
            <w14:solidFill>
              <w14:schemeClr w14:val="tx1"/>
            </w14:solidFill>
          </w14:textFill>
        </w:rPr>
        <w:t xml:space="preserve">, agreed warranty for Purchaser…………………………………………. </w:t>
      </w:r>
      <w:r>
        <w:rPr>
          <w:i/>
          <w:color w:val="000000" w:themeColor="text1"/>
          <w:sz w:val="26"/>
          <w:szCs w:val="26"/>
          <w14:textFill>
            <w14:solidFill>
              <w14:schemeClr w14:val="tx1"/>
            </w14:solidFill>
          </w14:textFill>
        </w:rPr>
        <w:t>(Purchaser)</w:t>
      </w:r>
      <w:r>
        <w:rPr>
          <w:color w:val="000000" w:themeColor="text1"/>
          <w:sz w:val="26"/>
          <w:szCs w:val="26"/>
          <w14:textFill>
            <w14:solidFill>
              <w14:schemeClr w14:val="tx1"/>
            </w14:solidFill>
          </w14:textFill>
        </w:rPr>
        <w:t xml:space="preserve"> with the detail below:</w:t>
      </w:r>
    </w:p>
    <w:p w14:paraId="708C6FD6">
      <w:pPr>
        <w:shd w:val="clear" w:color="auto" w:fill="FFFFFF"/>
        <w:spacing w:before="120" w:after="120"/>
        <w:ind w:firstLine="72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 List of materials and equipment for warranty:</w:t>
      </w:r>
    </w:p>
    <w:tbl>
      <w:tblPr>
        <w:tblStyle w:val="1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693"/>
        <w:gridCol w:w="2551"/>
        <w:gridCol w:w="1134"/>
        <w:gridCol w:w="1276"/>
        <w:gridCol w:w="1418"/>
      </w:tblGrid>
      <w:tr w14:paraId="708C6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08C6FD7">
            <w:pPr>
              <w:jc w:val="center"/>
              <w:rPr>
                <w:color w:val="000000" w:themeColor="text1"/>
                <w:sz w:val="26"/>
                <w:szCs w:val="26"/>
                <w14:textFill>
                  <w14:solidFill>
                    <w14:schemeClr w14:val="tx1"/>
                  </w14:solidFill>
                </w14:textFill>
              </w:rPr>
            </w:pPr>
          </w:p>
        </w:tc>
        <w:tc>
          <w:tcPr>
            <w:tcW w:w="2693" w:type="dxa"/>
          </w:tcPr>
          <w:p w14:paraId="708C6FD8">
            <w:pPr>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Category and features of materials and equipment </w:t>
            </w:r>
          </w:p>
        </w:tc>
        <w:tc>
          <w:tcPr>
            <w:tcW w:w="2551" w:type="dxa"/>
          </w:tcPr>
          <w:p w14:paraId="708C6FD9">
            <w:pPr>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Source, sign, label of products</w:t>
            </w:r>
          </w:p>
        </w:tc>
        <w:tc>
          <w:tcPr>
            <w:tcW w:w="1134" w:type="dxa"/>
          </w:tcPr>
          <w:p w14:paraId="708C6FDA">
            <w:pPr>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Unit</w:t>
            </w:r>
          </w:p>
        </w:tc>
        <w:tc>
          <w:tcPr>
            <w:tcW w:w="1276" w:type="dxa"/>
          </w:tcPr>
          <w:p w14:paraId="708C6FDB">
            <w:pPr>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Quantity</w:t>
            </w:r>
          </w:p>
        </w:tc>
        <w:tc>
          <w:tcPr>
            <w:tcW w:w="1418" w:type="dxa"/>
          </w:tcPr>
          <w:p w14:paraId="708C6FDC">
            <w:pPr>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Note</w:t>
            </w:r>
          </w:p>
        </w:tc>
      </w:tr>
      <w:tr w14:paraId="708C6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08C6FDE">
            <w:pPr>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1</w:t>
            </w:r>
          </w:p>
        </w:tc>
        <w:tc>
          <w:tcPr>
            <w:tcW w:w="2693" w:type="dxa"/>
          </w:tcPr>
          <w:p w14:paraId="708C6FDF">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t>
            </w:r>
          </w:p>
        </w:tc>
        <w:tc>
          <w:tcPr>
            <w:tcW w:w="2551" w:type="dxa"/>
          </w:tcPr>
          <w:p w14:paraId="708C6FE0">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t>
            </w:r>
          </w:p>
        </w:tc>
        <w:tc>
          <w:tcPr>
            <w:tcW w:w="1134" w:type="dxa"/>
          </w:tcPr>
          <w:p w14:paraId="708C6FE1">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t>
            </w:r>
          </w:p>
        </w:tc>
        <w:tc>
          <w:tcPr>
            <w:tcW w:w="1276" w:type="dxa"/>
          </w:tcPr>
          <w:p w14:paraId="708C6FE2">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t>
            </w:r>
          </w:p>
        </w:tc>
        <w:tc>
          <w:tcPr>
            <w:tcW w:w="1418" w:type="dxa"/>
          </w:tcPr>
          <w:p w14:paraId="708C6FE3">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t>
            </w:r>
          </w:p>
        </w:tc>
      </w:tr>
      <w:tr w14:paraId="708C6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08C6FE5">
            <w:pPr>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w:t>
            </w:r>
          </w:p>
        </w:tc>
        <w:tc>
          <w:tcPr>
            <w:tcW w:w="2693" w:type="dxa"/>
          </w:tcPr>
          <w:p w14:paraId="708C6FE6">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t>
            </w:r>
          </w:p>
        </w:tc>
        <w:tc>
          <w:tcPr>
            <w:tcW w:w="2551" w:type="dxa"/>
          </w:tcPr>
          <w:p w14:paraId="708C6FE7">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t>
            </w:r>
          </w:p>
        </w:tc>
        <w:tc>
          <w:tcPr>
            <w:tcW w:w="1134" w:type="dxa"/>
          </w:tcPr>
          <w:p w14:paraId="708C6FE8">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t>
            </w:r>
          </w:p>
        </w:tc>
        <w:tc>
          <w:tcPr>
            <w:tcW w:w="1276" w:type="dxa"/>
          </w:tcPr>
          <w:p w14:paraId="708C6FE9">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t>
            </w:r>
          </w:p>
        </w:tc>
        <w:tc>
          <w:tcPr>
            <w:tcW w:w="1418" w:type="dxa"/>
          </w:tcPr>
          <w:p w14:paraId="708C6FEA">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t>
            </w:r>
          </w:p>
        </w:tc>
      </w:tr>
      <w:tr w14:paraId="708C6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08C6FEC">
            <w:pPr>
              <w:jc w:val="cente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t>
            </w:r>
          </w:p>
        </w:tc>
        <w:tc>
          <w:tcPr>
            <w:tcW w:w="2693" w:type="dxa"/>
          </w:tcPr>
          <w:p w14:paraId="708C6FED">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t>
            </w:r>
          </w:p>
        </w:tc>
        <w:tc>
          <w:tcPr>
            <w:tcW w:w="2551" w:type="dxa"/>
          </w:tcPr>
          <w:p w14:paraId="708C6FEE">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t>
            </w:r>
          </w:p>
        </w:tc>
        <w:tc>
          <w:tcPr>
            <w:tcW w:w="1134" w:type="dxa"/>
          </w:tcPr>
          <w:p w14:paraId="708C6FEF">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t>
            </w:r>
          </w:p>
        </w:tc>
        <w:tc>
          <w:tcPr>
            <w:tcW w:w="1276" w:type="dxa"/>
          </w:tcPr>
          <w:p w14:paraId="708C6FF0">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t>
            </w:r>
          </w:p>
        </w:tc>
        <w:tc>
          <w:tcPr>
            <w:tcW w:w="1418" w:type="dxa"/>
          </w:tcPr>
          <w:p w14:paraId="708C6FF1">
            <w:pPr>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t>
            </w:r>
          </w:p>
        </w:tc>
      </w:tr>
    </w:tbl>
    <w:p w14:paraId="708C6FF3">
      <w:pPr>
        <w:shd w:val="clear" w:color="auto" w:fill="FFFFFF"/>
        <w:spacing w:before="120"/>
        <w:ind w:firstLine="72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 Belong to the project ……………………………………………………….;</w:t>
      </w:r>
    </w:p>
    <w:p w14:paraId="708C6FF4">
      <w:pPr>
        <w:shd w:val="clear" w:color="auto" w:fill="FFFFFF"/>
        <w:ind w:firstLine="72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3. Installation location……………………………….………………………..;</w:t>
      </w:r>
    </w:p>
    <w:p w14:paraId="708C6FF5">
      <w:pPr>
        <w:shd w:val="clear" w:color="auto" w:fill="FFFFFF"/>
        <w:ind w:firstLine="72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4. Duration of warranty: from……… (time), date……month…..year……., to……...(time), date……month……year………</w:t>
      </w:r>
    </w:p>
    <w:p w14:paraId="708C6FF6">
      <w:pPr>
        <w:pStyle w:val="97"/>
        <w:ind w:left="0" w:firstLine="72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5. Conditions of the warranty are in accordance with the above contract and the provisions of the current law, the Vietnam Electricity (EVN) and the National Power Transmission Corporation (EVNNPT). </w:t>
      </w:r>
    </w:p>
    <w:p w14:paraId="708C6FF7">
      <w:pPr>
        <w:ind w:firstLine="72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The warranty card is issued by 3 guarantee copies with the same legal validity. The warrantee (Supplier of the goods), the Purchaser and the Power Transmission Company No…… of each party keeps one as proof for the warranty./.</w:t>
      </w:r>
    </w:p>
    <w:p w14:paraId="708C6FF8">
      <w:pPr>
        <w:rPr>
          <w:color w:val="000000" w:themeColor="text1"/>
          <w:sz w:val="26"/>
          <w:szCs w:val="26"/>
          <w14:textFill>
            <w14:solidFill>
              <w14:schemeClr w14:val="tx1"/>
            </w14:solidFill>
          </w14:textFill>
        </w:rPr>
      </w:pPr>
    </w:p>
    <w:p w14:paraId="708C6FF9">
      <w:pPr>
        <w:shd w:val="clear" w:color="auto" w:fill="FFFFFF"/>
        <w:rPr>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 (location), date……month……year………..</w:t>
      </w:r>
    </w:p>
    <w:tbl>
      <w:tblPr>
        <w:tblStyle w:val="12"/>
        <w:tblW w:w="0" w:type="auto"/>
        <w:tblInd w:w="0" w:type="dxa"/>
        <w:tblLayout w:type="fixed"/>
        <w:tblCellMar>
          <w:top w:w="0" w:type="dxa"/>
          <w:left w:w="108" w:type="dxa"/>
          <w:bottom w:w="0" w:type="dxa"/>
          <w:right w:w="108" w:type="dxa"/>
        </w:tblCellMar>
      </w:tblPr>
      <w:tblGrid>
        <w:gridCol w:w="4644"/>
        <w:gridCol w:w="5387"/>
      </w:tblGrid>
      <w:tr w14:paraId="708C6FFC">
        <w:tblPrEx>
          <w:tblCellMar>
            <w:top w:w="0" w:type="dxa"/>
            <w:left w:w="108" w:type="dxa"/>
            <w:bottom w:w="0" w:type="dxa"/>
            <w:right w:w="108" w:type="dxa"/>
          </w:tblCellMar>
        </w:tblPrEx>
        <w:tc>
          <w:tcPr>
            <w:tcW w:w="4644" w:type="dxa"/>
          </w:tcPr>
          <w:p w14:paraId="708C6FFA">
            <w:pPr>
              <w:spacing w:before="120" w:beforeLines="50" w:after="120" w:afterLines="50"/>
              <w:jc w:val="center"/>
              <w:rPr>
                <w:color w:val="000000" w:themeColor="text1"/>
                <w:sz w:val="26"/>
                <w:szCs w:val="26"/>
                <w14:textFill>
                  <w14:solidFill>
                    <w14:schemeClr w14:val="tx1"/>
                  </w14:solidFill>
                </w14:textFill>
              </w:rPr>
            </w:pPr>
          </w:p>
        </w:tc>
        <w:tc>
          <w:tcPr>
            <w:tcW w:w="5387" w:type="dxa"/>
          </w:tcPr>
          <w:p w14:paraId="708C6FFB">
            <w:pPr>
              <w:spacing w:before="120" w:beforeLines="50" w:after="120" w:afterLines="50"/>
              <w:jc w:val="center"/>
              <w:rPr>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WARRANTEE</w:t>
            </w:r>
            <w:r>
              <w:rPr>
                <w:b/>
                <w:bCs/>
                <w:color w:val="000000" w:themeColor="text1"/>
                <w:sz w:val="26"/>
                <w:szCs w:val="26"/>
                <w14:textFill>
                  <w14:solidFill>
                    <w14:schemeClr w14:val="tx1"/>
                  </w14:solidFill>
                </w14:textFill>
              </w:rPr>
              <w:br w:type="textWrapping"/>
            </w:r>
            <w:r>
              <w:rPr>
                <w:i/>
                <w:iCs/>
                <w:color w:val="000000" w:themeColor="text1"/>
                <w:sz w:val="26"/>
                <w:szCs w:val="26"/>
                <w14:textFill>
                  <w14:solidFill>
                    <w14:schemeClr w14:val="tx1"/>
                  </w14:solidFill>
                </w14:textFill>
              </w:rPr>
              <w:t>(Sign, full name, position and stamp)</w:t>
            </w:r>
          </w:p>
        </w:tc>
      </w:tr>
    </w:tbl>
    <w:p w14:paraId="708C6FFD">
      <w:pPr>
        <w:pStyle w:val="71"/>
        <w:ind w:left="0" w:firstLine="0"/>
        <w:jc w:val="center"/>
        <w:outlineLvl w:val="2"/>
        <w:rPr>
          <w:color w:val="000000" w:themeColor="text1"/>
          <w:sz w:val="26"/>
          <w:szCs w:val="26"/>
          <w14:textFill>
            <w14:solidFill>
              <w14:schemeClr w14:val="tx1"/>
            </w14:solidFill>
          </w14:textFill>
        </w:rPr>
      </w:pPr>
    </w:p>
    <w:sectPr>
      <w:headerReference r:id="rId26" w:type="first"/>
      <w:footerReference r:id="rId28" w:type="first"/>
      <w:headerReference r:id="rId24" w:type="default"/>
      <w:footerReference r:id="rId27" w:type="default"/>
      <w:headerReference r:id="rId25" w:type="even"/>
      <w:pgSz w:w="11907" w:h="16840"/>
      <w:pgMar w:top="1134" w:right="1134" w:bottom="1134" w:left="1701"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VnTime">
    <w:panose1 w:val="020B7200000000000000"/>
    <w:charset w:val="00"/>
    <w:family w:val="swiss"/>
    <w:pitch w:val="default"/>
    <w:sig w:usb0="00000000" w:usb1="00000000" w:usb2="00000000" w:usb3="00000000" w:csb0="00000000" w:csb1="00000000"/>
  </w:font>
  <w:font w:name="CG Times">
    <w:altName w:val="Times New Roman"/>
    <w:panose1 w:val="00000000000000000000"/>
    <w:charset w:val="00"/>
    <w:family w:val="roman"/>
    <w:pitch w:val="default"/>
    <w:sig w:usb0="00000000" w:usb1="00000000" w:usb2="00000000" w:usb3="00000000" w:csb0="00000001" w:csb1="00000000"/>
  </w:font>
  <w:font w:name="Avalon">
    <w:altName w:val="Segoe Print"/>
    <w:panose1 w:val="00000000000000000000"/>
    <w:charset w:val="00"/>
    <w:family w:val="swiss"/>
    <w:pitch w:val="default"/>
    <w:sig w:usb0="00000000" w:usb1="00000000" w:usb2="00000000" w:usb3="00000000" w:csb0="00000001" w:csb1="00000000"/>
  </w:font>
  <w:font w:name="VNTime">
    <w:altName w:val="Segoe Print"/>
    <w:panose1 w:val="00000000000000000000"/>
    <w:charset w:val="00"/>
    <w:family w:val="auto"/>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Times">
    <w:altName w:val="Times New Roman"/>
    <w:panose1 w:val="02020603050405020304"/>
    <w:charset w:val="00"/>
    <w:family w:val="roman"/>
    <w:pitch w:val="default"/>
    <w:sig w:usb0="00000000" w:usb1="00000000" w:usb2="00000009" w:usb3="00000000" w:csb0="000001FF" w:csb1="00000000"/>
  </w:font>
  <w:font w:name="Book Antiqua">
    <w:panose1 w:val="02040602050305030304"/>
    <w:charset w:val="00"/>
    <w:family w:val="roman"/>
    <w:pitch w:val="default"/>
    <w:sig w:usb0="00000287" w:usb1="00000000" w:usb2="00000000" w:usb3="00000000" w:csb0="2000009F" w:csb1="DFD70000"/>
  </w:font>
  <w:font w:name="Tms Rmn">
    <w:altName w:val="Times New Roman"/>
    <w:panose1 w:val="02020603040505020304"/>
    <w:charset w:val="00"/>
    <w:family w:val="roman"/>
    <w:pitch w:val="default"/>
    <w:sig w:usb0="00000000" w:usb1="00000000" w:usb2="00000000" w:usb3="00000000" w:csb0="00000001" w:csb1="00000000"/>
  </w:font>
  <w:font w:name="Helvetica Neue">
    <w:altName w:val="Times New Roman"/>
    <w:panose1 w:val="00000000000000000000"/>
    <w:charset w:val="00"/>
    <w:family w:val="swiss"/>
    <w:pitch w:val="default"/>
    <w:sig w:usb0="00000000" w:usb1="00000000" w:usb2="00000000" w:usb3="00000000" w:csb0="00000001" w:csb1="00000000"/>
  </w:font>
  <w:font w:name="‚l‚r –¾’©">
    <w:altName w:val="Segoe Print"/>
    <w:panose1 w:val="00000000000000000000"/>
    <w:charset w:val="00"/>
    <w:family w:val="roman"/>
    <w:pitch w:val="default"/>
    <w:sig w:usb0="00000000" w:usb1="00000000" w:usb2="00000000" w:usb3="00000000" w:csb0="00000001" w:csb1="00000000"/>
  </w:font>
  <w:font w:name="Arial-BoldMT">
    <w:altName w:val="Arial"/>
    <w:panose1 w:val="00000000000000000000"/>
    <w:charset w:val="00"/>
    <w:family w:val="swiss"/>
    <w:pitch w:val="default"/>
    <w:sig w:usb0="00000000" w:usb1="00000000" w:usb2="00000000" w:usb3="00000000" w:csb0="00000001" w:csb1="00000000"/>
  </w:font>
  <w:font w:name="Optima">
    <w:altName w:val="Segoe Print"/>
    <w:panose1 w:val="00000000000000000000"/>
    <w:charset w:val="00"/>
    <w:family w:val="swiss"/>
    <w:pitch w:val="default"/>
    <w:sig w:usb0="00000000" w:usb1="00000000" w:usb2="00000000" w:usb3="00000000" w:csb0="00000001" w:csb1="00000000"/>
  </w:font>
  <w:font w:name=".VnArial">
    <w:panose1 w:val="020B7200000000000000"/>
    <w:charset w:val="00"/>
    <w:family w:val="swiss"/>
    <w:pitch w:val="default"/>
    <w:sig w:usb0="00000000" w:usb1="00000000" w:usb2="00000000" w:usb3="00000000" w:csb0="00000000" w:csb1="00000000"/>
  </w:font>
  <w:font w:name="VNI-Times">
    <w:panose1 w:val="00000000000000000000"/>
    <w:charset w:val="00"/>
    <w:family w:val="auto"/>
    <w:pitch w:val="default"/>
    <w:sig w:usb0="00000000" w:usb1="00000000" w:usb2="00000000" w:usb3="00000000" w:csb0="00000000" w:csb1="00000000"/>
  </w:font>
  <w:font w:name="Courier">
    <w:altName w:val="Courier New"/>
    <w:panose1 w:val="02070409020205020404"/>
    <w:charset w:val="00"/>
    <w:family w:val="modern"/>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 w:name="TimesNewRomanPSMT">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VNI-Helve-Condense">
    <w:altName w:val="Segoe Print"/>
    <w:panose1 w:val="00000000000000000000"/>
    <w:charset w:val="00"/>
    <w:family w:val="auto"/>
    <w:pitch w:val="default"/>
    <w:sig w:usb0="00000000" w:usb1="00000000" w:usb2="00000000" w:usb3="00000000" w:csb0="00000001" w:csb1="00000000"/>
  </w:font>
  <w:font w:name="等线 Light">
    <w:altName w:val="Segoe Print"/>
    <w:panose1 w:val="00000000000000000000"/>
    <w:charset w:val="00"/>
    <w:family w:val="auto"/>
    <w:pitch w:val="default"/>
    <w:sig w:usb0="00000000" w:usb1="00000000" w:usb2="00000000" w:usb3="00000000" w:csb0="00000000" w:csb1="00000000"/>
  </w:font>
  <w:font w:name="PdTimeH">
    <w:altName w:val="Arial Narrow"/>
    <w:panose1 w:val="00000000000000000000"/>
    <w:charset w:val="00"/>
    <w:family w:val="swiss"/>
    <w:pitch w:val="default"/>
    <w:sig w:usb0="00000000" w:usb1="00000000" w:usb2="00000000" w:usb3="00000000" w:csb0="00000001" w:csb1="00000000"/>
  </w:font>
  <w:font w:name="CG Times (W1)">
    <w:altName w:val="Times New Roman"/>
    <w:panose1 w:val="00000000000000000000"/>
    <w:charset w:val="00"/>
    <w:family w:val="roman"/>
    <w:pitch w:val="default"/>
    <w:sig w:usb0="00000000" w:usb1="00000000" w:usb2="00000000" w:usb3="00000000" w:csb0="00000001" w:csb1="00000000"/>
  </w:font>
  <w:font w:name="Arial Narrow">
    <w:panose1 w:val="020B0606020202030204"/>
    <w:charset w:val="00"/>
    <w:family w:val="swiss"/>
    <w:pitch w:val="default"/>
    <w:sig w:usb0="00000287" w:usb1="00000800" w:usb2="00000000" w:usb3="00000000" w:csb0="2000009F" w:csb1="DFD70000"/>
  </w:font>
  <w:font w:name=".VnTimeH">
    <w:panose1 w:val="020B7200000000000000"/>
    <w:charset w:val="00"/>
    <w:family w:val="swiss"/>
    <w:pitch w:val="default"/>
    <w:sig w:usb0="00000000" w:usb1="00000000" w:usb2="00000000" w:usb3="00000000" w:csb0="00000000" w:csb1="00000000"/>
  </w:font>
  <w:font w:name=".VnArialH">
    <w:panose1 w:val="020B7200000000000000"/>
    <w:charset w:val="00"/>
    <w:family w:val="swiss"/>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700D">
    <w:pPr>
      <w:pStyle w:val="31"/>
      <w:pBdr>
        <w:top w:val="single" w:color="auto" w:sz="4" w:space="1"/>
      </w:pBdr>
      <w:tabs>
        <w:tab w:val="center" w:pos="5760"/>
        <w:tab w:val="right" w:pos="9072"/>
        <w:tab w:val="clear" w:pos="4680"/>
        <w:tab w:val="clear" w:pos="9360"/>
      </w:tabs>
      <w:rPr>
        <w:sz w:val="20"/>
        <w:szCs w:val="20"/>
      </w:rPr>
    </w:pPr>
    <w:r>
      <w:rPr>
        <w:i/>
        <w:sz w:val="20"/>
        <w:szCs w:val="20"/>
        <w:lang w:val="en-US"/>
      </w:rPr>
      <w:t>Project - 500kV Hai Phong S/s</w:t>
    </w:r>
    <w:r>
      <w:rPr>
        <w:i/>
        <w:sz w:val="20"/>
        <w:szCs w:val="20"/>
        <w:lang w:val="en-US"/>
      </w:rPr>
      <w:tab/>
    </w:r>
    <w:r>
      <w:rPr>
        <w:i/>
        <w:sz w:val="20"/>
        <w:szCs w:val="20"/>
        <w:lang w:val="en-US"/>
      </w:rPr>
      <w:tab/>
    </w:r>
    <w:r>
      <w:rPr>
        <w:sz w:val="20"/>
        <w:szCs w:val="20"/>
      </w:rPr>
      <w:fldChar w:fldCharType="begin"/>
    </w:r>
    <w:r>
      <w:rPr>
        <w:sz w:val="20"/>
        <w:szCs w:val="20"/>
      </w:rPr>
      <w:instrText xml:space="preserve"> PAGE  \* Arabic  \* MERGEFORMAT </w:instrText>
    </w:r>
    <w:r>
      <w:rPr>
        <w:sz w:val="20"/>
        <w:szCs w:val="20"/>
      </w:rPr>
      <w:fldChar w:fldCharType="separate"/>
    </w:r>
    <w:r>
      <w:rPr>
        <w:sz w:val="20"/>
        <w:szCs w:val="20"/>
      </w:rPr>
      <w:t>2</w:t>
    </w:r>
    <w:r>
      <w:rPr>
        <w:sz w:val="20"/>
        <w:szCs w:val="20"/>
      </w:rPr>
      <w:fldChar w:fldCharType="end"/>
    </w:r>
    <w:r>
      <w:rPr>
        <w:sz w:val="20"/>
        <w:szCs w:val="20"/>
      </w:rPr>
      <w:t>/</w:t>
    </w:r>
    <w:r>
      <w:rPr>
        <w:sz w:val="20"/>
        <w:szCs w:val="20"/>
      </w:rPr>
      <w:fldChar w:fldCharType="begin"/>
    </w:r>
    <w:r>
      <w:rPr>
        <w:sz w:val="20"/>
        <w:szCs w:val="20"/>
      </w:rPr>
      <w:instrText xml:space="preserve"> NUMPAGES  \* Arabic  \* MERGEFORMAT </w:instrText>
    </w:r>
    <w:r>
      <w:rPr>
        <w:sz w:val="20"/>
        <w:szCs w:val="20"/>
      </w:rPr>
      <w:fldChar w:fldCharType="separate"/>
    </w:r>
    <w:r>
      <w:rPr>
        <w:sz w:val="20"/>
        <w:szCs w:val="20"/>
      </w:rPr>
      <w:t>143</w:t>
    </w:r>
    <w:r>
      <w:rPr>
        <w:sz w:val="20"/>
        <w:szCs w:val="20"/>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7023">
    <w:pPr>
      <w:pStyle w:val="31"/>
      <w:pBdr>
        <w:top w:val="single" w:color="auto" w:sz="4" w:space="1"/>
      </w:pBdr>
      <w:tabs>
        <w:tab w:val="center" w:pos="7655"/>
        <w:tab w:val="right" w:pos="14004"/>
        <w:tab w:val="clear" w:pos="4680"/>
        <w:tab w:val="clear" w:pos="9360"/>
      </w:tabs>
    </w:pPr>
    <w:r>
      <w:rPr>
        <w:i/>
        <w:sz w:val="20"/>
        <w:szCs w:val="20"/>
        <w:lang w:val="en-US"/>
      </w:rPr>
      <w:t>Project - 500kV Hai Phong S/s</w:t>
    </w:r>
    <w:r>
      <w:rPr>
        <w:sz w:val="24"/>
        <w:lang w:val="en-US"/>
      </w:rPr>
      <w:tab/>
    </w:r>
    <w:r>
      <w:rPr>
        <w:sz w:val="20"/>
        <w:szCs w:val="20"/>
      </w:rPr>
      <w:tab/>
    </w:r>
    <w:r>
      <w:rPr>
        <w:sz w:val="20"/>
        <w:szCs w:val="20"/>
      </w:rPr>
      <w:fldChar w:fldCharType="begin"/>
    </w:r>
    <w:r>
      <w:rPr>
        <w:sz w:val="20"/>
        <w:szCs w:val="20"/>
      </w:rPr>
      <w:instrText xml:space="preserve"> PAGE  \* Arabic  \* MERGEFORMAT </w:instrText>
    </w:r>
    <w:r>
      <w:rPr>
        <w:sz w:val="20"/>
        <w:szCs w:val="20"/>
      </w:rPr>
      <w:fldChar w:fldCharType="separate"/>
    </w:r>
    <w:r>
      <w:rPr>
        <w:sz w:val="20"/>
        <w:szCs w:val="20"/>
      </w:rPr>
      <w:t>143</w:t>
    </w:r>
    <w:r>
      <w:rPr>
        <w:sz w:val="20"/>
        <w:szCs w:val="20"/>
      </w:rPr>
      <w:fldChar w:fldCharType="end"/>
    </w:r>
    <w:r>
      <w:rPr>
        <w:sz w:val="20"/>
        <w:szCs w:val="20"/>
      </w:rPr>
      <w:t>/</w:t>
    </w:r>
    <w:r>
      <w:rPr>
        <w:sz w:val="20"/>
        <w:szCs w:val="20"/>
      </w:rPr>
      <w:fldChar w:fldCharType="begin"/>
    </w:r>
    <w:r>
      <w:rPr>
        <w:sz w:val="20"/>
        <w:szCs w:val="20"/>
      </w:rPr>
      <w:instrText xml:space="preserve"> NUMPAGES  \* Arabic  \* MERGEFORMAT </w:instrText>
    </w:r>
    <w:r>
      <w:rPr>
        <w:sz w:val="20"/>
        <w:szCs w:val="20"/>
      </w:rPr>
      <w:fldChar w:fldCharType="separate"/>
    </w:r>
    <w:r>
      <w:rPr>
        <w:sz w:val="20"/>
        <w:szCs w:val="20"/>
      </w:rPr>
      <w:t>143</w:t>
    </w:r>
    <w:r>
      <w:rPr>
        <w:sz w:val="20"/>
        <w:szCs w:val="20"/>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7026">
    <w:pPr>
      <w:pStyle w:val="31"/>
      <w:jc w:val="right"/>
    </w:pPr>
    <w:r>
      <w:fldChar w:fldCharType="begin"/>
    </w:r>
    <w:r>
      <w:instrText xml:space="preserve"> PAGE   \* MERGEFORMAT </w:instrText>
    </w:r>
    <w:r>
      <w:fldChar w:fldCharType="separate"/>
    </w:r>
    <w:r>
      <w:t>81</w:t>
    </w:r>
    <w:r>
      <w:fldChar w:fldCharType="end"/>
    </w:r>
  </w:p>
  <w:p w14:paraId="708C7027">
    <w:pPr>
      <w:pStyle w:val="3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700C">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700F">
    <w:pPr>
      <w:pStyle w:val="3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7013">
    <w:pPr>
      <w:pStyle w:val="31"/>
      <w:pBdr>
        <w:top w:val="single" w:color="auto" w:sz="4" w:space="1"/>
      </w:pBdr>
      <w:tabs>
        <w:tab w:val="right" w:pos="9072"/>
        <w:tab w:val="clear" w:pos="9360"/>
      </w:tabs>
      <w:ind w:left="720"/>
      <w:rPr>
        <w:sz w:val="20"/>
        <w:szCs w:val="20"/>
      </w:rPr>
    </w:pPr>
    <w:r>
      <w:rPr>
        <w:i/>
        <w:sz w:val="20"/>
        <w:szCs w:val="20"/>
        <w:lang w:val="en-US"/>
      </w:rPr>
      <w:t>Project - 500kV Hai Phong S/s</w:t>
    </w:r>
    <w:r>
      <w:rPr>
        <w:i/>
        <w:sz w:val="20"/>
        <w:szCs w:val="20"/>
      </w:rPr>
      <w:tab/>
    </w:r>
    <w:r>
      <w:rPr>
        <w:i/>
        <w:sz w:val="20"/>
        <w:szCs w:val="20"/>
      </w:rPr>
      <w:tab/>
    </w:r>
    <w:r>
      <w:rPr>
        <w:i/>
        <w:sz w:val="20"/>
        <w:szCs w:val="20"/>
      </w:rPr>
      <w:t xml:space="preserve">                                         </w:t>
    </w:r>
    <w:r>
      <w:rPr>
        <w:sz w:val="20"/>
        <w:szCs w:val="20"/>
      </w:rPr>
      <w:fldChar w:fldCharType="begin"/>
    </w:r>
    <w:r>
      <w:rPr>
        <w:sz w:val="20"/>
        <w:szCs w:val="20"/>
      </w:rPr>
      <w:instrText xml:space="preserve"> PAGE  \* Arabic  \* MERGEFORMAT </w:instrText>
    </w:r>
    <w:r>
      <w:rPr>
        <w:sz w:val="20"/>
        <w:szCs w:val="20"/>
      </w:rPr>
      <w:fldChar w:fldCharType="separate"/>
    </w:r>
    <w:r>
      <w:rPr>
        <w:sz w:val="20"/>
        <w:szCs w:val="20"/>
      </w:rPr>
      <w:t>29</w:t>
    </w:r>
    <w:r>
      <w:rPr>
        <w:sz w:val="20"/>
        <w:szCs w:val="20"/>
      </w:rPr>
      <w:fldChar w:fldCharType="end"/>
    </w:r>
    <w:r>
      <w:rPr>
        <w:sz w:val="20"/>
        <w:szCs w:val="20"/>
      </w:rPr>
      <w:t>/</w:t>
    </w:r>
    <w:r>
      <w:fldChar w:fldCharType="begin"/>
    </w:r>
    <w:r>
      <w:instrText xml:space="preserve"> NUMPAGES  \* Arabic  \* MERGEFORMAT </w:instrText>
    </w:r>
    <w:r>
      <w:fldChar w:fldCharType="separate"/>
    </w:r>
    <w:r>
      <w:rPr>
        <w:sz w:val="20"/>
        <w:szCs w:val="20"/>
      </w:rPr>
      <w:t>143</w:t>
    </w:r>
    <w:r>
      <w:rPr>
        <w:sz w:val="20"/>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7015">
    <w:pPr>
      <w:pStyle w:val="31"/>
      <w:pBdr>
        <w:top w:val="single" w:color="auto" w:sz="4" w:space="1"/>
      </w:pBdr>
      <w:tabs>
        <w:tab w:val="right" w:pos="14572"/>
        <w:tab w:val="clear" w:pos="9360"/>
      </w:tabs>
      <w:rPr>
        <w:sz w:val="20"/>
        <w:szCs w:val="20"/>
      </w:rPr>
    </w:pPr>
    <w:r>
      <w:rPr>
        <w:i/>
        <w:sz w:val="20"/>
        <w:szCs w:val="20"/>
      </w:rPr>
      <w:t xml:space="preserve">          </w:t>
    </w:r>
    <w:r>
      <w:rPr>
        <w:i/>
        <w:sz w:val="20"/>
        <w:szCs w:val="20"/>
        <w:lang w:val="en-US"/>
      </w:rPr>
      <w:t>Project - 500kV Hai Phong S/s</w:t>
    </w:r>
    <w:r>
      <w:rPr>
        <w:i/>
        <w:sz w:val="20"/>
        <w:szCs w:val="20"/>
      </w:rPr>
      <w:tab/>
    </w:r>
    <w:r>
      <w:rPr>
        <w:i/>
        <w:sz w:val="20"/>
        <w:szCs w:val="20"/>
      </w:rPr>
      <w:tab/>
    </w:r>
    <w:r>
      <w:rPr>
        <w:sz w:val="20"/>
        <w:szCs w:val="20"/>
      </w:rPr>
      <w:fldChar w:fldCharType="begin"/>
    </w:r>
    <w:r>
      <w:rPr>
        <w:sz w:val="20"/>
        <w:szCs w:val="20"/>
      </w:rPr>
      <w:instrText xml:space="preserve"> PAGE  \* Arabic  \* MERGEFORMAT </w:instrText>
    </w:r>
    <w:r>
      <w:rPr>
        <w:sz w:val="20"/>
        <w:szCs w:val="20"/>
      </w:rPr>
      <w:fldChar w:fldCharType="separate"/>
    </w:r>
    <w:r>
      <w:rPr>
        <w:sz w:val="20"/>
        <w:szCs w:val="20"/>
      </w:rPr>
      <w:t>52</w:t>
    </w:r>
    <w:r>
      <w:rPr>
        <w:sz w:val="20"/>
        <w:szCs w:val="20"/>
      </w:rPr>
      <w:fldChar w:fldCharType="end"/>
    </w:r>
    <w:r>
      <w:rPr>
        <w:sz w:val="20"/>
        <w:szCs w:val="20"/>
      </w:rPr>
      <w:t>/</w:t>
    </w:r>
    <w:r>
      <w:fldChar w:fldCharType="begin"/>
    </w:r>
    <w:r>
      <w:instrText xml:space="preserve"> NUMPAGES  \* Arabic  \* MERGEFORMAT </w:instrText>
    </w:r>
    <w:r>
      <w:fldChar w:fldCharType="separate"/>
    </w:r>
    <w:r>
      <w:rPr>
        <w:sz w:val="20"/>
        <w:szCs w:val="20"/>
      </w:rPr>
      <w:t>143</w:t>
    </w:r>
    <w:r>
      <w:rPr>
        <w:sz w:val="20"/>
        <w:szCs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7017">
    <w:pPr>
      <w:pStyle w:val="31"/>
      <w:pBdr>
        <w:top w:val="single" w:color="auto" w:sz="4" w:space="1"/>
      </w:pBdr>
      <w:tabs>
        <w:tab w:val="center" w:pos="8505"/>
        <w:tab w:val="right" w:pos="9072"/>
        <w:tab w:val="clear" w:pos="4680"/>
        <w:tab w:val="clear" w:pos="9360"/>
      </w:tabs>
    </w:pPr>
    <w:r>
      <w:rPr>
        <w:i/>
        <w:sz w:val="20"/>
        <w:szCs w:val="20"/>
        <w:lang w:val="en-US"/>
      </w:rPr>
      <w:t>Project - 500kV Hai Phong S/s</w:t>
    </w:r>
    <w:r>
      <w:rPr>
        <w:sz w:val="24"/>
      </w:rPr>
      <w:tab/>
    </w:r>
    <w:r>
      <w:rPr>
        <w:sz w:val="20"/>
        <w:szCs w:val="20"/>
      </w:rPr>
      <w:tab/>
    </w:r>
    <w:r>
      <w:rPr>
        <w:sz w:val="20"/>
        <w:szCs w:val="20"/>
      </w:rPr>
      <w:fldChar w:fldCharType="begin"/>
    </w:r>
    <w:r>
      <w:rPr>
        <w:sz w:val="20"/>
        <w:szCs w:val="20"/>
      </w:rPr>
      <w:instrText xml:space="preserve"> PAGE  \* Arabic  \* MERGEFORMAT </w:instrText>
    </w:r>
    <w:r>
      <w:rPr>
        <w:sz w:val="20"/>
        <w:szCs w:val="20"/>
      </w:rPr>
      <w:fldChar w:fldCharType="separate"/>
    </w:r>
    <w:r>
      <w:rPr>
        <w:sz w:val="20"/>
        <w:szCs w:val="20"/>
      </w:rPr>
      <w:t>58</w:t>
    </w:r>
    <w:r>
      <w:rPr>
        <w:sz w:val="20"/>
        <w:szCs w:val="20"/>
      </w:rPr>
      <w:fldChar w:fldCharType="end"/>
    </w:r>
    <w:r>
      <w:rPr>
        <w:sz w:val="20"/>
        <w:szCs w:val="20"/>
      </w:rPr>
      <w:t>/</w:t>
    </w:r>
    <w:r>
      <w:rPr>
        <w:sz w:val="20"/>
        <w:szCs w:val="20"/>
      </w:rPr>
      <w:fldChar w:fldCharType="begin"/>
    </w:r>
    <w:r>
      <w:rPr>
        <w:sz w:val="20"/>
        <w:szCs w:val="20"/>
      </w:rPr>
      <w:instrText xml:space="preserve"> NUMPAGES  \* Arabic  \* MERGEFORMAT </w:instrText>
    </w:r>
    <w:r>
      <w:rPr>
        <w:sz w:val="20"/>
        <w:szCs w:val="20"/>
      </w:rPr>
      <w:fldChar w:fldCharType="separate"/>
    </w:r>
    <w:r>
      <w:rPr>
        <w:sz w:val="20"/>
        <w:szCs w:val="20"/>
      </w:rPr>
      <w:t>143</w:t>
    </w:r>
    <w:r>
      <w:rPr>
        <w:sz w:val="20"/>
        <w:szCs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701A">
    <w:pPr>
      <w:pStyle w:val="31"/>
      <w:pBdr>
        <w:top w:val="single" w:color="auto" w:sz="4" w:space="1"/>
      </w:pBdr>
      <w:tabs>
        <w:tab w:val="right" w:pos="9072"/>
        <w:tab w:val="clear" w:pos="4680"/>
        <w:tab w:val="clear" w:pos="9360"/>
      </w:tabs>
    </w:pPr>
    <w:r>
      <w:rPr>
        <w:i/>
        <w:sz w:val="20"/>
        <w:szCs w:val="20"/>
        <w:lang w:val="en-US"/>
      </w:rPr>
      <w:t>Project - 500kV Hai Phong S/s</w:t>
    </w:r>
    <w:r>
      <w:rPr>
        <w:sz w:val="24"/>
      </w:rPr>
      <w:t xml:space="preserve">    </w:t>
    </w:r>
    <w:r>
      <w:rPr>
        <w:sz w:val="20"/>
        <w:szCs w:val="20"/>
      </w:rPr>
      <w:tab/>
    </w:r>
    <w:r>
      <w:rPr>
        <w:sz w:val="20"/>
        <w:szCs w:val="20"/>
      </w:rPr>
      <w:fldChar w:fldCharType="begin"/>
    </w:r>
    <w:r>
      <w:rPr>
        <w:sz w:val="20"/>
        <w:szCs w:val="20"/>
      </w:rPr>
      <w:instrText xml:space="preserve"> PAGE  \* Arabic  \* MERGEFORMAT </w:instrText>
    </w:r>
    <w:r>
      <w:rPr>
        <w:sz w:val="20"/>
        <w:szCs w:val="20"/>
      </w:rPr>
      <w:fldChar w:fldCharType="separate"/>
    </w:r>
    <w:r>
      <w:rPr>
        <w:sz w:val="20"/>
        <w:szCs w:val="20"/>
      </w:rPr>
      <w:t>79</w:t>
    </w:r>
    <w:r>
      <w:rPr>
        <w:sz w:val="20"/>
        <w:szCs w:val="20"/>
      </w:rPr>
      <w:fldChar w:fldCharType="end"/>
    </w:r>
    <w:r>
      <w:rPr>
        <w:sz w:val="20"/>
        <w:szCs w:val="20"/>
      </w:rPr>
      <w:t>/</w:t>
    </w:r>
    <w:r>
      <w:rPr>
        <w:sz w:val="20"/>
        <w:szCs w:val="20"/>
      </w:rPr>
      <w:fldChar w:fldCharType="begin"/>
    </w:r>
    <w:r>
      <w:rPr>
        <w:sz w:val="20"/>
        <w:szCs w:val="20"/>
      </w:rPr>
      <w:instrText xml:space="preserve"> NUMPAGES  \* Arabic  \* MERGEFORMAT </w:instrText>
    </w:r>
    <w:r>
      <w:rPr>
        <w:sz w:val="20"/>
        <w:szCs w:val="20"/>
      </w:rPr>
      <w:fldChar w:fldCharType="separate"/>
    </w:r>
    <w:r>
      <w:rPr>
        <w:sz w:val="20"/>
        <w:szCs w:val="20"/>
      </w:rPr>
      <w:t>143</w:t>
    </w:r>
    <w:r>
      <w:rPr>
        <w:sz w:val="20"/>
        <w:szCs w:val="20"/>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701C">
    <w:pPr>
      <w:pStyle w:val="31"/>
      <w:pBdr>
        <w:top w:val="single" w:color="auto" w:sz="4" w:space="1"/>
      </w:pBdr>
      <w:tabs>
        <w:tab w:val="center" w:pos="8505"/>
        <w:tab w:val="right" w:pos="9072"/>
        <w:tab w:val="clear" w:pos="4680"/>
        <w:tab w:val="clear" w:pos="9360"/>
      </w:tabs>
    </w:pPr>
    <w:r>
      <w:rPr>
        <w:i/>
        <w:sz w:val="20"/>
        <w:szCs w:val="20"/>
        <w:lang w:val="en-US"/>
      </w:rPr>
      <w:t>Project - 500kV Hai Phong S/s</w:t>
    </w:r>
    <w:r>
      <w:rPr>
        <w:sz w:val="24"/>
      </w:rPr>
      <w:tab/>
    </w:r>
    <w:r>
      <w:rPr>
        <w:sz w:val="20"/>
        <w:szCs w:val="20"/>
      </w:rPr>
      <w:tab/>
    </w:r>
    <w:r>
      <w:rPr>
        <w:sz w:val="20"/>
        <w:szCs w:val="20"/>
      </w:rPr>
      <w:fldChar w:fldCharType="begin"/>
    </w:r>
    <w:r>
      <w:rPr>
        <w:sz w:val="20"/>
        <w:szCs w:val="20"/>
      </w:rPr>
      <w:instrText xml:space="preserve"> PAGE  \* Arabic  \* MERGEFORMAT </w:instrText>
    </w:r>
    <w:r>
      <w:rPr>
        <w:sz w:val="20"/>
        <w:szCs w:val="20"/>
      </w:rPr>
      <w:fldChar w:fldCharType="separate"/>
    </w:r>
    <w:r>
      <w:rPr>
        <w:sz w:val="20"/>
        <w:szCs w:val="20"/>
      </w:rPr>
      <w:t>96</w:t>
    </w:r>
    <w:r>
      <w:rPr>
        <w:sz w:val="20"/>
        <w:szCs w:val="20"/>
      </w:rPr>
      <w:fldChar w:fldCharType="end"/>
    </w:r>
    <w:r>
      <w:rPr>
        <w:sz w:val="20"/>
        <w:szCs w:val="20"/>
      </w:rPr>
      <w:t>/</w:t>
    </w:r>
    <w:r>
      <w:rPr>
        <w:sz w:val="20"/>
        <w:szCs w:val="20"/>
      </w:rPr>
      <w:fldChar w:fldCharType="begin"/>
    </w:r>
    <w:r>
      <w:rPr>
        <w:sz w:val="20"/>
        <w:szCs w:val="20"/>
      </w:rPr>
      <w:instrText xml:space="preserve"> NUMPAGES  \* Arabic  \* MERGEFORMAT </w:instrText>
    </w:r>
    <w:r>
      <w:rPr>
        <w:sz w:val="20"/>
        <w:szCs w:val="20"/>
      </w:rPr>
      <w:fldChar w:fldCharType="separate"/>
    </w:r>
    <w:r>
      <w:rPr>
        <w:sz w:val="20"/>
        <w:szCs w:val="20"/>
      </w:rPr>
      <w:t>143</w:t>
    </w:r>
    <w:r>
      <w:rPr>
        <w:sz w:val="20"/>
        <w:szCs w:val="20"/>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701F">
    <w:pPr>
      <w:pStyle w:val="31"/>
      <w:pBdr>
        <w:top w:val="single" w:color="auto" w:sz="4" w:space="1"/>
      </w:pBdr>
      <w:tabs>
        <w:tab w:val="center" w:pos="8505"/>
        <w:tab w:val="right" w:pos="9355"/>
        <w:tab w:val="clear" w:pos="4680"/>
        <w:tab w:val="clear" w:pos="9360"/>
      </w:tabs>
    </w:pPr>
    <w:r>
      <w:rPr>
        <w:i/>
        <w:sz w:val="20"/>
        <w:szCs w:val="20"/>
        <w:lang w:val="en-US"/>
      </w:rPr>
      <w:t>Project - 500kV Hai Phong S/s</w:t>
    </w:r>
    <w:r>
      <w:rPr>
        <w:sz w:val="24"/>
      </w:rPr>
      <w:tab/>
    </w:r>
    <w:r>
      <w:rPr>
        <w:sz w:val="20"/>
        <w:szCs w:val="20"/>
      </w:rPr>
      <w:tab/>
    </w:r>
    <w:r>
      <w:rPr>
        <w:sz w:val="20"/>
        <w:szCs w:val="20"/>
      </w:rPr>
      <w:fldChar w:fldCharType="begin"/>
    </w:r>
    <w:r>
      <w:rPr>
        <w:sz w:val="20"/>
        <w:szCs w:val="20"/>
      </w:rPr>
      <w:instrText xml:space="preserve"> PAGE  \* Arabic  \* MERGEFORMAT </w:instrText>
    </w:r>
    <w:r>
      <w:rPr>
        <w:sz w:val="20"/>
        <w:szCs w:val="20"/>
      </w:rPr>
      <w:fldChar w:fldCharType="separate"/>
    </w:r>
    <w:r>
      <w:rPr>
        <w:sz w:val="20"/>
        <w:szCs w:val="20"/>
      </w:rPr>
      <w:t>133</w:t>
    </w:r>
    <w:r>
      <w:rPr>
        <w:sz w:val="20"/>
        <w:szCs w:val="20"/>
      </w:rPr>
      <w:fldChar w:fldCharType="end"/>
    </w:r>
    <w:r>
      <w:rPr>
        <w:sz w:val="20"/>
        <w:szCs w:val="20"/>
      </w:rPr>
      <w:t>/</w:t>
    </w:r>
    <w:r>
      <w:fldChar w:fldCharType="begin"/>
    </w:r>
    <w:r>
      <w:instrText xml:space="preserve"> NUMPAGES  \* Arabic  \* MERGEFORMAT </w:instrText>
    </w:r>
    <w:r>
      <w:fldChar w:fldCharType="separate"/>
    </w:r>
    <w:r>
      <w:rPr>
        <w:sz w:val="20"/>
        <w:szCs w:val="20"/>
      </w:rPr>
      <w:t>143</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spacing w:before="0" w:after="0" w:line="259" w:lineRule="auto"/>
      </w:pPr>
      <w:r>
        <w:separator/>
      </w:r>
    </w:p>
  </w:footnote>
  <w:footnote w:type="continuationSeparator" w:id="5">
    <w:p>
      <w:pPr>
        <w:spacing w:before="0" w:after="0" w:line="259" w:lineRule="auto"/>
      </w:pPr>
      <w:r>
        <w:continuationSeparator/>
      </w:r>
    </w:p>
  </w:footnote>
  <w:footnote w:id="0">
    <w:p w14:paraId="708C7028">
      <w:pPr>
        <w:pStyle w:val="33"/>
        <w:rPr>
          <w:lang w:val="en-US"/>
        </w:rPr>
      </w:pPr>
      <w:r>
        <w:rPr>
          <w:rStyle w:val="32"/>
        </w:rPr>
        <w:footnoteRef/>
      </w:r>
      <w:r>
        <w:t xml:space="preserve"> Insurance for related service items, e.g. installation insurance, repair insurance…</w:t>
      </w:r>
    </w:p>
  </w:footnote>
  <w:footnote w:id="1">
    <w:p w14:paraId="708C7029">
      <w:pPr>
        <w:pStyle w:val="33"/>
        <w:rPr>
          <w:lang w:val="en-US"/>
        </w:rPr>
      </w:pPr>
      <w:r>
        <w:rPr>
          <w:rStyle w:val="32"/>
        </w:rPr>
        <w:footnoteRef/>
      </w:r>
      <w:r>
        <w:t xml:space="preserve"> Only evaluate this content for bidders that are </w:t>
      </w:r>
      <w:r>
        <w:rPr>
          <w:color w:val="000000" w:themeColor="text1"/>
          <w:spacing w:val="3"/>
          <w:shd w:val="clear" w:color="auto" w:fill="FFFFFF"/>
          <w14:textFill>
            <w14:solidFill>
              <w14:schemeClr w14:val="tx1"/>
            </w14:solidFill>
          </w14:textFill>
        </w:rPr>
        <w:t>non-business units</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7009">
    <w:pPr>
      <w:pStyle w:val="34"/>
      <w:pBdr>
        <w:bottom w:val="single" w:color="auto" w:sz="4" w:space="1"/>
      </w:pBdr>
      <w:tabs>
        <w:tab w:val="right" w:pos="9072"/>
      </w:tabs>
      <w:rPr>
        <w:sz w:val="24"/>
        <w:lang w:val="en-US"/>
      </w:rPr>
    </w:pPr>
    <w:r>
      <w:rPr>
        <w:sz w:val="20"/>
        <w:szCs w:val="20"/>
      </w:rPr>
      <w:t>Bidding documents</w:t>
    </w:r>
    <w:r>
      <w:rPr>
        <w:sz w:val="20"/>
        <w:szCs w:val="20"/>
        <w:lang w:val="en-US"/>
      </w:rPr>
      <w:t>: Pck 08</w:t>
    </w:r>
    <w:r>
      <w:rPr>
        <w:sz w:val="24"/>
        <w:lang w:val="en-US"/>
      </w:rPr>
      <w:tab/>
    </w:r>
  </w:p>
  <w:p w14:paraId="708C700A">
    <w:pPr>
      <w:pStyle w:val="34"/>
      <w:tabs>
        <w:tab w:val="right" w:pos="9000"/>
      </w:tabs>
      <w:ind w:right="-36"/>
    </w:pPr>
  </w:p>
  <w:p w14:paraId="708C700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701D">
    <w:pPr>
      <w:pStyle w:val="34"/>
      <w:pBdr>
        <w:bottom w:val="single" w:color="auto" w:sz="4" w:space="1"/>
      </w:pBdr>
      <w:rPr>
        <w:sz w:val="24"/>
      </w:rPr>
    </w:pPr>
    <w:r>
      <w:rPr>
        <w:sz w:val="20"/>
        <w:szCs w:val="20"/>
        <w:lang w:val="en-US"/>
      </w:rPr>
      <w:t>B</w:t>
    </w:r>
    <w:r>
      <w:rPr>
        <w:sz w:val="20"/>
        <w:szCs w:val="20"/>
      </w:rPr>
      <w:t>idding documents</w:t>
    </w:r>
    <w:r>
      <w:rPr>
        <w:sz w:val="20"/>
        <w:szCs w:val="20"/>
        <w:lang w:val="en-US"/>
      </w:rPr>
      <w:t>: Pck 08</w:t>
    </w:r>
    <w:r>
      <w:rPr>
        <w:sz w:val="24"/>
      </w:rPr>
      <w:tab/>
    </w:r>
    <w:r>
      <w:rPr>
        <w:sz w:val="24"/>
      </w:rPr>
      <w:tab/>
    </w:r>
  </w:p>
  <w:p w14:paraId="708C701E">
    <w:pPr>
      <w:pStyle w:val="34"/>
      <w:rPr>
        <w:sz w:val="24"/>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7022">
    <w:pPr>
      <w:pStyle w:val="34"/>
      <w:pBdr>
        <w:bottom w:val="single" w:color="auto" w:sz="4" w:space="1"/>
      </w:pBdr>
      <w:tabs>
        <w:tab w:val="right" w:pos="9072"/>
      </w:tabs>
      <w:rPr>
        <w:sz w:val="24"/>
      </w:rPr>
    </w:pPr>
    <w:r>
      <w:rPr>
        <w:sz w:val="20"/>
        <w:szCs w:val="20"/>
      </w:rPr>
      <w:t>Bidding documents</w:t>
    </w:r>
    <w:r>
      <w:rPr>
        <w:sz w:val="20"/>
        <w:szCs w:val="20"/>
        <w:lang w:val="en-US"/>
      </w:rPr>
      <w:t>: Pck 08</w:t>
    </w:r>
    <w:r>
      <w:rPr>
        <w:sz w:val="24"/>
      </w:rPr>
      <w:tab/>
    </w:r>
    <w:r>
      <w:rPr>
        <w:sz w:val="24"/>
        <w:lang w:val="en-US"/>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7020">
    <w:pPr>
      <w:pStyle w:val="34"/>
      <w:pBdr>
        <w:bottom w:val="single" w:color="auto" w:sz="4" w:space="1"/>
      </w:pBdr>
    </w:pPr>
    <w:r>
      <w:rPr>
        <w:rStyle w:val="63"/>
      </w:rPr>
      <w:fldChar w:fldCharType="begin"/>
    </w:r>
    <w:r>
      <w:rPr>
        <w:rStyle w:val="63"/>
      </w:rPr>
      <w:instrText xml:space="preserve"> PAGE </w:instrText>
    </w:r>
    <w:r>
      <w:rPr>
        <w:rStyle w:val="63"/>
      </w:rPr>
      <w:fldChar w:fldCharType="separate"/>
    </w:r>
    <w:r>
      <w:rPr>
        <w:rStyle w:val="63"/>
      </w:rPr>
      <w:t>78</w:t>
    </w:r>
    <w:r>
      <w:rPr>
        <w:rStyle w:val="63"/>
      </w:rPr>
      <w:fldChar w:fldCharType="end"/>
    </w:r>
    <w:r>
      <w:rPr>
        <w:rStyle w:val="63"/>
      </w:rPr>
      <w:tab/>
    </w:r>
    <w:r>
      <w:rPr>
        <w:rStyle w:val="63"/>
      </w:rPr>
      <w:t>Mục</w:t>
    </w:r>
    <w:r>
      <w:t>VII Section VII - Phạm vi cungcấp</w:t>
    </w:r>
  </w:p>
  <w:p w14:paraId="708C7021">
    <w:pPr>
      <w:rPr>
        <w:lang w:val="fr-FR"/>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7024">
    <w:pPr>
      <w:pStyle w:val="34"/>
    </w:pPr>
    <w:r>
      <w:tab/>
    </w:r>
  </w:p>
  <w:p w14:paraId="708C702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7008">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700E">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7011">
    <w:pPr>
      <w:pStyle w:val="34"/>
      <w:pBdr>
        <w:bottom w:val="single" w:color="auto" w:sz="4" w:space="1"/>
      </w:pBdr>
      <w:tabs>
        <w:tab w:val="right" w:pos="9072"/>
      </w:tabs>
      <w:rPr>
        <w:sz w:val="24"/>
      </w:rPr>
    </w:pPr>
    <w:r>
      <w:rPr>
        <w:sz w:val="20"/>
        <w:szCs w:val="20"/>
      </w:rPr>
      <w:t>Bidding documents</w:t>
    </w:r>
    <w:r>
      <w:rPr>
        <w:sz w:val="20"/>
        <w:szCs w:val="20"/>
        <w:lang w:val="en-US"/>
      </w:rPr>
      <w:t>: Pck 08</w:t>
    </w:r>
    <w:r>
      <w:rPr>
        <w:sz w:val="24"/>
      </w:rPr>
      <w:tab/>
    </w:r>
  </w:p>
  <w:p w14:paraId="708C7012">
    <w:pPr>
      <w:pStyle w:val="34"/>
      <w:tabs>
        <w:tab w:val="right" w:pos="9000"/>
      </w:tabs>
      <w:ind w:right="-3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7010">
    <w:pPr>
      <w:pStyle w:val="34"/>
      <w:pBdr>
        <w:bottom w:val="single" w:color="auto" w:sz="4" w:space="1"/>
      </w:pBdr>
      <w:tabs>
        <w:tab w:val="right" w:pos="9000"/>
      </w:tabs>
      <w:ind w:right="-36"/>
    </w:pPr>
    <w:r>
      <w:rPr>
        <w:rStyle w:val="63"/>
      </w:rPr>
      <w:fldChar w:fldCharType="begin"/>
    </w:r>
    <w:r>
      <w:rPr>
        <w:rStyle w:val="63"/>
      </w:rPr>
      <w:instrText xml:space="preserve"> PAGE </w:instrText>
    </w:r>
    <w:r>
      <w:rPr>
        <w:rStyle w:val="63"/>
      </w:rPr>
      <w:fldChar w:fldCharType="separate"/>
    </w:r>
    <w:r>
      <w:rPr>
        <w:rStyle w:val="63"/>
      </w:rPr>
      <w:t>36</w:t>
    </w:r>
    <w:r>
      <w:rPr>
        <w:rStyle w:val="63"/>
      </w:rPr>
      <w:fldChar w:fldCharType="end"/>
    </w:r>
    <w:r>
      <w:rPr>
        <w:rStyle w:val="63"/>
      </w:rPr>
      <w:tab/>
    </w:r>
    <w:r>
      <w:rPr>
        <w:rStyle w:val="63"/>
      </w:rPr>
      <w:t>Mục</w:t>
    </w:r>
    <w:r>
      <w:rPr>
        <w:highlight w:val="yellow"/>
      </w:rPr>
      <w:t>III. CácTiêuchíđánhgiávàTiêuchínănglực</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7014">
    <w:pPr>
      <w:pStyle w:val="34"/>
      <w:pBdr>
        <w:bottom w:val="single" w:color="auto" w:sz="4" w:space="1"/>
      </w:pBdr>
      <w:tabs>
        <w:tab w:val="left" w:pos="6735"/>
        <w:tab w:val="right" w:pos="14034"/>
      </w:tabs>
      <w:rPr>
        <w:sz w:val="24"/>
      </w:rPr>
    </w:pPr>
    <w:r>
      <w:rPr>
        <w:sz w:val="20"/>
        <w:szCs w:val="20"/>
      </w:rPr>
      <w:t>Bidding documents</w:t>
    </w:r>
    <w:r>
      <w:rPr>
        <w:sz w:val="20"/>
        <w:szCs w:val="20"/>
        <w:lang w:val="en-US"/>
      </w:rPr>
      <w:t>: Pck 08</w:t>
    </w:r>
    <w:r>
      <w:rPr>
        <w:sz w:val="24"/>
      </w:rP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7016">
    <w:pPr>
      <w:pStyle w:val="34"/>
      <w:pBdr>
        <w:bottom w:val="single" w:color="auto" w:sz="4" w:space="1"/>
      </w:pBdr>
      <w:tabs>
        <w:tab w:val="right" w:pos="9072"/>
        <w:tab w:val="clear" w:pos="9360"/>
      </w:tabs>
      <w:rPr>
        <w:sz w:val="22"/>
        <w:szCs w:val="22"/>
      </w:rPr>
    </w:pPr>
    <w:r>
      <w:rPr>
        <w:sz w:val="20"/>
        <w:szCs w:val="20"/>
      </w:rPr>
      <w:t>Bidding documents</w:t>
    </w:r>
    <w:r>
      <w:rPr>
        <w:sz w:val="20"/>
        <w:szCs w:val="20"/>
        <w:lang w:val="en-US"/>
      </w:rPr>
      <w:t>: Pck 08</w:t>
    </w:r>
    <w:r>
      <w:rPr>
        <w:sz w:val="22"/>
        <w:szCs w:val="22"/>
      </w:rP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7018">
    <w:pPr>
      <w:pStyle w:val="34"/>
      <w:pBdr>
        <w:bottom w:val="single" w:color="auto" w:sz="4" w:space="1"/>
      </w:pBdr>
      <w:tabs>
        <w:tab w:val="right" w:pos="9072"/>
        <w:tab w:val="clear" w:pos="9360"/>
      </w:tabs>
      <w:jc w:val="both"/>
      <w:rPr>
        <w:sz w:val="24"/>
      </w:rPr>
    </w:pPr>
    <w:r>
      <w:rPr>
        <w:sz w:val="20"/>
        <w:szCs w:val="20"/>
        <w:lang w:val="en-US"/>
      </w:rPr>
      <w:t>B</w:t>
    </w:r>
    <w:r>
      <w:rPr>
        <w:sz w:val="20"/>
        <w:szCs w:val="20"/>
      </w:rPr>
      <w:t>idding documents</w:t>
    </w:r>
    <w:r>
      <w:rPr>
        <w:sz w:val="20"/>
        <w:szCs w:val="20"/>
        <w:lang w:val="en-US"/>
      </w:rPr>
      <w:t>: Pck 08</w:t>
    </w:r>
    <w:r>
      <w:rPr>
        <w:sz w:val="24"/>
      </w:rPr>
      <w:tab/>
    </w:r>
    <w:r>
      <w:rPr>
        <w:sz w:val="24"/>
      </w:rPr>
      <w:tab/>
    </w:r>
  </w:p>
  <w:p w14:paraId="708C7019">
    <w:pPr>
      <w:pStyle w:val="34"/>
      <w:rPr>
        <w:sz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701B">
    <w:pPr>
      <w:pStyle w:val="34"/>
      <w:pBdr>
        <w:bottom w:val="single" w:color="auto" w:sz="4" w:space="1"/>
      </w:pBdr>
      <w:tabs>
        <w:tab w:val="right" w:pos="9072"/>
        <w:tab w:val="clear" w:pos="9360"/>
      </w:tabs>
      <w:rPr>
        <w:sz w:val="22"/>
        <w:szCs w:val="22"/>
      </w:rPr>
    </w:pPr>
    <w:r>
      <w:rPr>
        <w:sz w:val="20"/>
        <w:szCs w:val="20"/>
      </w:rPr>
      <w:t>Bidding documents</w:t>
    </w:r>
    <w:r>
      <w:rPr>
        <w:sz w:val="20"/>
        <w:szCs w:val="20"/>
        <w:lang w:val="en-US"/>
      </w:rPr>
      <w:t>: Pck 08</w:t>
    </w:r>
    <w:r>
      <w:rPr>
        <w:sz w:val="22"/>
        <w:szCs w:val="2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0EFAF"/>
    <w:multiLevelType w:val="multilevel"/>
    <w:tmpl w:val="8060EFAF"/>
    <w:lvl w:ilvl="0" w:tentative="0">
      <w:start w:val="0"/>
      <w:numFmt w:val="bullet"/>
      <w:lvlText w:val="-"/>
      <w:lvlJc w:val="left"/>
      <w:pPr>
        <w:ind w:left="720" w:hanging="360"/>
      </w:pPr>
      <w:rPr>
        <w:rFonts w:hint="default" w:ascii="Times New Roman" w:hAnsi="Times New Roman" w:eastAsia="Times New Roman" w:cs="Calibri Light"/>
      </w:rPr>
    </w:lvl>
    <w:lvl w:ilvl="1" w:tentative="0">
      <w:start w:val="1"/>
      <w:numFmt w:val="bullet"/>
      <w:lvlText w:val="o"/>
      <w:lvlJc w:val="left"/>
      <w:pPr>
        <w:ind w:left="1440" w:hanging="360"/>
      </w:pPr>
      <w:rPr>
        <w:rFonts w:hint="default" w:ascii="Courier New" w:hAnsi="Courier New" w:cs="Cambria"/>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ambria"/>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ambria"/>
      </w:rPr>
    </w:lvl>
    <w:lvl w:ilvl="8" w:tentative="0">
      <w:start w:val="1"/>
      <w:numFmt w:val="bullet"/>
      <w:lvlText w:val=""/>
      <w:lvlJc w:val="left"/>
      <w:pPr>
        <w:ind w:left="6480" w:hanging="360"/>
      </w:pPr>
      <w:rPr>
        <w:rFonts w:hint="default" w:ascii="Wingdings" w:hAnsi="Wingdings"/>
      </w:rPr>
    </w:lvl>
  </w:abstractNum>
  <w:abstractNum w:abstractNumId="1">
    <w:nsid w:val="8519F2DC"/>
    <w:multiLevelType w:val="singleLevel"/>
    <w:tmpl w:val="8519F2DC"/>
    <w:lvl w:ilvl="0" w:tentative="0">
      <w:start w:val="1"/>
      <w:numFmt w:val="bullet"/>
      <w:lvlText w:val=""/>
      <w:lvlJc w:val="left"/>
      <w:pPr>
        <w:tabs>
          <w:tab w:val="left" w:pos="420"/>
        </w:tabs>
        <w:ind w:left="420" w:hanging="420"/>
      </w:pPr>
      <w:rPr>
        <w:rFonts w:hint="default" w:ascii="Wingdings" w:hAnsi="Wingdings"/>
        <w:sz w:val="11"/>
        <w:szCs w:val="11"/>
      </w:rPr>
    </w:lvl>
  </w:abstractNum>
  <w:abstractNum w:abstractNumId="2">
    <w:nsid w:val="CEAC1FAB"/>
    <w:multiLevelType w:val="singleLevel"/>
    <w:tmpl w:val="CEAC1FAB"/>
    <w:lvl w:ilvl="0" w:tentative="0">
      <w:start w:val="1"/>
      <w:numFmt w:val="bullet"/>
      <w:lvlText w:val=""/>
      <w:lvlJc w:val="left"/>
      <w:pPr>
        <w:tabs>
          <w:tab w:val="left" w:pos="420"/>
        </w:tabs>
        <w:ind w:left="420" w:hanging="420"/>
      </w:pPr>
      <w:rPr>
        <w:rFonts w:hint="default" w:ascii="Wingdings" w:hAnsi="Wingdings"/>
      </w:rPr>
    </w:lvl>
  </w:abstractNum>
  <w:abstractNum w:abstractNumId="3">
    <w:nsid w:val="FFFFFF7C"/>
    <w:multiLevelType w:val="singleLevel"/>
    <w:tmpl w:val="FFFFFF7C"/>
    <w:lvl w:ilvl="0" w:tentative="0">
      <w:start w:val="1"/>
      <w:numFmt w:val="bullet"/>
      <w:pStyle w:val="360"/>
      <w:lvlText w:val=""/>
      <w:lvlJc w:val="left"/>
      <w:pPr>
        <w:ind w:left="2694" w:hanging="360"/>
      </w:pPr>
      <w:rPr>
        <w:rFonts w:hint="default" w:ascii="Wingdings" w:hAnsi="Wingdings"/>
      </w:rPr>
    </w:lvl>
  </w:abstractNum>
  <w:abstractNum w:abstractNumId="4">
    <w:nsid w:val="FFFFFFFE"/>
    <w:multiLevelType w:val="singleLevel"/>
    <w:tmpl w:val="FFFFFFFE"/>
    <w:lvl w:ilvl="0" w:tentative="0">
      <w:start w:val="0"/>
      <w:numFmt w:val="decimal"/>
      <w:lvlText w:val="*"/>
      <w:lvlJc w:val="left"/>
      <w:pPr>
        <w:ind w:left="0" w:firstLine="0"/>
      </w:pPr>
      <w:rPr>
        <w:rFonts w:cs="Times New Roman"/>
      </w:rPr>
    </w:lvl>
  </w:abstractNum>
  <w:abstractNum w:abstractNumId="5">
    <w:nsid w:val="0048067D"/>
    <w:multiLevelType w:val="multilevel"/>
    <w:tmpl w:val="0048067D"/>
    <w:lvl w:ilvl="0" w:tentative="0">
      <w:start w:val="1"/>
      <w:numFmt w:val="lowerRoman"/>
      <w:lvlText w:val="(%1)"/>
      <w:lvlJc w:val="left"/>
      <w:pPr>
        <w:ind w:left="890" w:hanging="360"/>
      </w:pPr>
      <w:rPr>
        <w:rFonts w:hint="default"/>
        <w:color w:val="auto"/>
      </w:rPr>
    </w:lvl>
    <w:lvl w:ilvl="1" w:tentative="0">
      <w:start w:val="1"/>
      <w:numFmt w:val="lowerLetter"/>
      <w:lvlText w:val="%2."/>
      <w:lvlJc w:val="left"/>
      <w:pPr>
        <w:ind w:left="1610" w:hanging="360"/>
      </w:pPr>
    </w:lvl>
    <w:lvl w:ilvl="2" w:tentative="0">
      <w:start w:val="1"/>
      <w:numFmt w:val="lowerRoman"/>
      <w:lvlText w:val="%3."/>
      <w:lvlJc w:val="right"/>
      <w:pPr>
        <w:ind w:left="2330" w:hanging="180"/>
      </w:pPr>
    </w:lvl>
    <w:lvl w:ilvl="3" w:tentative="0">
      <w:start w:val="1"/>
      <w:numFmt w:val="decimal"/>
      <w:lvlText w:val="%4."/>
      <w:lvlJc w:val="left"/>
      <w:pPr>
        <w:ind w:left="3050" w:hanging="360"/>
      </w:pPr>
    </w:lvl>
    <w:lvl w:ilvl="4" w:tentative="0">
      <w:start w:val="1"/>
      <w:numFmt w:val="lowerLetter"/>
      <w:lvlText w:val="%5."/>
      <w:lvlJc w:val="left"/>
      <w:pPr>
        <w:ind w:left="3770" w:hanging="360"/>
      </w:pPr>
    </w:lvl>
    <w:lvl w:ilvl="5" w:tentative="0">
      <w:start w:val="1"/>
      <w:numFmt w:val="lowerRoman"/>
      <w:lvlText w:val="%6."/>
      <w:lvlJc w:val="right"/>
      <w:pPr>
        <w:ind w:left="4490" w:hanging="180"/>
      </w:pPr>
    </w:lvl>
    <w:lvl w:ilvl="6" w:tentative="0">
      <w:start w:val="1"/>
      <w:numFmt w:val="decimal"/>
      <w:lvlText w:val="%7."/>
      <w:lvlJc w:val="left"/>
      <w:pPr>
        <w:ind w:left="5210" w:hanging="360"/>
      </w:pPr>
    </w:lvl>
    <w:lvl w:ilvl="7" w:tentative="0">
      <w:start w:val="1"/>
      <w:numFmt w:val="lowerLetter"/>
      <w:lvlText w:val="%8."/>
      <w:lvlJc w:val="left"/>
      <w:pPr>
        <w:ind w:left="5930" w:hanging="360"/>
      </w:pPr>
    </w:lvl>
    <w:lvl w:ilvl="8" w:tentative="0">
      <w:start w:val="1"/>
      <w:numFmt w:val="lowerRoman"/>
      <w:lvlText w:val="%9."/>
      <w:lvlJc w:val="right"/>
      <w:pPr>
        <w:ind w:left="6650" w:hanging="180"/>
      </w:pPr>
    </w:lvl>
  </w:abstractNum>
  <w:abstractNum w:abstractNumId="6">
    <w:nsid w:val="007C5369"/>
    <w:multiLevelType w:val="multilevel"/>
    <w:tmpl w:val="007C5369"/>
    <w:lvl w:ilvl="0" w:tentative="0">
      <w:start w:val="2"/>
      <w:numFmt w:val="bullet"/>
      <w:lvlText w:val="-"/>
      <w:lvlJc w:val="left"/>
      <w:pPr>
        <w:ind w:left="720" w:hanging="360"/>
      </w:pPr>
      <w:rPr>
        <w:rFonts w:hint="default" w:ascii="Times New Roman" w:hAnsi="Times New Roman"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014432F6"/>
    <w:multiLevelType w:val="multilevel"/>
    <w:tmpl w:val="014432F6"/>
    <w:lvl w:ilvl="0" w:tentative="0">
      <w:start w:val="1"/>
      <w:numFmt w:val="decimal"/>
      <w:lvlText w:val="%1."/>
      <w:lvlJc w:val="left"/>
      <w:pPr>
        <w:ind w:left="709" w:hanging="360"/>
      </w:pPr>
    </w:lvl>
    <w:lvl w:ilvl="1" w:tentative="0">
      <w:start w:val="2"/>
      <w:numFmt w:val="decimal"/>
      <w:isLgl/>
      <w:lvlText w:val="%1.%2"/>
      <w:lvlJc w:val="left"/>
      <w:pPr>
        <w:ind w:left="745" w:hanging="396"/>
      </w:pPr>
      <w:rPr>
        <w:rFonts w:hint="default"/>
      </w:rPr>
    </w:lvl>
    <w:lvl w:ilvl="2" w:tentative="0">
      <w:start w:val="1"/>
      <w:numFmt w:val="decimal"/>
      <w:isLgl/>
      <w:lvlText w:val="%1.%2.%3"/>
      <w:lvlJc w:val="left"/>
      <w:pPr>
        <w:ind w:left="1069" w:hanging="720"/>
      </w:pPr>
      <w:rPr>
        <w:rFonts w:hint="default"/>
      </w:rPr>
    </w:lvl>
    <w:lvl w:ilvl="3" w:tentative="0">
      <w:start w:val="1"/>
      <w:numFmt w:val="decimal"/>
      <w:isLgl/>
      <w:lvlText w:val="%1.%2.%3.%4"/>
      <w:lvlJc w:val="left"/>
      <w:pPr>
        <w:ind w:left="1069" w:hanging="720"/>
      </w:pPr>
      <w:rPr>
        <w:rFonts w:hint="default"/>
      </w:rPr>
    </w:lvl>
    <w:lvl w:ilvl="4" w:tentative="0">
      <w:start w:val="1"/>
      <w:numFmt w:val="decimal"/>
      <w:isLgl/>
      <w:lvlText w:val="%1.%2.%3.%4.%5"/>
      <w:lvlJc w:val="left"/>
      <w:pPr>
        <w:ind w:left="1429" w:hanging="1080"/>
      </w:pPr>
      <w:rPr>
        <w:rFonts w:hint="default"/>
      </w:rPr>
    </w:lvl>
    <w:lvl w:ilvl="5" w:tentative="0">
      <w:start w:val="1"/>
      <w:numFmt w:val="decimal"/>
      <w:isLgl/>
      <w:lvlText w:val="%1.%2.%3.%4.%5.%6"/>
      <w:lvlJc w:val="left"/>
      <w:pPr>
        <w:ind w:left="1789" w:hanging="1440"/>
      </w:pPr>
      <w:rPr>
        <w:rFonts w:hint="default"/>
      </w:rPr>
    </w:lvl>
    <w:lvl w:ilvl="6" w:tentative="0">
      <w:start w:val="1"/>
      <w:numFmt w:val="decimal"/>
      <w:isLgl/>
      <w:lvlText w:val="%1.%2.%3.%4.%5.%6.%7"/>
      <w:lvlJc w:val="left"/>
      <w:pPr>
        <w:ind w:left="1789" w:hanging="1440"/>
      </w:pPr>
      <w:rPr>
        <w:rFonts w:hint="default"/>
      </w:rPr>
    </w:lvl>
    <w:lvl w:ilvl="7" w:tentative="0">
      <w:start w:val="1"/>
      <w:numFmt w:val="decimal"/>
      <w:isLgl/>
      <w:lvlText w:val="%1.%2.%3.%4.%5.%6.%7.%8"/>
      <w:lvlJc w:val="left"/>
      <w:pPr>
        <w:ind w:left="2149" w:hanging="1800"/>
      </w:pPr>
      <w:rPr>
        <w:rFonts w:hint="default"/>
      </w:rPr>
    </w:lvl>
    <w:lvl w:ilvl="8" w:tentative="0">
      <w:start w:val="1"/>
      <w:numFmt w:val="decimal"/>
      <w:isLgl/>
      <w:lvlText w:val="%1.%2.%3.%4.%5.%6.%7.%8.%9"/>
      <w:lvlJc w:val="left"/>
      <w:pPr>
        <w:ind w:left="2149" w:hanging="1800"/>
      </w:pPr>
      <w:rPr>
        <w:rFonts w:hint="default"/>
      </w:rPr>
    </w:lvl>
  </w:abstractNum>
  <w:abstractNum w:abstractNumId="8">
    <w:nsid w:val="048474C7"/>
    <w:multiLevelType w:val="multilevel"/>
    <w:tmpl w:val="048474C7"/>
    <w:lvl w:ilvl="0" w:tentative="0">
      <w:start w:val="1"/>
      <w:numFmt w:val="lowerLetter"/>
      <w:lvlText w:val="(%1)"/>
      <w:lvlJc w:val="left"/>
      <w:pPr>
        <w:tabs>
          <w:tab w:val="left" w:pos="1440"/>
        </w:tabs>
        <w:ind w:left="14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066B5DC1"/>
    <w:multiLevelType w:val="singleLevel"/>
    <w:tmpl w:val="066B5DC1"/>
    <w:lvl w:ilvl="0" w:tentative="0">
      <w:start w:val="1"/>
      <w:numFmt w:val="decimal"/>
      <w:pStyle w:val="357"/>
      <w:lvlText w:val="%1."/>
      <w:lvlJc w:val="left"/>
      <w:pPr>
        <w:tabs>
          <w:tab w:val="left" w:pos="1800"/>
        </w:tabs>
        <w:ind w:left="1800" w:hanging="360"/>
      </w:pPr>
      <w:rPr>
        <w:rFonts w:hint="default"/>
      </w:rPr>
    </w:lvl>
  </w:abstractNum>
  <w:abstractNum w:abstractNumId="10">
    <w:nsid w:val="088A6C6C"/>
    <w:multiLevelType w:val="singleLevel"/>
    <w:tmpl w:val="088A6C6C"/>
    <w:lvl w:ilvl="0" w:tentative="0">
      <w:start w:val="1"/>
      <w:numFmt w:val="decimal"/>
      <w:suff w:val="space"/>
      <w:lvlText w:val="(%1)"/>
      <w:lvlJc w:val="left"/>
    </w:lvl>
  </w:abstractNum>
  <w:abstractNum w:abstractNumId="11">
    <w:nsid w:val="0B196EC9"/>
    <w:multiLevelType w:val="multilevel"/>
    <w:tmpl w:val="0B196EC9"/>
    <w:lvl w:ilvl="0" w:tentative="0">
      <w:start w:val="1"/>
      <w:numFmt w:val="decimal"/>
      <w:lvlText w:val="(%1)"/>
      <w:lvlJc w:val="left"/>
      <w:pPr>
        <w:ind w:left="765" w:hanging="405"/>
      </w:pPr>
      <w:rPr>
        <w:rFonts w:hint="default"/>
      </w:rPr>
    </w:lvl>
    <w:lvl w:ilvl="1" w:tentative="0">
      <w:start w:val="1"/>
      <w:numFmt w:val="decimal"/>
      <w:lvlText w:val="%2."/>
      <w:lvlJc w:val="left"/>
      <w:pPr>
        <w:ind w:left="1650" w:hanging="57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0B991218"/>
    <w:multiLevelType w:val="multilevel"/>
    <w:tmpl w:val="0B991218"/>
    <w:lvl w:ilvl="0" w:tentative="0">
      <w:start w:val="1"/>
      <w:numFmt w:val="decimal"/>
      <w:isLgl/>
      <w:lvlText w:val="%1."/>
      <w:lvlJc w:val="left"/>
      <w:pPr>
        <w:tabs>
          <w:tab w:val="left" w:pos="576"/>
        </w:tabs>
        <w:ind w:left="432" w:hanging="432"/>
      </w:pPr>
      <w:rPr>
        <w:rFonts w:hint="default"/>
        <w:b/>
        <w:i w:val="0"/>
        <w:sz w:val="24"/>
      </w:rPr>
    </w:lvl>
    <w:lvl w:ilvl="1" w:tentative="0">
      <w:start w:val="1"/>
      <w:numFmt w:val="decimal"/>
      <w:lvlText w:val="%1.%2"/>
      <w:lvlJc w:val="left"/>
      <w:pPr>
        <w:tabs>
          <w:tab w:val="left" w:pos="504"/>
        </w:tabs>
        <w:ind w:left="504" w:hanging="504"/>
      </w:pPr>
      <w:rPr>
        <w:rFonts w:hint="default" w:ascii="Times New Roman" w:hAnsi="Times New Roman"/>
        <w:b w:val="0"/>
        <w:i w:val="0"/>
        <w:sz w:val="24"/>
      </w:rPr>
    </w:lvl>
    <w:lvl w:ilvl="2" w:tentative="0">
      <w:start w:val="1"/>
      <w:numFmt w:val="lowerLetter"/>
      <w:lvlText w:val="(%3)"/>
      <w:lvlJc w:val="left"/>
      <w:pPr>
        <w:tabs>
          <w:tab w:val="left" w:pos="864"/>
        </w:tabs>
        <w:ind w:left="432" w:firstLine="144"/>
      </w:pPr>
      <w:rPr>
        <w:rFonts w:hint="default" w:ascii="Times New Roman" w:hAnsi="Times New Roman"/>
        <w:b w:val="0"/>
        <w:i w:val="0"/>
        <w:sz w:val="24"/>
      </w:rPr>
    </w:lvl>
    <w:lvl w:ilvl="3" w:tentative="0">
      <w:start w:val="1"/>
      <w:numFmt w:val="lowerLetter"/>
      <w:lvlText w:val="%4)"/>
      <w:lvlJc w:val="left"/>
      <w:pPr>
        <w:ind w:left="1224" w:hanging="360"/>
      </w:p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3">
    <w:nsid w:val="0D9831BC"/>
    <w:multiLevelType w:val="multilevel"/>
    <w:tmpl w:val="0D9831BC"/>
    <w:lvl w:ilvl="0" w:tentative="0">
      <w:start w:val="1"/>
      <w:numFmt w:val="lowerLetter"/>
      <w:lvlText w:val="%1."/>
      <w:lvlJc w:val="left"/>
      <w:pPr>
        <w:ind w:left="1244" w:hanging="360"/>
      </w:pPr>
      <w:rPr>
        <w:rFonts w:hint="default"/>
      </w:rPr>
    </w:lvl>
    <w:lvl w:ilvl="1" w:tentative="0">
      <w:start w:val="1"/>
      <w:numFmt w:val="lowerLetter"/>
      <w:lvlText w:val="%2."/>
      <w:lvlJc w:val="left"/>
      <w:pPr>
        <w:ind w:left="1964" w:hanging="360"/>
      </w:pPr>
    </w:lvl>
    <w:lvl w:ilvl="2" w:tentative="0">
      <w:start w:val="1"/>
      <w:numFmt w:val="lowerRoman"/>
      <w:lvlText w:val="%3."/>
      <w:lvlJc w:val="right"/>
      <w:pPr>
        <w:ind w:left="2684" w:hanging="180"/>
      </w:pPr>
    </w:lvl>
    <w:lvl w:ilvl="3" w:tentative="0">
      <w:start w:val="1"/>
      <w:numFmt w:val="decimal"/>
      <w:lvlText w:val="%4."/>
      <w:lvlJc w:val="left"/>
      <w:pPr>
        <w:ind w:left="3404" w:hanging="360"/>
      </w:pPr>
    </w:lvl>
    <w:lvl w:ilvl="4" w:tentative="0">
      <w:start w:val="1"/>
      <w:numFmt w:val="lowerLetter"/>
      <w:lvlText w:val="%5."/>
      <w:lvlJc w:val="left"/>
      <w:pPr>
        <w:ind w:left="4124" w:hanging="360"/>
      </w:pPr>
    </w:lvl>
    <w:lvl w:ilvl="5" w:tentative="0">
      <w:start w:val="1"/>
      <w:numFmt w:val="lowerRoman"/>
      <w:lvlText w:val="%6."/>
      <w:lvlJc w:val="right"/>
      <w:pPr>
        <w:ind w:left="4844" w:hanging="180"/>
      </w:pPr>
    </w:lvl>
    <w:lvl w:ilvl="6" w:tentative="0">
      <w:start w:val="1"/>
      <w:numFmt w:val="decimal"/>
      <w:lvlText w:val="%7."/>
      <w:lvlJc w:val="left"/>
      <w:pPr>
        <w:ind w:left="5564" w:hanging="360"/>
      </w:pPr>
    </w:lvl>
    <w:lvl w:ilvl="7" w:tentative="0">
      <w:start w:val="1"/>
      <w:numFmt w:val="lowerLetter"/>
      <w:lvlText w:val="%8."/>
      <w:lvlJc w:val="left"/>
      <w:pPr>
        <w:ind w:left="6284" w:hanging="360"/>
      </w:pPr>
    </w:lvl>
    <w:lvl w:ilvl="8" w:tentative="0">
      <w:start w:val="1"/>
      <w:numFmt w:val="lowerRoman"/>
      <w:lvlText w:val="%9."/>
      <w:lvlJc w:val="right"/>
      <w:pPr>
        <w:ind w:left="7004" w:hanging="180"/>
      </w:pPr>
    </w:lvl>
  </w:abstractNum>
  <w:abstractNum w:abstractNumId="14">
    <w:nsid w:val="0F490528"/>
    <w:multiLevelType w:val="multilevel"/>
    <w:tmpl w:val="0F49052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10F66445"/>
    <w:multiLevelType w:val="multilevel"/>
    <w:tmpl w:val="10F66445"/>
    <w:lvl w:ilvl="0" w:tentative="0">
      <w:start w:val="1"/>
      <w:numFmt w:val="decimal"/>
      <w:pStyle w:val="586"/>
      <w:lvlText w:val="Table %1."/>
      <w:lvlJc w:val="left"/>
      <w:pPr>
        <w:ind w:left="0" w:firstLine="0"/>
      </w:pPr>
      <w:rPr>
        <w:rFonts w:hint="default" w:ascii="Times New Roman Bold" w:hAnsi="Times New Roman Bold"/>
        <w:b/>
        <w:i w:val="0"/>
        <w:sz w:val="26"/>
      </w:rPr>
    </w:lvl>
    <w:lvl w:ilvl="1" w:tentative="0">
      <w:start w:val="1"/>
      <w:numFmt w:val="decimalZero"/>
      <w:pStyle w:val="587"/>
      <w:isLgl/>
      <w:lvlText w:val="Table %1.%2."/>
      <w:lvlJc w:val="left"/>
      <w:pPr>
        <w:ind w:left="0" w:firstLine="0"/>
      </w:pPr>
      <w:rPr>
        <w:rFonts w:hint="default" w:ascii="Times New Roman Bold" w:hAnsi="Times New Roman Bold"/>
        <w:b/>
        <w:i w:val="0"/>
        <w:sz w:val="26"/>
      </w:r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lvlText w:val="%6)"/>
      <w:lvlJc w:val="left"/>
      <w:pPr>
        <w:ind w:left="1152" w:hanging="432"/>
      </w:pPr>
    </w:lvl>
    <w:lvl w:ilvl="6" w:tentative="0">
      <w:start w:val="1"/>
      <w:numFmt w:val="lowerRoman"/>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abstractNum w:abstractNumId="16">
    <w:nsid w:val="1293454F"/>
    <w:multiLevelType w:val="multilevel"/>
    <w:tmpl w:val="1293454F"/>
    <w:lvl w:ilvl="0" w:tentative="0">
      <w:start w:val="1"/>
      <w:numFmt w:val="lowerRoman"/>
      <w:lvlText w:val="(%1)"/>
      <w:lvlJc w:val="left"/>
      <w:pPr>
        <w:ind w:left="1322" w:hanging="720"/>
      </w:pPr>
      <w:rPr>
        <w:rFonts w:hint="default"/>
      </w:rPr>
    </w:lvl>
    <w:lvl w:ilvl="1" w:tentative="0">
      <w:start w:val="1"/>
      <w:numFmt w:val="lowerLetter"/>
      <w:lvlText w:val="%2."/>
      <w:lvlJc w:val="left"/>
      <w:pPr>
        <w:ind w:left="1682" w:hanging="360"/>
      </w:pPr>
    </w:lvl>
    <w:lvl w:ilvl="2" w:tentative="0">
      <w:start w:val="1"/>
      <w:numFmt w:val="lowerRoman"/>
      <w:lvlText w:val="%3."/>
      <w:lvlJc w:val="right"/>
      <w:pPr>
        <w:ind w:left="2402" w:hanging="180"/>
      </w:pPr>
    </w:lvl>
    <w:lvl w:ilvl="3" w:tentative="0">
      <w:start w:val="1"/>
      <w:numFmt w:val="decimal"/>
      <w:lvlText w:val="%4."/>
      <w:lvlJc w:val="left"/>
      <w:pPr>
        <w:ind w:left="3122" w:hanging="360"/>
      </w:pPr>
    </w:lvl>
    <w:lvl w:ilvl="4" w:tentative="0">
      <w:start w:val="1"/>
      <w:numFmt w:val="lowerLetter"/>
      <w:lvlText w:val="%5."/>
      <w:lvlJc w:val="left"/>
      <w:pPr>
        <w:ind w:left="3842" w:hanging="360"/>
      </w:pPr>
    </w:lvl>
    <w:lvl w:ilvl="5" w:tentative="0">
      <w:start w:val="1"/>
      <w:numFmt w:val="lowerRoman"/>
      <w:lvlText w:val="%6."/>
      <w:lvlJc w:val="right"/>
      <w:pPr>
        <w:ind w:left="4562" w:hanging="180"/>
      </w:pPr>
    </w:lvl>
    <w:lvl w:ilvl="6" w:tentative="0">
      <w:start w:val="1"/>
      <w:numFmt w:val="decimal"/>
      <w:lvlText w:val="%7."/>
      <w:lvlJc w:val="left"/>
      <w:pPr>
        <w:ind w:left="5282" w:hanging="360"/>
      </w:pPr>
    </w:lvl>
    <w:lvl w:ilvl="7" w:tentative="0">
      <w:start w:val="1"/>
      <w:numFmt w:val="lowerLetter"/>
      <w:lvlText w:val="%8."/>
      <w:lvlJc w:val="left"/>
      <w:pPr>
        <w:ind w:left="6002" w:hanging="360"/>
      </w:pPr>
    </w:lvl>
    <w:lvl w:ilvl="8" w:tentative="0">
      <w:start w:val="1"/>
      <w:numFmt w:val="lowerRoman"/>
      <w:lvlText w:val="%9."/>
      <w:lvlJc w:val="right"/>
      <w:pPr>
        <w:ind w:left="6722" w:hanging="180"/>
      </w:pPr>
    </w:lvl>
  </w:abstractNum>
  <w:abstractNum w:abstractNumId="17">
    <w:nsid w:val="134D34D9"/>
    <w:multiLevelType w:val="multilevel"/>
    <w:tmpl w:val="134D34D9"/>
    <w:lvl w:ilvl="0" w:tentative="0">
      <w:start w:val="0"/>
      <w:numFmt w:val="bullet"/>
      <w:lvlText w:val="+"/>
      <w:lvlJc w:val="left"/>
      <w:pPr>
        <w:ind w:left="1800" w:hanging="360"/>
      </w:pPr>
      <w:rPr>
        <w:rFonts w:hint="default" w:ascii="Times New Roman" w:hAnsi="Times New Roman" w:eastAsia="Calibri" w:cs="Times New Roman"/>
      </w:rPr>
    </w:lvl>
    <w:lvl w:ilvl="1" w:tentative="0">
      <w:start w:val="1"/>
      <w:numFmt w:val="bullet"/>
      <w:lvlText w:val="o"/>
      <w:lvlJc w:val="left"/>
      <w:pPr>
        <w:ind w:left="2520" w:hanging="360"/>
      </w:pPr>
      <w:rPr>
        <w:rFonts w:hint="default" w:ascii="Courier New" w:hAnsi="Courier New" w:cs="Courier New"/>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abstractNum w:abstractNumId="18">
    <w:nsid w:val="15093E09"/>
    <w:multiLevelType w:val="multilevel"/>
    <w:tmpl w:val="15093E09"/>
    <w:lvl w:ilvl="0" w:tentative="0">
      <w:start w:val="1"/>
      <w:numFmt w:val="decimal"/>
      <w:lvlText w:val="%1."/>
      <w:lvlJc w:val="left"/>
      <w:pPr>
        <w:ind w:left="927" w:hanging="360"/>
      </w:pPr>
      <w:rPr>
        <w:rFonts w:hint="default"/>
        <w:color w:val="auto"/>
      </w:r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19">
    <w:nsid w:val="16097D77"/>
    <w:multiLevelType w:val="multilevel"/>
    <w:tmpl w:val="16097D7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16172B66"/>
    <w:multiLevelType w:val="multilevel"/>
    <w:tmpl w:val="16172B66"/>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rPr>
        <w:rFonts w:hint="default"/>
      </w:rPr>
    </w:lvl>
    <w:lvl w:ilvl="2" w:tentative="0">
      <w:start w:val="4"/>
      <w:numFmt w:val="decimal"/>
      <w:lvlText w:val="(%3)"/>
      <w:lvlJc w:val="left"/>
      <w:pPr>
        <w:ind w:left="502" w:hanging="360"/>
      </w:pPr>
      <w:rPr>
        <w:rFonts w:hint="default"/>
      </w:rPr>
    </w:lvl>
    <w:lvl w:ilvl="3" w:tentative="0">
      <w:start w:val="4"/>
      <w:numFmt w:val="upperLetter"/>
      <w:lvlText w:val="%4)"/>
      <w:lvlJc w:val="left"/>
      <w:pPr>
        <w:ind w:left="2880" w:hanging="360"/>
      </w:pPr>
      <w:rPr>
        <w:rFonts w:hint="default"/>
      </w:rPr>
    </w:lvl>
    <w:lvl w:ilvl="4" w:tentative="0">
      <w:start w:val="4"/>
      <w:numFmt w:val="upperLetter"/>
      <w:lvlText w:val="%5."/>
      <w:lvlJc w:val="left"/>
      <w:pPr>
        <w:ind w:left="3600" w:hanging="360"/>
      </w:pPr>
      <w:rPr>
        <w:rFonts w:hint="default"/>
      </w:rPr>
    </w:lvl>
    <w:lvl w:ilvl="5" w:tentative="0">
      <w:start w:val="3"/>
      <w:numFmt w:val="bullet"/>
      <w:lvlText w:val=""/>
      <w:lvlJc w:val="left"/>
      <w:pPr>
        <w:ind w:left="4500" w:hanging="360"/>
      </w:pPr>
      <w:rPr>
        <w:rFonts w:hint="default" w:ascii="Symbol" w:hAnsi="Symbol" w:eastAsia="Calibri" w:cs="Times New Roman"/>
        <w:color w:val="000000" w:themeColor="text1"/>
        <w14:textFill>
          <w14:solidFill>
            <w14:schemeClr w14:val="tx1"/>
          </w14:solidFill>
        </w14:textFill>
      </w:rPr>
    </w:lvl>
    <w:lvl w:ilvl="6" w:tentative="0">
      <w:start w:val="1"/>
      <w:numFmt w:val="lowerRoman"/>
      <w:lvlText w:val="%7)"/>
      <w:lvlJc w:val="left"/>
      <w:pPr>
        <w:ind w:left="5400" w:hanging="720"/>
      </w:pPr>
      <w:rPr>
        <w:rFonts w:hint="default"/>
      </w:r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19FE55A6"/>
    <w:multiLevelType w:val="multilevel"/>
    <w:tmpl w:val="19FE55A6"/>
    <w:lvl w:ilvl="0" w:tentative="0">
      <w:start w:val="1"/>
      <w:numFmt w:val="lowerLetter"/>
      <w:lvlText w:val="%1)"/>
      <w:lvlJc w:val="left"/>
      <w:pPr>
        <w:ind w:left="1485" w:hanging="360"/>
      </w:pPr>
      <w:rPr>
        <w:rFonts w:hint="default"/>
      </w:rPr>
    </w:lvl>
    <w:lvl w:ilvl="1" w:tentative="0">
      <w:start w:val="1"/>
      <w:numFmt w:val="lowerLetter"/>
      <w:lvlText w:val="%2."/>
      <w:lvlJc w:val="left"/>
      <w:pPr>
        <w:ind w:left="2205" w:hanging="360"/>
      </w:pPr>
    </w:lvl>
    <w:lvl w:ilvl="2" w:tentative="0">
      <w:start w:val="1"/>
      <w:numFmt w:val="lowerRoman"/>
      <w:lvlText w:val="%3."/>
      <w:lvlJc w:val="right"/>
      <w:pPr>
        <w:ind w:left="2925" w:hanging="180"/>
      </w:pPr>
    </w:lvl>
    <w:lvl w:ilvl="3" w:tentative="0">
      <w:start w:val="1"/>
      <w:numFmt w:val="decimal"/>
      <w:lvlText w:val="%4."/>
      <w:lvlJc w:val="left"/>
      <w:pPr>
        <w:ind w:left="3645" w:hanging="360"/>
      </w:pPr>
    </w:lvl>
    <w:lvl w:ilvl="4" w:tentative="0">
      <w:start w:val="1"/>
      <w:numFmt w:val="lowerLetter"/>
      <w:lvlText w:val="%5."/>
      <w:lvlJc w:val="left"/>
      <w:pPr>
        <w:ind w:left="4365" w:hanging="360"/>
      </w:pPr>
    </w:lvl>
    <w:lvl w:ilvl="5" w:tentative="0">
      <w:start w:val="1"/>
      <w:numFmt w:val="lowerRoman"/>
      <w:lvlText w:val="%6."/>
      <w:lvlJc w:val="right"/>
      <w:pPr>
        <w:ind w:left="5085" w:hanging="180"/>
      </w:pPr>
    </w:lvl>
    <w:lvl w:ilvl="6" w:tentative="0">
      <w:start w:val="1"/>
      <w:numFmt w:val="decimal"/>
      <w:lvlText w:val="%7."/>
      <w:lvlJc w:val="left"/>
      <w:pPr>
        <w:ind w:left="5805" w:hanging="360"/>
      </w:pPr>
    </w:lvl>
    <w:lvl w:ilvl="7" w:tentative="0">
      <w:start w:val="1"/>
      <w:numFmt w:val="lowerLetter"/>
      <w:lvlText w:val="%8."/>
      <w:lvlJc w:val="left"/>
      <w:pPr>
        <w:ind w:left="6525" w:hanging="360"/>
      </w:pPr>
    </w:lvl>
    <w:lvl w:ilvl="8" w:tentative="0">
      <w:start w:val="1"/>
      <w:numFmt w:val="lowerRoman"/>
      <w:lvlText w:val="%9."/>
      <w:lvlJc w:val="right"/>
      <w:pPr>
        <w:ind w:left="7245" w:hanging="180"/>
      </w:pPr>
    </w:lvl>
  </w:abstractNum>
  <w:abstractNum w:abstractNumId="22">
    <w:nsid w:val="1C965279"/>
    <w:multiLevelType w:val="multilevel"/>
    <w:tmpl w:val="1C965279"/>
    <w:lvl w:ilvl="0" w:tentative="0">
      <w:start w:val="1"/>
      <w:numFmt w:val="lowerLetter"/>
      <w:lvlText w:val="%1."/>
      <w:lvlJc w:val="left"/>
      <w:pPr>
        <w:tabs>
          <w:tab w:val="left" w:pos="1290"/>
        </w:tabs>
        <w:ind w:left="1290" w:hanging="360"/>
      </w:pPr>
      <w:rPr>
        <w:rFonts w:hint="default" w:ascii="Times New Roman" w:hAnsi="Times New Roman" w:eastAsia="Times New Roman" w:cs="Times New Roman"/>
      </w:rPr>
    </w:lvl>
    <w:lvl w:ilvl="1" w:tentative="0">
      <w:start w:val="1"/>
      <w:numFmt w:val="bullet"/>
      <w:lvlText w:val=""/>
      <w:lvlJc w:val="left"/>
      <w:pPr>
        <w:tabs>
          <w:tab w:val="left" w:pos="2010"/>
        </w:tabs>
        <w:ind w:left="2010" w:hanging="360"/>
      </w:pPr>
      <w:rPr>
        <w:rFonts w:hint="default" w:ascii="Wingdings" w:hAnsi="Wingdings"/>
      </w:rPr>
    </w:lvl>
    <w:lvl w:ilvl="2" w:tentative="0">
      <w:start w:val="1"/>
      <w:numFmt w:val="none"/>
      <w:pStyle w:val="327"/>
      <w:lvlText w:val=""/>
      <w:lvlJc w:val="left"/>
      <w:pPr>
        <w:tabs>
          <w:tab w:val="left" w:pos="2730"/>
        </w:tabs>
        <w:ind w:left="2730" w:hanging="360"/>
      </w:pPr>
      <w:rPr>
        <w:rFonts w:hint="default"/>
      </w:rPr>
    </w:lvl>
    <w:lvl w:ilvl="3" w:tentative="0">
      <w:start w:val="1"/>
      <w:numFmt w:val="bullet"/>
      <w:lvlText w:val=""/>
      <w:lvlJc w:val="left"/>
      <w:pPr>
        <w:tabs>
          <w:tab w:val="left" w:pos="3450"/>
        </w:tabs>
        <w:ind w:left="3450" w:hanging="360"/>
      </w:pPr>
      <w:rPr>
        <w:rFonts w:hint="default" w:ascii="Symbol" w:hAnsi="Symbol"/>
      </w:rPr>
    </w:lvl>
    <w:lvl w:ilvl="4" w:tentative="0">
      <w:start w:val="1"/>
      <w:numFmt w:val="bullet"/>
      <w:lvlText w:val="o"/>
      <w:lvlJc w:val="left"/>
      <w:pPr>
        <w:tabs>
          <w:tab w:val="left" w:pos="4170"/>
        </w:tabs>
        <w:ind w:left="4170" w:hanging="360"/>
      </w:pPr>
      <w:rPr>
        <w:rFonts w:hint="default" w:ascii="Courier New" w:hAnsi="Courier New" w:cs="Courier New"/>
      </w:rPr>
    </w:lvl>
    <w:lvl w:ilvl="5" w:tentative="0">
      <w:start w:val="1"/>
      <w:numFmt w:val="bullet"/>
      <w:lvlText w:val=""/>
      <w:lvlJc w:val="left"/>
      <w:pPr>
        <w:tabs>
          <w:tab w:val="left" w:pos="4890"/>
        </w:tabs>
        <w:ind w:left="4890" w:hanging="360"/>
      </w:pPr>
      <w:rPr>
        <w:rFonts w:hint="default" w:ascii="Wingdings" w:hAnsi="Wingdings"/>
      </w:rPr>
    </w:lvl>
    <w:lvl w:ilvl="6" w:tentative="0">
      <w:start w:val="1"/>
      <w:numFmt w:val="bullet"/>
      <w:lvlText w:val=""/>
      <w:lvlJc w:val="left"/>
      <w:pPr>
        <w:tabs>
          <w:tab w:val="left" w:pos="5610"/>
        </w:tabs>
        <w:ind w:left="5610" w:hanging="360"/>
      </w:pPr>
      <w:rPr>
        <w:rFonts w:hint="default" w:ascii="Symbol" w:hAnsi="Symbol"/>
      </w:rPr>
    </w:lvl>
    <w:lvl w:ilvl="7" w:tentative="0">
      <w:start w:val="1"/>
      <w:numFmt w:val="bullet"/>
      <w:lvlText w:val="o"/>
      <w:lvlJc w:val="left"/>
      <w:pPr>
        <w:tabs>
          <w:tab w:val="left" w:pos="6330"/>
        </w:tabs>
        <w:ind w:left="6330" w:hanging="360"/>
      </w:pPr>
      <w:rPr>
        <w:rFonts w:hint="default" w:ascii="Courier New" w:hAnsi="Courier New" w:cs="Courier New"/>
      </w:rPr>
    </w:lvl>
    <w:lvl w:ilvl="8" w:tentative="0">
      <w:start w:val="1"/>
      <w:numFmt w:val="bullet"/>
      <w:lvlText w:val=""/>
      <w:lvlJc w:val="left"/>
      <w:pPr>
        <w:tabs>
          <w:tab w:val="left" w:pos="7050"/>
        </w:tabs>
        <w:ind w:left="7050" w:hanging="360"/>
      </w:pPr>
      <w:rPr>
        <w:rFonts w:hint="default" w:ascii="Wingdings" w:hAnsi="Wingdings"/>
      </w:rPr>
    </w:lvl>
  </w:abstractNum>
  <w:abstractNum w:abstractNumId="23">
    <w:nsid w:val="1E1966B8"/>
    <w:multiLevelType w:val="multilevel"/>
    <w:tmpl w:val="1E1966B8"/>
    <w:lvl w:ilvl="0" w:tentative="0">
      <w:start w:val="9"/>
      <w:numFmt w:val="lowerLetter"/>
      <w:lvlText w:val="(%1)"/>
      <w:lvlJc w:val="left"/>
      <w:pPr>
        <w:ind w:left="1323" w:hanging="360"/>
      </w:pPr>
      <w:rPr>
        <w:rFonts w:hint="default"/>
      </w:rPr>
    </w:lvl>
    <w:lvl w:ilvl="1" w:tentative="0">
      <w:start w:val="1"/>
      <w:numFmt w:val="lowerLetter"/>
      <w:lvlText w:val="%2."/>
      <w:lvlJc w:val="left"/>
      <w:pPr>
        <w:ind w:left="2043" w:hanging="360"/>
      </w:pPr>
    </w:lvl>
    <w:lvl w:ilvl="2" w:tentative="0">
      <w:start w:val="1"/>
      <w:numFmt w:val="lowerRoman"/>
      <w:lvlText w:val="%3."/>
      <w:lvlJc w:val="right"/>
      <w:pPr>
        <w:ind w:left="2763" w:hanging="180"/>
      </w:pPr>
    </w:lvl>
    <w:lvl w:ilvl="3" w:tentative="0">
      <w:start w:val="1"/>
      <w:numFmt w:val="decimal"/>
      <w:lvlText w:val="%4."/>
      <w:lvlJc w:val="left"/>
      <w:pPr>
        <w:ind w:left="3483" w:hanging="360"/>
      </w:pPr>
    </w:lvl>
    <w:lvl w:ilvl="4" w:tentative="0">
      <w:start w:val="1"/>
      <w:numFmt w:val="lowerLetter"/>
      <w:lvlText w:val="%5."/>
      <w:lvlJc w:val="left"/>
      <w:pPr>
        <w:ind w:left="4203" w:hanging="360"/>
      </w:pPr>
    </w:lvl>
    <w:lvl w:ilvl="5" w:tentative="0">
      <w:start w:val="1"/>
      <w:numFmt w:val="lowerRoman"/>
      <w:lvlText w:val="%6."/>
      <w:lvlJc w:val="right"/>
      <w:pPr>
        <w:ind w:left="4923" w:hanging="180"/>
      </w:pPr>
    </w:lvl>
    <w:lvl w:ilvl="6" w:tentative="0">
      <w:start w:val="1"/>
      <w:numFmt w:val="decimal"/>
      <w:lvlText w:val="%7."/>
      <w:lvlJc w:val="left"/>
      <w:pPr>
        <w:ind w:left="5643" w:hanging="360"/>
      </w:pPr>
    </w:lvl>
    <w:lvl w:ilvl="7" w:tentative="0">
      <w:start w:val="1"/>
      <w:numFmt w:val="lowerLetter"/>
      <w:lvlText w:val="%8."/>
      <w:lvlJc w:val="left"/>
      <w:pPr>
        <w:ind w:left="6363" w:hanging="360"/>
      </w:pPr>
    </w:lvl>
    <w:lvl w:ilvl="8" w:tentative="0">
      <w:start w:val="1"/>
      <w:numFmt w:val="lowerRoman"/>
      <w:lvlText w:val="%9."/>
      <w:lvlJc w:val="right"/>
      <w:pPr>
        <w:ind w:left="7083" w:hanging="180"/>
      </w:pPr>
    </w:lvl>
  </w:abstractNum>
  <w:abstractNum w:abstractNumId="24">
    <w:nsid w:val="1E513DB3"/>
    <w:multiLevelType w:val="singleLevel"/>
    <w:tmpl w:val="1E513DB3"/>
    <w:lvl w:ilvl="0" w:tentative="0">
      <w:start w:val="1"/>
      <w:numFmt w:val="bullet"/>
      <w:pStyle w:val="556"/>
      <w:lvlText w:val=""/>
      <w:lvlJc w:val="left"/>
      <w:pPr>
        <w:tabs>
          <w:tab w:val="left" w:pos="360"/>
        </w:tabs>
        <w:ind w:left="284" w:hanging="284"/>
      </w:pPr>
      <w:rPr>
        <w:rFonts w:hint="default" w:ascii="Symbol" w:hAnsi="Symbol"/>
        <w:sz w:val="20"/>
      </w:rPr>
    </w:lvl>
  </w:abstractNum>
  <w:abstractNum w:abstractNumId="25">
    <w:nsid w:val="21654960"/>
    <w:multiLevelType w:val="singleLevel"/>
    <w:tmpl w:val="21654960"/>
    <w:lvl w:ilvl="0" w:tentative="0">
      <w:start w:val="1"/>
      <w:numFmt w:val="decimal"/>
      <w:pStyle w:val="569"/>
      <w:lvlText w:val="%1."/>
      <w:lvlJc w:val="left"/>
      <w:pPr>
        <w:tabs>
          <w:tab w:val="left" w:pos="360"/>
        </w:tabs>
        <w:ind w:left="360" w:hanging="360"/>
      </w:pPr>
    </w:lvl>
  </w:abstractNum>
  <w:abstractNum w:abstractNumId="26">
    <w:nsid w:val="21EC1C3E"/>
    <w:multiLevelType w:val="multilevel"/>
    <w:tmpl w:val="21EC1C3E"/>
    <w:lvl w:ilvl="0" w:tentative="0">
      <w:start w:val="1"/>
      <w:numFmt w:val="lowerLetter"/>
      <w:lvlText w:val="%1)"/>
      <w:lvlJc w:val="left"/>
      <w:pPr>
        <w:ind w:left="890" w:hanging="360"/>
      </w:pPr>
    </w:lvl>
    <w:lvl w:ilvl="1" w:tentative="0">
      <w:start w:val="1"/>
      <w:numFmt w:val="lowerLetter"/>
      <w:lvlText w:val="%2."/>
      <w:lvlJc w:val="left"/>
      <w:pPr>
        <w:ind w:left="1610" w:hanging="360"/>
      </w:pPr>
    </w:lvl>
    <w:lvl w:ilvl="2" w:tentative="0">
      <w:start w:val="1"/>
      <w:numFmt w:val="lowerRoman"/>
      <w:lvlText w:val="%3."/>
      <w:lvlJc w:val="right"/>
      <w:pPr>
        <w:ind w:left="2330" w:hanging="180"/>
      </w:pPr>
    </w:lvl>
    <w:lvl w:ilvl="3" w:tentative="0">
      <w:start w:val="1"/>
      <w:numFmt w:val="decimal"/>
      <w:lvlText w:val="%4."/>
      <w:lvlJc w:val="left"/>
      <w:pPr>
        <w:ind w:left="3050" w:hanging="360"/>
      </w:pPr>
    </w:lvl>
    <w:lvl w:ilvl="4" w:tentative="0">
      <w:start w:val="1"/>
      <w:numFmt w:val="lowerLetter"/>
      <w:lvlText w:val="%5."/>
      <w:lvlJc w:val="left"/>
      <w:pPr>
        <w:ind w:left="3770" w:hanging="360"/>
      </w:pPr>
    </w:lvl>
    <w:lvl w:ilvl="5" w:tentative="0">
      <w:start w:val="1"/>
      <w:numFmt w:val="lowerRoman"/>
      <w:lvlText w:val="%6."/>
      <w:lvlJc w:val="right"/>
      <w:pPr>
        <w:ind w:left="4490" w:hanging="180"/>
      </w:pPr>
    </w:lvl>
    <w:lvl w:ilvl="6" w:tentative="0">
      <w:start w:val="1"/>
      <w:numFmt w:val="decimal"/>
      <w:lvlText w:val="%7."/>
      <w:lvlJc w:val="left"/>
      <w:pPr>
        <w:ind w:left="5210" w:hanging="360"/>
      </w:pPr>
    </w:lvl>
    <w:lvl w:ilvl="7" w:tentative="0">
      <w:start w:val="1"/>
      <w:numFmt w:val="lowerLetter"/>
      <w:lvlText w:val="%8."/>
      <w:lvlJc w:val="left"/>
      <w:pPr>
        <w:ind w:left="5930" w:hanging="360"/>
      </w:pPr>
    </w:lvl>
    <w:lvl w:ilvl="8" w:tentative="0">
      <w:start w:val="1"/>
      <w:numFmt w:val="lowerRoman"/>
      <w:lvlText w:val="%9."/>
      <w:lvlJc w:val="right"/>
      <w:pPr>
        <w:ind w:left="6650" w:hanging="180"/>
      </w:pPr>
    </w:lvl>
  </w:abstractNum>
  <w:abstractNum w:abstractNumId="27">
    <w:nsid w:val="22960752"/>
    <w:multiLevelType w:val="multilevel"/>
    <w:tmpl w:val="22960752"/>
    <w:lvl w:ilvl="0" w:tentative="0">
      <w:start w:val="1"/>
      <w:numFmt w:val="lowerRoman"/>
      <w:lvlText w:val="(%1)"/>
      <w:lvlJc w:val="left"/>
      <w:pPr>
        <w:tabs>
          <w:tab w:val="left" w:pos="955"/>
        </w:tabs>
        <w:ind w:left="955" w:hanging="435"/>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23802FF9"/>
    <w:multiLevelType w:val="multilevel"/>
    <w:tmpl w:val="23802FF9"/>
    <w:lvl w:ilvl="0" w:tentative="0">
      <w:start w:val="2"/>
      <w:numFmt w:val="decimal"/>
      <w:pStyle w:val="441"/>
      <w:lvlText w:val="%1."/>
      <w:lvlJc w:val="left"/>
      <w:pPr>
        <w:ind w:left="360" w:hanging="360"/>
      </w:pPr>
      <w:rPr>
        <w:rFonts w:hint="default"/>
      </w:rPr>
    </w:lvl>
    <w:lvl w:ilvl="1" w:tentative="0">
      <w:start w:val="1"/>
      <w:numFmt w:val="lowerLetter"/>
      <w:lvlText w:val="%2)"/>
      <w:lvlJc w:val="left"/>
      <w:pPr>
        <w:ind w:left="1807" w:hanging="360"/>
      </w:pPr>
      <w:rPr>
        <w:rFonts w:hint="default"/>
      </w:rPr>
    </w:lvl>
    <w:lvl w:ilvl="2" w:tentative="0">
      <w:start w:val="1"/>
      <w:numFmt w:val="decimal"/>
      <w:lvlText w:val="%1.%2.%3."/>
      <w:lvlJc w:val="left"/>
      <w:pPr>
        <w:ind w:left="3614" w:hanging="720"/>
      </w:pPr>
      <w:rPr>
        <w:rFonts w:hint="default"/>
      </w:rPr>
    </w:lvl>
    <w:lvl w:ilvl="3" w:tentative="0">
      <w:start w:val="1"/>
      <w:numFmt w:val="decimal"/>
      <w:lvlText w:val="%1.%2.%3.%4."/>
      <w:lvlJc w:val="left"/>
      <w:pPr>
        <w:ind w:left="5061" w:hanging="720"/>
      </w:pPr>
      <w:rPr>
        <w:rFonts w:hint="default"/>
      </w:rPr>
    </w:lvl>
    <w:lvl w:ilvl="4" w:tentative="0">
      <w:start w:val="1"/>
      <w:numFmt w:val="decimal"/>
      <w:lvlText w:val="%1.%2.%3.%4.%5."/>
      <w:lvlJc w:val="left"/>
      <w:pPr>
        <w:ind w:left="6868" w:hanging="1080"/>
      </w:pPr>
      <w:rPr>
        <w:rFonts w:hint="default"/>
      </w:rPr>
    </w:lvl>
    <w:lvl w:ilvl="5" w:tentative="0">
      <w:start w:val="1"/>
      <w:numFmt w:val="decimal"/>
      <w:lvlText w:val="%1.%2.%3.%4.%5.%6."/>
      <w:lvlJc w:val="left"/>
      <w:pPr>
        <w:ind w:left="8315" w:hanging="1080"/>
      </w:pPr>
      <w:rPr>
        <w:rFonts w:hint="default"/>
      </w:rPr>
    </w:lvl>
    <w:lvl w:ilvl="6" w:tentative="0">
      <w:start w:val="1"/>
      <w:numFmt w:val="decimal"/>
      <w:lvlText w:val="%1.%2.%3.%4.%5.%6.%7."/>
      <w:lvlJc w:val="left"/>
      <w:pPr>
        <w:ind w:left="10122" w:hanging="1440"/>
      </w:pPr>
      <w:rPr>
        <w:rFonts w:hint="default"/>
      </w:rPr>
    </w:lvl>
    <w:lvl w:ilvl="7" w:tentative="0">
      <w:start w:val="1"/>
      <w:numFmt w:val="decimal"/>
      <w:lvlText w:val="%1.%2.%3.%4.%5.%6.%7.%8."/>
      <w:lvlJc w:val="left"/>
      <w:pPr>
        <w:ind w:left="11569" w:hanging="1440"/>
      </w:pPr>
      <w:rPr>
        <w:rFonts w:hint="default"/>
      </w:rPr>
    </w:lvl>
    <w:lvl w:ilvl="8" w:tentative="0">
      <w:start w:val="1"/>
      <w:numFmt w:val="decimal"/>
      <w:lvlText w:val="%1.%2.%3.%4.%5.%6.%7.%8.%9."/>
      <w:lvlJc w:val="left"/>
      <w:pPr>
        <w:ind w:left="13376" w:hanging="1800"/>
      </w:pPr>
      <w:rPr>
        <w:rFonts w:hint="default"/>
      </w:rPr>
    </w:lvl>
  </w:abstractNum>
  <w:abstractNum w:abstractNumId="29">
    <w:nsid w:val="24341B78"/>
    <w:multiLevelType w:val="multilevel"/>
    <w:tmpl w:val="24341B78"/>
    <w:lvl w:ilvl="0" w:tentative="0">
      <w:start w:val="2"/>
      <w:numFmt w:val="bullet"/>
      <w:pStyle w:val="361"/>
      <w:lvlText w:val="-"/>
      <w:lvlJc w:val="left"/>
      <w:pPr>
        <w:tabs>
          <w:tab w:val="left" w:pos="1134"/>
        </w:tabs>
        <w:ind w:left="1134" w:hanging="567"/>
      </w:pPr>
      <w:rPr>
        <w:rFonts w:hint="default" w:ascii="Times New Roman" w:hAnsi="Times New Roman" w:cs="Times New Roman"/>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30">
    <w:nsid w:val="243A0D17"/>
    <w:multiLevelType w:val="multilevel"/>
    <w:tmpl w:val="243A0D17"/>
    <w:lvl w:ilvl="0" w:tentative="0">
      <w:start w:val="1"/>
      <w:numFmt w:val="decimal"/>
      <w:lvlText w:val="%1."/>
      <w:lvlJc w:val="left"/>
      <w:pPr>
        <w:ind w:left="927" w:hanging="360"/>
      </w:pPr>
      <w:rPr>
        <w:rFonts w:hint="default"/>
        <w:b w:val="0"/>
        <w:i w:val="0"/>
      </w:r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31">
    <w:nsid w:val="250868F3"/>
    <w:multiLevelType w:val="multilevel"/>
    <w:tmpl w:val="250868F3"/>
    <w:lvl w:ilvl="0" w:tentative="0">
      <w:start w:val="1"/>
      <w:numFmt w:val="decimal"/>
      <w:isLgl/>
      <w:lvlText w:val="%1."/>
      <w:lvlJc w:val="left"/>
      <w:pPr>
        <w:tabs>
          <w:tab w:val="left" w:pos="432"/>
        </w:tabs>
        <w:ind w:left="432" w:hanging="432"/>
      </w:pPr>
      <w:rPr>
        <w:rFonts w:hint="default"/>
        <w:b/>
        <w:i w:val="0"/>
        <w:sz w:val="24"/>
        <w:szCs w:val="24"/>
      </w:rPr>
    </w:lvl>
    <w:lvl w:ilvl="1" w:tentative="0">
      <w:start w:val="2"/>
      <w:numFmt w:val="decimal"/>
      <w:lvlText w:val="%1.%2"/>
      <w:lvlJc w:val="left"/>
      <w:pPr>
        <w:tabs>
          <w:tab w:val="left" w:pos="504"/>
        </w:tabs>
        <w:ind w:left="504" w:hanging="504"/>
      </w:pPr>
      <w:rPr>
        <w:rFonts w:hint="default"/>
        <w:b w:val="0"/>
        <w:i w:val="0"/>
        <w:sz w:val="24"/>
        <w:szCs w:val="24"/>
      </w:rPr>
    </w:lvl>
    <w:lvl w:ilvl="2" w:tentative="0">
      <w:start w:val="1"/>
      <w:numFmt w:val="lowerLetter"/>
      <w:lvlText w:val="(%3)"/>
      <w:lvlJc w:val="left"/>
      <w:pPr>
        <w:tabs>
          <w:tab w:val="left" w:pos="864"/>
        </w:tabs>
        <w:ind w:left="864" w:hanging="360"/>
      </w:pPr>
      <w:rPr>
        <w:rFonts w:hint="default"/>
        <w:b w:val="0"/>
        <w:i w:val="0"/>
        <w:sz w:val="28"/>
        <w:szCs w:val="28"/>
      </w:rPr>
    </w:lvl>
    <w:lvl w:ilvl="3" w:tentative="0">
      <w:start w:val="1"/>
      <w:numFmt w:val="lowerRoman"/>
      <w:lvlText w:val="(%4)"/>
      <w:lvlJc w:val="left"/>
      <w:pPr>
        <w:tabs>
          <w:tab w:val="left" w:pos="1512"/>
        </w:tabs>
        <w:ind w:left="1512" w:hanging="648"/>
      </w:pPr>
      <w:rPr>
        <w:rFonts w:hint="default" w:ascii="Arial" w:hAnsi="Arial"/>
        <w:b w:val="0"/>
        <w:i w:val="0"/>
        <w:sz w:val="20"/>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2">
    <w:nsid w:val="26A53CD2"/>
    <w:multiLevelType w:val="multilevel"/>
    <w:tmpl w:val="26A53CD2"/>
    <w:lvl w:ilvl="0" w:tentative="0">
      <w:start w:val="29"/>
      <w:numFmt w:val="decimal"/>
      <w:lvlText w:val="%1."/>
      <w:lvlJc w:val="left"/>
      <w:pPr>
        <w:ind w:left="525" w:hanging="525"/>
      </w:pPr>
      <w:rPr>
        <w:rFonts w:hint="default"/>
      </w:rPr>
    </w:lvl>
    <w:lvl w:ilvl="1" w:tentative="0">
      <w:start w:val="2"/>
      <w:numFmt w:val="decimal"/>
      <w:pStyle w:val="172"/>
      <w:lvlText w:val="%1.%2."/>
      <w:lvlJc w:val="left"/>
      <w:pPr>
        <w:ind w:left="720" w:hanging="720"/>
      </w:pPr>
      <w:rPr>
        <w:rFonts w:hint="default"/>
      </w:rPr>
    </w:lvl>
    <w:lvl w:ilvl="2" w:tentative="0">
      <w:start w:val="1"/>
      <w:numFmt w:val="lowerLetter"/>
      <w:lvlText w:val="%3)"/>
      <w:lvlJc w:val="left"/>
      <w:pPr>
        <w:ind w:left="720" w:hanging="720"/>
      </w:pPr>
      <w:rPr>
        <w:rFonts w:ascii="Times New Roman" w:hAnsi="Times New Roman" w:eastAsia="Times New Roman" w:cs="Times New Roman"/>
      </w:rPr>
    </w:lvl>
    <w:lvl w:ilvl="3" w:tentative="0">
      <w:start w:val="1"/>
      <w:numFmt w:val="lowerLetter"/>
      <w:lvlText w:val="%4."/>
      <w:lvlJc w:val="left"/>
      <w:pPr>
        <w:ind w:left="1080" w:hanging="1080"/>
      </w:pPr>
      <w:rPr>
        <w:rFonts w:ascii="Times New Roman" w:hAnsi="Times New Roman" w:eastAsia="Calibri" w:cs="Times New Roman"/>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33">
    <w:nsid w:val="28767248"/>
    <w:multiLevelType w:val="singleLevel"/>
    <w:tmpl w:val="28767248"/>
    <w:lvl w:ilvl="0" w:tentative="0">
      <w:start w:val="1"/>
      <w:numFmt w:val="bullet"/>
      <w:pStyle w:val="443"/>
      <w:lvlText w:val="-"/>
      <w:lvlJc w:val="left"/>
      <w:pPr>
        <w:tabs>
          <w:tab w:val="left" w:pos="1247"/>
        </w:tabs>
        <w:ind w:left="1247" w:hanging="396"/>
      </w:pPr>
    </w:lvl>
  </w:abstractNum>
  <w:abstractNum w:abstractNumId="34">
    <w:nsid w:val="2B70208B"/>
    <w:multiLevelType w:val="multilevel"/>
    <w:tmpl w:val="2B70208B"/>
    <w:lvl w:ilvl="0" w:tentative="0">
      <w:start w:val="1"/>
      <w:numFmt w:val="decimal"/>
      <w:lvlText w:val="%1."/>
      <w:lvlJc w:val="left"/>
      <w:pPr>
        <w:ind w:left="691" w:hanging="55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pStyle w:val="637"/>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5">
    <w:nsid w:val="2DB525D2"/>
    <w:multiLevelType w:val="multilevel"/>
    <w:tmpl w:val="2DB525D2"/>
    <w:lvl w:ilvl="0" w:tentative="0">
      <w:start w:val="30"/>
      <w:numFmt w:val="bullet"/>
      <w:lvlText w:val="-"/>
      <w:lvlJc w:val="left"/>
      <w:pPr>
        <w:ind w:left="2929"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2E727613"/>
    <w:multiLevelType w:val="multilevel"/>
    <w:tmpl w:val="2E727613"/>
    <w:lvl w:ilvl="0" w:tentative="0">
      <w:start w:val="1"/>
      <w:numFmt w:val="decimal"/>
      <w:pStyle w:val="618"/>
      <w:lvlText w:val="              CHƯƠNG %1"/>
      <w:lvlJc w:val="center"/>
      <w:pPr>
        <w:tabs>
          <w:tab w:val="left" w:pos="1728"/>
        </w:tabs>
        <w:ind w:left="720" w:hanging="432"/>
      </w:pPr>
    </w:lvl>
    <w:lvl w:ilvl="1" w:tentative="0">
      <w:start w:val="1"/>
      <w:numFmt w:val="decimal"/>
      <w:lvlText w:val="%1.%2"/>
      <w:lvlJc w:val="left"/>
      <w:pPr>
        <w:tabs>
          <w:tab w:val="left" w:pos="720"/>
        </w:tabs>
        <w:ind w:left="720" w:hanging="720"/>
      </w:pPr>
      <w:rPr>
        <w:rFonts w:hint="default" w:ascii="Times New Roman" w:hAnsi="Times New Roman" w:cs="Times New Roman"/>
        <w:sz w:val="26"/>
      </w:rPr>
    </w:lvl>
    <w:lvl w:ilvl="2" w:tentative="0">
      <w:start w:val="1"/>
      <w:numFmt w:val="decimal"/>
      <w:lvlText w:val="%1.%2.%3"/>
      <w:lvlJc w:val="left"/>
      <w:pPr>
        <w:tabs>
          <w:tab w:val="left" w:pos="1400"/>
        </w:tabs>
        <w:ind w:left="720" w:hanging="40"/>
      </w:pPr>
    </w:lvl>
    <w:lvl w:ilvl="3" w:tentative="0">
      <w:start w:val="1"/>
      <w:numFmt w:val="decimal"/>
      <w:lvlText w:val="%1.%2.%3.%4"/>
      <w:lvlJc w:val="left"/>
      <w:pPr>
        <w:tabs>
          <w:tab w:val="left" w:pos="1760"/>
        </w:tabs>
        <w:ind w:left="737" w:hanging="57"/>
      </w:pPr>
    </w:lvl>
    <w:lvl w:ilvl="4" w:tentative="0">
      <w:start w:val="1"/>
      <w:numFmt w:val="decimal"/>
      <w:lvlText w:val="%1.%2.%3.%4.%5"/>
      <w:lvlJc w:val="left"/>
      <w:pPr>
        <w:tabs>
          <w:tab w:val="left" w:pos="1080"/>
        </w:tabs>
        <w:ind w:left="1080" w:hanging="1080"/>
      </w:pPr>
    </w:lvl>
    <w:lvl w:ilvl="5" w:tentative="0">
      <w:start w:val="1"/>
      <w:numFmt w:val="decimal"/>
      <w:lvlText w:val="%1.%2.%3.%4.%5.%6"/>
      <w:lvlJc w:val="left"/>
      <w:pPr>
        <w:tabs>
          <w:tab w:val="left" w:pos="1440"/>
        </w:tabs>
        <w:ind w:left="1440" w:hanging="144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800"/>
        </w:tabs>
        <w:ind w:left="1800" w:hanging="1800"/>
      </w:pPr>
    </w:lvl>
    <w:lvl w:ilvl="8" w:tentative="0">
      <w:start w:val="1"/>
      <w:numFmt w:val="decimal"/>
      <w:lvlText w:val="%1.%2.%3.%4.%5.%6.%7.%8.%9"/>
      <w:lvlJc w:val="left"/>
      <w:pPr>
        <w:tabs>
          <w:tab w:val="left" w:pos="2160"/>
        </w:tabs>
        <w:ind w:left="2160" w:hanging="2160"/>
      </w:pPr>
    </w:lvl>
  </w:abstractNum>
  <w:abstractNum w:abstractNumId="37">
    <w:nsid w:val="2E7B69F2"/>
    <w:multiLevelType w:val="singleLevel"/>
    <w:tmpl w:val="2E7B69F2"/>
    <w:lvl w:ilvl="0" w:tentative="0">
      <w:start w:val="1"/>
      <w:numFmt w:val="bullet"/>
      <w:pStyle w:val="557"/>
      <w:lvlText w:val=""/>
      <w:lvlJc w:val="left"/>
      <w:pPr>
        <w:tabs>
          <w:tab w:val="left" w:pos="360"/>
        </w:tabs>
        <w:ind w:left="284" w:hanging="284"/>
      </w:pPr>
      <w:rPr>
        <w:rFonts w:hint="default" w:ascii="Symbol" w:hAnsi="Symbol"/>
        <w:sz w:val="16"/>
      </w:rPr>
    </w:lvl>
  </w:abstractNum>
  <w:abstractNum w:abstractNumId="38">
    <w:nsid w:val="2EDA1BB1"/>
    <w:multiLevelType w:val="multilevel"/>
    <w:tmpl w:val="2EDA1BB1"/>
    <w:lvl w:ilvl="0" w:tentative="0">
      <w:start w:val="1"/>
      <w:numFmt w:val="lowerRoman"/>
      <w:lvlText w:val="(%1)"/>
      <w:lvlJc w:val="left"/>
      <w:pPr>
        <w:tabs>
          <w:tab w:val="left" w:pos="955"/>
        </w:tabs>
        <w:ind w:left="955" w:hanging="435"/>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9">
    <w:nsid w:val="2F4E7D3C"/>
    <w:multiLevelType w:val="multilevel"/>
    <w:tmpl w:val="2F4E7D3C"/>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0">
    <w:nsid w:val="31292020"/>
    <w:multiLevelType w:val="multilevel"/>
    <w:tmpl w:val="31292020"/>
    <w:lvl w:ilvl="0" w:tentative="0">
      <w:start w:val="1"/>
      <w:numFmt w:val="upperRoman"/>
      <w:lvlText w:val="%1."/>
      <w:lvlJc w:val="left"/>
      <w:pPr>
        <w:ind w:left="1080" w:hanging="720"/>
      </w:pPr>
      <w:rPr>
        <w:rFonts w:hint="default"/>
        <w:sz w:val="28"/>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1">
    <w:nsid w:val="32A05645"/>
    <w:multiLevelType w:val="multilevel"/>
    <w:tmpl w:val="32A05645"/>
    <w:lvl w:ilvl="0" w:tentative="0">
      <w:start w:val="1"/>
      <w:numFmt w:val="bullet"/>
      <w:lvlText w:val=""/>
      <w:lvlJc w:val="left"/>
      <w:pPr>
        <w:ind w:left="711" w:hanging="360"/>
      </w:pPr>
      <w:rPr>
        <w:rFonts w:hint="default" w:ascii="Symbol" w:hAnsi="Symbol"/>
      </w:rPr>
    </w:lvl>
    <w:lvl w:ilvl="1" w:tentative="0">
      <w:start w:val="1"/>
      <w:numFmt w:val="bullet"/>
      <w:lvlText w:val="o"/>
      <w:lvlJc w:val="left"/>
      <w:pPr>
        <w:ind w:left="1431" w:hanging="360"/>
      </w:pPr>
      <w:rPr>
        <w:rFonts w:hint="default" w:ascii="Courier New" w:hAnsi="Courier New" w:cs="Courier New"/>
      </w:rPr>
    </w:lvl>
    <w:lvl w:ilvl="2" w:tentative="0">
      <w:start w:val="1"/>
      <w:numFmt w:val="bullet"/>
      <w:lvlText w:val=""/>
      <w:lvlJc w:val="left"/>
      <w:pPr>
        <w:ind w:left="2151" w:hanging="360"/>
      </w:pPr>
      <w:rPr>
        <w:rFonts w:hint="default" w:ascii="Wingdings" w:hAnsi="Wingdings"/>
      </w:rPr>
    </w:lvl>
    <w:lvl w:ilvl="3" w:tentative="0">
      <w:start w:val="1"/>
      <w:numFmt w:val="bullet"/>
      <w:lvlText w:val=""/>
      <w:lvlJc w:val="left"/>
      <w:pPr>
        <w:ind w:left="2871" w:hanging="360"/>
      </w:pPr>
      <w:rPr>
        <w:rFonts w:hint="default" w:ascii="Symbol" w:hAnsi="Symbol"/>
      </w:rPr>
    </w:lvl>
    <w:lvl w:ilvl="4" w:tentative="0">
      <w:start w:val="1"/>
      <w:numFmt w:val="bullet"/>
      <w:lvlText w:val="o"/>
      <w:lvlJc w:val="left"/>
      <w:pPr>
        <w:ind w:left="3591" w:hanging="360"/>
      </w:pPr>
      <w:rPr>
        <w:rFonts w:hint="default" w:ascii="Courier New" w:hAnsi="Courier New" w:cs="Courier New"/>
      </w:rPr>
    </w:lvl>
    <w:lvl w:ilvl="5" w:tentative="0">
      <w:start w:val="1"/>
      <w:numFmt w:val="bullet"/>
      <w:lvlText w:val=""/>
      <w:lvlJc w:val="left"/>
      <w:pPr>
        <w:ind w:left="4311" w:hanging="360"/>
      </w:pPr>
      <w:rPr>
        <w:rFonts w:hint="default" w:ascii="Wingdings" w:hAnsi="Wingdings"/>
      </w:rPr>
    </w:lvl>
    <w:lvl w:ilvl="6" w:tentative="0">
      <w:start w:val="1"/>
      <w:numFmt w:val="bullet"/>
      <w:lvlText w:val=""/>
      <w:lvlJc w:val="left"/>
      <w:pPr>
        <w:ind w:left="5031" w:hanging="360"/>
      </w:pPr>
      <w:rPr>
        <w:rFonts w:hint="default" w:ascii="Symbol" w:hAnsi="Symbol"/>
      </w:rPr>
    </w:lvl>
    <w:lvl w:ilvl="7" w:tentative="0">
      <w:start w:val="1"/>
      <w:numFmt w:val="bullet"/>
      <w:lvlText w:val="o"/>
      <w:lvlJc w:val="left"/>
      <w:pPr>
        <w:ind w:left="5751" w:hanging="360"/>
      </w:pPr>
      <w:rPr>
        <w:rFonts w:hint="default" w:ascii="Courier New" w:hAnsi="Courier New" w:cs="Courier New"/>
      </w:rPr>
    </w:lvl>
    <w:lvl w:ilvl="8" w:tentative="0">
      <w:start w:val="1"/>
      <w:numFmt w:val="bullet"/>
      <w:lvlText w:val=""/>
      <w:lvlJc w:val="left"/>
      <w:pPr>
        <w:ind w:left="6471" w:hanging="360"/>
      </w:pPr>
      <w:rPr>
        <w:rFonts w:hint="default" w:ascii="Wingdings" w:hAnsi="Wingdings"/>
      </w:rPr>
    </w:lvl>
  </w:abstractNum>
  <w:abstractNum w:abstractNumId="42">
    <w:nsid w:val="37493202"/>
    <w:multiLevelType w:val="multilevel"/>
    <w:tmpl w:val="37493202"/>
    <w:lvl w:ilvl="0" w:tentative="0">
      <w:start w:val="1"/>
      <w:numFmt w:val="upperRoman"/>
      <w:pStyle w:val="591"/>
      <w:lvlText w:val="%1."/>
      <w:lvlJc w:val="left"/>
      <w:pPr>
        <w:tabs>
          <w:tab w:val="left" w:pos="737"/>
        </w:tabs>
        <w:ind w:left="737" w:hanging="397"/>
      </w:pPr>
      <w:rPr>
        <w:rFonts w:hint="default" w:ascii="Times New Roman Bold" w:hAnsi="Times New Roman Bold"/>
        <w:b/>
        <w:i w:val="0"/>
      </w:rPr>
    </w:lvl>
    <w:lvl w:ilvl="1" w:tentative="0">
      <w:start w:val="1"/>
      <w:numFmt w:val="decimal"/>
      <w:lvlText w:val="%2."/>
      <w:lvlJc w:val="left"/>
      <w:pPr>
        <w:tabs>
          <w:tab w:val="left" w:pos="360"/>
        </w:tabs>
        <w:ind w:left="1440" w:hanging="360"/>
      </w:pPr>
      <w:rPr>
        <w:b/>
        <w:i w:val="0"/>
      </w:rPr>
    </w:lvl>
    <w:lvl w:ilvl="2" w:tentative="0">
      <w:start w:val="1"/>
      <w:numFmt w:val="decimal"/>
      <w:lvlText w:val="(%3)"/>
      <w:lvlJc w:val="left"/>
      <w:pPr>
        <w:tabs>
          <w:tab w:val="left" w:pos="2340"/>
        </w:tabs>
        <w:ind w:left="2340" w:hanging="360"/>
      </w:pPr>
    </w:lvl>
    <w:lvl w:ilvl="3" w:tentative="0">
      <w:start w:val="1"/>
      <w:numFmt w:val="lowerLetter"/>
      <w:lvlText w:val="%4)"/>
      <w:lvlJc w:val="left"/>
      <w:pPr>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3">
    <w:nsid w:val="37951275"/>
    <w:multiLevelType w:val="multilevel"/>
    <w:tmpl w:val="37951275"/>
    <w:lvl w:ilvl="0" w:tentative="0">
      <w:start w:val="1"/>
      <w:numFmt w:val="decimal"/>
      <w:lvlText w:val="%1"/>
      <w:lvlJc w:val="left"/>
      <w:pPr>
        <w:tabs>
          <w:tab w:val="left" w:pos="420"/>
        </w:tabs>
        <w:ind w:left="420" w:hanging="420"/>
      </w:pPr>
    </w:lvl>
    <w:lvl w:ilvl="1" w:tentative="0">
      <w:start w:val="1"/>
      <w:numFmt w:val="decimalZero"/>
      <w:pStyle w:val="562"/>
      <w:lvlText w:val="%1.%2"/>
      <w:lvlJc w:val="left"/>
      <w:pPr>
        <w:tabs>
          <w:tab w:val="left" w:pos="420"/>
        </w:tabs>
        <w:ind w:left="420" w:hanging="420"/>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720"/>
        </w:tabs>
        <w:ind w:left="720" w:hanging="720"/>
      </w:pPr>
    </w:lvl>
    <w:lvl w:ilvl="4" w:tentative="0">
      <w:start w:val="1"/>
      <w:numFmt w:val="decimal"/>
      <w:lvlText w:val="%1.%2.%3.%4.%5"/>
      <w:lvlJc w:val="left"/>
      <w:pPr>
        <w:tabs>
          <w:tab w:val="left" w:pos="1080"/>
        </w:tabs>
        <w:ind w:left="1080" w:hanging="1080"/>
      </w:pPr>
    </w:lvl>
    <w:lvl w:ilvl="5" w:tentative="0">
      <w:start w:val="1"/>
      <w:numFmt w:val="decimal"/>
      <w:lvlText w:val="%1.%2.%3.%4.%5.%6"/>
      <w:lvlJc w:val="left"/>
      <w:pPr>
        <w:tabs>
          <w:tab w:val="left" w:pos="108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44">
    <w:nsid w:val="38F67A9F"/>
    <w:multiLevelType w:val="multilevel"/>
    <w:tmpl w:val="38F67A9F"/>
    <w:lvl w:ilvl="0" w:tentative="0">
      <w:start w:val="1"/>
      <w:numFmt w:val="decimal"/>
      <w:lvlText w:val="%1."/>
      <w:lvlJc w:val="left"/>
      <w:pPr>
        <w:ind w:left="1807" w:hanging="360"/>
      </w:pPr>
      <w:rPr>
        <w:rFonts w:hint="default"/>
      </w:rPr>
    </w:lvl>
    <w:lvl w:ilvl="1" w:tentative="0">
      <w:start w:val="1"/>
      <w:numFmt w:val="lowerLetter"/>
      <w:lvlText w:val="%2."/>
      <w:lvlJc w:val="left"/>
      <w:pPr>
        <w:ind w:left="2527" w:hanging="360"/>
      </w:pPr>
    </w:lvl>
    <w:lvl w:ilvl="2" w:tentative="0">
      <w:start w:val="1"/>
      <w:numFmt w:val="lowerRoman"/>
      <w:lvlText w:val="%3."/>
      <w:lvlJc w:val="right"/>
      <w:pPr>
        <w:ind w:left="3247" w:hanging="180"/>
      </w:pPr>
    </w:lvl>
    <w:lvl w:ilvl="3" w:tentative="0">
      <w:start w:val="1"/>
      <w:numFmt w:val="decimal"/>
      <w:lvlText w:val="%4."/>
      <w:lvlJc w:val="left"/>
      <w:pPr>
        <w:ind w:left="3967" w:hanging="360"/>
      </w:pPr>
    </w:lvl>
    <w:lvl w:ilvl="4" w:tentative="0">
      <w:start w:val="1"/>
      <w:numFmt w:val="lowerLetter"/>
      <w:lvlText w:val="%5."/>
      <w:lvlJc w:val="left"/>
      <w:pPr>
        <w:ind w:left="4687" w:hanging="360"/>
      </w:pPr>
    </w:lvl>
    <w:lvl w:ilvl="5" w:tentative="0">
      <w:start w:val="1"/>
      <w:numFmt w:val="lowerRoman"/>
      <w:lvlText w:val="%6."/>
      <w:lvlJc w:val="right"/>
      <w:pPr>
        <w:ind w:left="5407" w:hanging="180"/>
      </w:pPr>
    </w:lvl>
    <w:lvl w:ilvl="6" w:tentative="0">
      <w:start w:val="1"/>
      <w:numFmt w:val="decimal"/>
      <w:lvlText w:val="%7."/>
      <w:lvlJc w:val="left"/>
      <w:pPr>
        <w:ind w:left="6127" w:hanging="360"/>
      </w:pPr>
    </w:lvl>
    <w:lvl w:ilvl="7" w:tentative="0">
      <w:start w:val="1"/>
      <w:numFmt w:val="lowerLetter"/>
      <w:lvlText w:val="%8."/>
      <w:lvlJc w:val="left"/>
      <w:pPr>
        <w:ind w:left="6847" w:hanging="360"/>
      </w:pPr>
    </w:lvl>
    <w:lvl w:ilvl="8" w:tentative="0">
      <w:start w:val="1"/>
      <w:numFmt w:val="lowerRoman"/>
      <w:lvlText w:val="%9."/>
      <w:lvlJc w:val="right"/>
      <w:pPr>
        <w:ind w:left="7567" w:hanging="180"/>
      </w:pPr>
    </w:lvl>
  </w:abstractNum>
  <w:abstractNum w:abstractNumId="45">
    <w:nsid w:val="39AC2CF3"/>
    <w:multiLevelType w:val="multilevel"/>
    <w:tmpl w:val="39AC2CF3"/>
    <w:lvl w:ilvl="0" w:tentative="0">
      <w:start w:val="1"/>
      <w:numFmt w:val="lowerLetter"/>
      <w:lvlText w:val="%1)"/>
      <w:lvlJc w:val="left"/>
      <w:pPr>
        <w:ind w:left="1683" w:hanging="720"/>
      </w:pPr>
      <w:rPr>
        <w:rFonts w:hint="default"/>
      </w:rPr>
    </w:lvl>
    <w:lvl w:ilvl="1" w:tentative="0">
      <w:start w:val="1"/>
      <w:numFmt w:val="lowerLetter"/>
      <w:lvlText w:val="%2."/>
      <w:lvlJc w:val="left"/>
      <w:pPr>
        <w:ind w:left="2043" w:hanging="360"/>
      </w:pPr>
    </w:lvl>
    <w:lvl w:ilvl="2" w:tentative="0">
      <w:start w:val="1"/>
      <w:numFmt w:val="lowerRoman"/>
      <w:lvlText w:val="%3."/>
      <w:lvlJc w:val="right"/>
      <w:pPr>
        <w:ind w:left="2763" w:hanging="180"/>
      </w:pPr>
    </w:lvl>
    <w:lvl w:ilvl="3" w:tentative="0">
      <w:start w:val="1"/>
      <w:numFmt w:val="decimal"/>
      <w:lvlText w:val="%4."/>
      <w:lvlJc w:val="left"/>
      <w:pPr>
        <w:ind w:left="3483" w:hanging="360"/>
      </w:pPr>
    </w:lvl>
    <w:lvl w:ilvl="4" w:tentative="0">
      <w:start w:val="1"/>
      <w:numFmt w:val="lowerLetter"/>
      <w:lvlText w:val="%5."/>
      <w:lvlJc w:val="left"/>
      <w:pPr>
        <w:ind w:left="4203" w:hanging="360"/>
      </w:pPr>
    </w:lvl>
    <w:lvl w:ilvl="5" w:tentative="0">
      <w:start w:val="1"/>
      <w:numFmt w:val="lowerRoman"/>
      <w:lvlText w:val="%6."/>
      <w:lvlJc w:val="right"/>
      <w:pPr>
        <w:ind w:left="4923" w:hanging="180"/>
      </w:pPr>
    </w:lvl>
    <w:lvl w:ilvl="6" w:tentative="0">
      <w:start w:val="1"/>
      <w:numFmt w:val="decimal"/>
      <w:lvlText w:val="%7."/>
      <w:lvlJc w:val="left"/>
      <w:pPr>
        <w:ind w:left="5643" w:hanging="360"/>
      </w:pPr>
    </w:lvl>
    <w:lvl w:ilvl="7" w:tentative="0">
      <w:start w:val="1"/>
      <w:numFmt w:val="lowerLetter"/>
      <w:lvlText w:val="%8."/>
      <w:lvlJc w:val="left"/>
      <w:pPr>
        <w:ind w:left="6363" w:hanging="360"/>
      </w:pPr>
    </w:lvl>
    <w:lvl w:ilvl="8" w:tentative="0">
      <w:start w:val="1"/>
      <w:numFmt w:val="lowerRoman"/>
      <w:lvlText w:val="%9."/>
      <w:lvlJc w:val="right"/>
      <w:pPr>
        <w:ind w:left="7083" w:hanging="180"/>
      </w:pPr>
    </w:lvl>
  </w:abstractNum>
  <w:abstractNum w:abstractNumId="46">
    <w:nsid w:val="3A482CBA"/>
    <w:multiLevelType w:val="multilevel"/>
    <w:tmpl w:val="3A482CBA"/>
    <w:lvl w:ilvl="0" w:tentative="0">
      <w:start w:val="1"/>
      <w:numFmt w:val="lowerLetter"/>
      <w:lvlText w:val="%1)"/>
      <w:lvlJc w:val="left"/>
      <w:pPr>
        <w:ind w:left="792" w:hanging="360"/>
      </w:pPr>
      <w:rPr>
        <w:rFonts w:hint="default"/>
      </w:rPr>
    </w:lvl>
    <w:lvl w:ilvl="1" w:tentative="0">
      <w:start w:val="1"/>
      <w:numFmt w:val="lowerLetter"/>
      <w:lvlText w:val="%2."/>
      <w:lvlJc w:val="left"/>
      <w:pPr>
        <w:ind w:left="1512" w:hanging="360"/>
      </w:pPr>
    </w:lvl>
    <w:lvl w:ilvl="2" w:tentative="0">
      <w:start w:val="1"/>
      <w:numFmt w:val="lowerRoman"/>
      <w:lvlText w:val="%3."/>
      <w:lvlJc w:val="right"/>
      <w:pPr>
        <w:ind w:left="2232" w:hanging="180"/>
      </w:pPr>
    </w:lvl>
    <w:lvl w:ilvl="3" w:tentative="0">
      <w:start w:val="1"/>
      <w:numFmt w:val="decimal"/>
      <w:lvlText w:val="%4."/>
      <w:lvlJc w:val="left"/>
      <w:pPr>
        <w:ind w:left="2952" w:hanging="360"/>
      </w:pPr>
    </w:lvl>
    <w:lvl w:ilvl="4" w:tentative="0">
      <w:start w:val="1"/>
      <w:numFmt w:val="lowerLetter"/>
      <w:lvlText w:val="%5."/>
      <w:lvlJc w:val="left"/>
      <w:pPr>
        <w:ind w:left="3672" w:hanging="360"/>
      </w:pPr>
    </w:lvl>
    <w:lvl w:ilvl="5" w:tentative="0">
      <w:start w:val="1"/>
      <w:numFmt w:val="lowerRoman"/>
      <w:lvlText w:val="%6."/>
      <w:lvlJc w:val="right"/>
      <w:pPr>
        <w:ind w:left="4392" w:hanging="180"/>
      </w:pPr>
    </w:lvl>
    <w:lvl w:ilvl="6" w:tentative="0">
      <w:start w:val="1"/>
      <w:numFmt w:val="decimal"/>
      <w:lvlText w:val="%7."/>
      <w:lvlJc w:val="left"/>
      <w:pPr>
        <w:ind w:left="5112" w:hanging="360"/>
      </w:pPr>
    </w:lvl>
    <w:lvl w:ilvl="7" w:tentative="0">
      <w:start w:val="1"/>
      <w:numFmt w:val="lowerLetter"/>
      <w:lvlText w:val="%8."/>
      <w:lvlJc w:val="left"/>
      <w:pPr>
        <w:ind w:left="5832" w:hanging="360"/>
      </w:pPr>
    </w:lvl>
    <w:lvl w:ilvl="8" w:tentative="0">
      <w:start w:val="1"/>
      <w:numFmt w:val="lowerRoman"/>
      <w:lvlText w:val="%9."/>
      <w:lvlJc w:val="right"/>
      <w:pPr>
        <w:ind w:left="6552" w:hanging="180"/>
      </w:pPr>
    </w:lvl>
  </w:abstractNum>
  <w:abstractNum w:abstractNumId="47">
    <w:nsid w:val="3E730898"/>
    <w:multiLevelType w:val="multilevel"/>
    <w:tmpl w:val="3E730898"/>
    <w:lvl w:ilvl="0" w:tentative="0">
      <w:start w:val="1"/>
      <w:numFmt w:val="decimal"/>
      <w:pStyle w:val="592"/>
      <w:lvlText w:val="%1."/>
      <w:lvlJc w:val="left"/>
      <w:pPr>
        <w:tabs>
          <w:tab w:val="left" w:pos="360"/>
        </w:tabs>
        <w:ind w:left="360" w:hanging="360"/>
      </w:pPr>
    </w:lvl>
    <w:lvl w:ilvl="1" w:tentative="0">
      <w:start w:val="1"/>
      <w:numFmt w:val="decimal"/>
      <w:lvlText w:val="%1.%2"/>
      <w:lvlJc w:val="left"/>
      <w:pPr>
        <w:tabs>
          <w:tab w:val="left" w:pos="360"/>
        </w:tabs>
        <w:ind w:left="360" w:hanging="360"/>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1080"/>
        </w:tabs>
        <w:ind w:left="1080" w:hanging="1080"/>
      </w:pPr>
    </w:lvl>
    <w:lvl w:ilvl="4" w:tentative="0">
      <w:start w:val="1"/>
      <w:numFmt w:val="decimal"/>
      <w:lvlText w:val="%1.%2.%3.%4.%5"/>
      <w:lvlJc w:val="left"/>
      <w:pPr>
        <w:tabs>
          <w:tab w:val="left" w:pos="1080"/>
        </w:tabs>
        <w:ind w:left="1080" w:hanging="1080"/>
      </w:pPr>
    </w:lvl>
    <w:lvl w:ilvl="5" w:tentative="0">
      <w:start w:val="1"/>
      <w:numFmt w:val="decimal"/>
      <w:lvlText w:val="%1.%2.%3.%4.%5.%6"/>
      <w:lvlJc w:val="left"/>
      <w:pPr>
        <w:tabs>
          <w:tab w:val="left" w:pos="1440"/>
        </w:tabs>
        <w:ind w:left="1440" w:hanging="144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800"/>
        </w:tabs>
        <w:ind w:left="1800" w:hanging="1800"/>
      </w:pPr>
    </w:lvl>
    <w:lvl w:ilvl="8" w:tentative="0">
      <w:start w:val="1"/>
      <w:numFmt w:val="decimal"/>
      <w:lvlText w:val="%1.%2.%3.%4.%5.%6.%7.%8.%9"/>
      <w:lvlJc w:val="left"/>
      <w:pPr>
        <w:tabs>
          <w:tab w:val="left" w:pos="2160"/>
        </w:tabs>
        <w:ind w:left="2160" w:hanging="2160"/>
      </w:pPr>
    </w:lvl>
  </w:abstractNum>
  <w:abstractNum w:abstractNumId="48">
    <w:nsid w:val="3ED10A5F"/>
    <w:multiLevelType w:val="multilevel"/>
    <w:tmpl w:val="3ED10A5F"/>
    <w:lvl w:ilvl="0" w:tentative="0">
      <w:start w:val="1"/>
      <w:numFmt w:val="decimal"/>
      <w:isLgl/>
      <w:lvlText w:val="%1."/>
      <w:lvlJc w:val="left"/>
      <w:pPr>
        <w:tabs>
          <w:tab w:val="left" w:pos="576"/>
        </w:tabs>
        <w:ind w:left="432" w:hanging="432"/>
      </w:pPr>
      <w:rPr>
        <w:rFonts w:hint="default"/>
        <w:b/>
        <w:i w:val="0"/>
        <w:sz w:val="24"/>
      </w:rPr>
    </w:lvl>
    <w:lvl w:ilvl="1" w:tentative="0">
      <w:start w:val="1"/>
      <w:numFmt w:val="decimal"/>
      <w:lvlText w:val="%1.%2"/>
      <w:lvlJc w:val="left"/>
      <w:pPr>
        <w:tabs>
          <w:tab w:val="left" w:pos="504"/>
        </w:tabs>
        <w:ind w:left="504" w:hanging="504"/>
      </w:pPr>
      <w:rPr>
        <w:rFonts w:hint="default" w:ascii="Times New Roman" w:hAnsi="Times New Roman"/>
        <w:b w:val="0"/>
        <w:i w:val="0"/>
        <w:sz w:val="24"/>
      </w:rPr>
    </w:lvl>
    <w:lvl w:ilvl="2" w:tentative="0">
      <w:start w:val="1"/>
      <w:numFmt w:val="lowerLetter"/>
      <w:lvlText w:val="(%3)"/>
      <w:lvlJc w:val="left"/>
      <w:pPr>
        <w:tabs>
          <w:tab w:val="left" w:pos="864"/>
        </w:tabs>
        <w:ind w:left="432" w:firstLine="144"/>
      </w:pPr>
      <w:rPr>
        <w:rFonts w:hint="default" w:ascii="Times New Roman" w:hAnsi="Times New Roman"/>
        <w:b w:val="0"/>
        <w:i w:val="0"/>
        <w:sz w:val="24"/>
      </w:rPr>
    </w:lvl>
    <w:lvl w:ilvl="3" w:tentative="0">
      <w:start w:val="1"/>
      <w:numFmt w:val="lowerRoman"/>
      <w:lvlText w:val="(%4)"/>
      <w:lvlJc w:val="left"/>
      <w:pPr>
        <w:tabs>
          <w:tab w:val="left" w:pos="1512"/>
        </w:tabs>
        <w:ind w:left="1512" w:hanging="648"/>
      </w:pPr>
      <w:rPr>
        <w:rFonts w:hint="default" w:ascii="Times New Roman" w:hAnsi="Times New Roman"/>
        <w:b w:val="0"/>
        <w:i w:val="0"/>
        <w:sz w:val="24"/>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9">
    <w:nsid w:val="417C747B"/>
    <w:multiLevelType w:val="multilevel"/>
    <w:tmpl w:val="417C747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0">
    <w:nsid w:val="44A7719B"/>
    <w:multiLevelType w:val="multilevel"/>
    <w:tmpl w:val="44A7719B"/>
    <w:lvl w:ilvl="0" w:tentative="0">
      <w:start w:val="1"/>
      <w:numFmt w:val="lowerLetter"/>
      <w:lvlText w:val="(%1)"/>
      <w:lvlJc w:val="left"/>
      <w:pPr>
        <w:ind w:left="1224" w:hanging="360"/>
      </w:pPr>
      <w:rPr>
        <w:rFonts w:hint="default"/>
      </w:rPr>
    </w:lvl>
    <w:lvl w:ilvl="1" w:tentative="0">
      <w:start w:val="1"/>
      <w:numFmt w:val="lowerLetter"/>
      <w:lvlText w:val="%2."/>
      <w:lvlJc w:val="left"/>
      <w:pPr>
        <w:ind w:left="1944" w:hanging="360"/>
      </w:pPr>
    </w:lvl>
    <w:lvl w:ilvl="2" w:tentative="0">
      <w:start w:val="1"/>
      <w:numFmt w:val="lowerRoman"/>
      <w:lvlText w:val="%3."/>
      <w:lvlJc w:val="right"/>
      <w:pPr>
        <w:ind w:left="2664" w:hanging="180"/>
      </w:pPr>
    </w:lvl>
    <w:lvl w:ilvl="3" w:tentative="0">
      <w:start w:val="1"/>
      <w:numFmt w:val="decimal"/>
      <w:lvlText w:val="%4."/>
      <w:lvlJc w:val="left"/>
      <w:pPr>
        <w:ind w:left="3384" w:hanging="360"/>
      </w:pPr>
    </w:lvl>
    <w:lvl w:ilvl="4" w:tentative="0">
      <w:start w:val="1"/>
      <w:numFmt w:val="lowerLetter"/>
      <w:lvlText w:val="%5."/>
      <w:lvlJc w:val="left"/>
      <w:pPr>
        <w:ind w:left="4104" w:hanging="360"/>
      </w:pPr>
    </w:lvl>
    <w:lvl w:ilvl="5" w:tentative="0">
      <w:start w:val="1"/>
      <w:numFmt w:val="lowerRoman"/>
      <w:lvlText w:val="%6."/>
      <w:lvlJc w:val="right"/>
      <w:pPr>
        <w:ind w:left="4824" w:hanging="180"/>
      </w:pPr>
    </w:lvl>
    <w:lvl w:ilvl="6" w:tentative="0">
      <w:start w:val="1"/>
      <w:numFmt w:val="decimal"/>
      <w:lvlText w:val="%7."/>
      <w:lvlJc w:val="left"/>
      <w:pPr>
        <w:ind w:left="5544" w:hanging="360"/>
      </w:pPr>
    </w:lvl>
    <w:lvl w:ilvl="7" w:tentative="0">
      <w:start w:val="1"/>
      <w:numFmt w:val="lowerLetter"/>
      <w:lvlText w:val="%8."/>
      <w:lvlJc w:val="left"/>
      <w:pPr>
        <w:ind w:left="6264" w:hanging="360"/>
      </w:pPr>
    </w:lvl>
    <w:lvl w:ilvl="8" w:tentative="0">
      <w:start w:val="1"/>
      <w:numFmt w:val="lowerRoman"/>
      <w:lvlText w:val="%9."/>
      <w:lvlJc w:val="right"/>
      <w:pPr>
        <w:ind w:left="6984" w:hanging="180"/>
      </w:pPr>
    </w:lvl>
  </w:abstractNum>
  <w:abstractNum w:abstractNumId="51">
    <w:nsid w:val="45AA4B44"/>
    <w:multiLevelType w:val="multilevel"/>
    <w:tmpl w:val="45AA4B44"/>
    <w:lvl w:ilvl="0" w:tentative="0">
      <w:start w:val="1"/>
      <w:numFmt w:val="lowerRoman"/>
      <w:lvlText w:val="(%1)"/>
      <w:lvlJc w:val="left"/>
      <w:pPr>
        <w:ind w:left="1323" w:hanging="360"/>
      </w:pPr>
      <w:rPr>
        <w:rFonts w:hint="default"/>
        <w:color w:val="auto"/>
        <w:sz w:val="26"/>
      </w:rPr>
    </w:lvl>
    <w:lvl w:ilvl="1" w:tentative="0">
      <w:start w:val="1"/>
      <w:numFmt w:val="lowerLetter"/>
      <w:lvlText w:val="%2."/>
      <w:lvlJc w:val="left"/>
      <w:pPr>
        <w:ind w:left="2043" w:hanging="360"/>
      </w:pPr>
    </w:lvl>
    <w:lvl w:ilvl="2" w:tentative="0">
      <w:start w:val="1"/>
      <w:numFmt w:val="lowerRoman"/>
      <w:lvlText w:val="%3."/>
      <w:lvlJc w:val="right"/>
      <w:pPr>
        <w:ind w:left="2763" w:hanging="180"/>
      </w:pPr>
    </w:lvl>
    <w:lvl w:ilvl="3" w:tentative="0">
      <w:start w:val="1"/>
      <w:numFmt w:val="decimal"/>
      <w:lvlText w:val="%4."/>
      <w:lvlJc w:val="left"/>
      <w:pPr>
        <w:ind w:left="3483" w:hanging="360"/>
      </w:pPr>
    </w:lvl>
    <w:lvl w:ilvl="4" w:tentative="0">
      <w:start w:val="1"/>
      <w:numFmt w:val="lowerLetter"/>
      <w:lvlText w:val="%5."/>
      <w:lvlJc w:val="left"/>
      <w:pPr>
        <w:ind w:left="4203" w:hanging="360"/>
      </w:pPr>
    </w:lvl>
    <w:lvl w:ilvl="5" w:tentative="0">
      <w:start w:val="1"/>
      <w:numFmt w:val="lowerRoman"/>
      <w:lvlText w:val="%6."/>
      <w:lvlJc w:val="right"/>
      <w:pPr>
        <w:ind w:left="4923" w:hanging="180"/>
      </w:pPr>
    </w:lvl>
    <w:lvl w:ilvl="6" w:tentative="0">
      <w:start w:val="1"/>
      <w:numFmt w:val="decimal"/>
      <w:lvlText w:val="%7."/>
      <w:lvlJc w:val="left"/>
      <w:pPr>
        <w:ind w:left="5643" w:hanging="360"/>
      </w:pPr>
    </w:lvl>
    <w:lvl w:ilvl="7" w:tentative="0">
      <w:start w:val="1"/>
      <w:numFmt w:val="lowerLetter"/>
      <w:lvlText w:val="%8."/>
      <w:lvlJc w:val="left"/>
      <w:pPr>
        <w:ind w:left="6363" w:hanging="360"/>
      </w:pPr>
    </w:lvl>
    <w:lvl w:ilvl="8" w:tentative="0">
      <w:start w:val="1"/>
      <w:numFmt w:val="lowerRoman"/>
      <w:lvlText w:val="%9."/>
      <w:lvlJc w:val="right"/>
      <w:pPr>
        <w:ind w:left="7083" w:hanging="180"/>
      </w:pPr>
    </w:lvl>
  </w:abstractNum>
  <w:abstractNum w:abstractNumId="52">
    <w:nsid w:val="468365A3"/>
    <w:multiLevelType w:val="multilevel"/>
    <w:tmpl w:val="468365A3"/>
    <w:lvl w:ilvl="0" w:tentative="0">
      <w:start w:val="1"/>
      <w:numFmt w:val="lowerRoman"/>
      <w:lvlText w:val="(%1)"/>
      <w:lvlJc w:val="left"/>
      <w:pPr>
        <w:ind w:left="1322" w:hanging="720"/>
      </w:pPr>
      <w:rPr>
        <w:rFonts w:hint="default" w:eastAsia="Times New Roman"/>
      </w:rPr>
    </w:lvl>
    <w:lvl w:ilvl="1" w:tentative="0">
      <w:start w:val="1"/>
      <w:numFmt w:val="lowerLetter"/>
      <w:lvlText w:val="%2."/>
      <w:lvlJc w:val="left"/>
      <w:pPr>
        <w:ind w:left="1682" w:hanging="360"/>
      </w:pPr>
    </w:lvl>
    <w:lvl w:ilvl="2" w:tentative="0">
      <w:start w:val="1"/>
      <w:numFmt w:val="lowerRoman"/>
      <w:lvlText w:val="%3."/>
      <w:lvlJc w:val="right"/>
      <w:pPr>
        <w:ind w:left="2402" w:hanging="180"/>
      </w:pPr>
    </w:lvl>
    <w:lvl w:ilvl="3" w:tentative="0">
      <w:start w:val="1"/>
      <w:numFmt w:val="decimal"/>
      <w:lvlText w:val="%4."/>
      <w:lvlJc w:val="left"/>
      <w:pPr>
        <w:ind w:left="3122" w:hanging="360"/>
      </w:pPr>
    </w:lvl>
    <w:lvl w:ilvl="4" w:tentative="0">
      <w:start w:val="1"/>
      <w:numFmt w:val="lowerLetter"/>
      <w:lvlText w:val="%5."/>
      <w:lvlJc w:val="left"/>
      <w:pPr>
        <w:ind w:left="3842" w:hanging="360"/>
      </w:pPr>
    </w:lvl>
    <w:lvl w:ilvl="5" w:tentative="0">
      <w:start w:val="1"/>
      <w:numFmt w:val="lowerRoman"/>
      <w:lvlText w:val="%6."/>
      <w:lvlJc w:val="right"/>
      <w:pPr>
        <w:ind w:left="4562" w:hanging="180"/>
      </w:pPr>
    </w:lvl>
    <w:lvl w:ilvl="6" w:tentative="0">
      <w:start w:val="1"/>
      <w:numFmt w:val="decimal"/>
      <w:lvlText w:val="%7."/>
      <w:lvlJc w:val="left"/>
      <w:pPr>
        <w:ind w:left="5282" w:hanging="360"/>
      </w:pPr>
    </w:lvl>
    <w:lvl w:ilvl="7" w:tentative="0">
      <w:start w:val="1"/>
      <w:numFmt w:val="lowerLetter"/>
      <w:lvlText w:val="%8."/>
      <w:lvlJc w:val="left"/>
      <w:pPr>
        <w:ind w:left="6002" w:hanging="360"/>
      </w:pPr>
    </w:lvl>
    <w:lvl w:ilvl="8" w:tentative="0">
      <w:start w:val="1"/>
      <w:numFmt w:val="lowerRoman"/>
      <w:lvlText w:val="%9."/>
      <w:lvlJc w:val="right"/>
      <w:pPr>
        <w:ind w:left="6722" w:hanging="180"/>
      </w:pPr>
    </w:lvl>
  </w:abstractNum>
  <w:abstractNum w:abstractNumId="53">
    <w:nsid w:val="46A26E07"/>
    <w:multiLevelType w:val="multilevel"/>
    <w:tmpl w:val="46A26E07"/>
    <w:lvl w:ilvl="0" w:tentative="0">
      <w:start w:val="0"/>
      <w:numFmt w:val="bullet"/>
      <w:lvlText w:val="-"/>
      <w:lvlJc w:val="left"/>
      <w:pPr>
        <w:ind w:left="360" w:hanging="360"/>
      </w:pPr>
      <w:rPr>
        <w:rFonts w:hint="default" w:ascii="Times New Roman" w:hAnsi="Times New Roman" w:eastAsia="Calibri"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4">
    <w:nsid w:val="46C6584C"/>
    <w:multiLevelType w:val="multilevel"/>
    <w:tmpl w:val="46C6584C"/>
    <w:lvl w:ilvl="0" w:tentative="0">
      <w:start w:val="1"/>
      <w:numFmt w:val="decimal"/>
      <w:lvlText w:val="%1."/>
      <w:lvlJc w:val="left"/>
      <w:pPr>
        <w:tabs>
          <w:tab w:val="left" w:pos="720"/>
        </w:tabs>
        <w:ind w:left="720" w:hanging="360"/>
      </w:pPr>
    </w:lvl>
    <w:lvl w:ilvl="1" w:tentative="0">
      <w:start w:val="1"/>
      <w:numFmt w:val="lowerRoman"/>
      <w:lvlText w:val="(%2)"/>
      <w:lvlJc w:val="left"/>
      <w:pPr>
        <w:tabs>
          <w:tab w:val="left" w:pos="1800"/>
        </w:tabs>
        <w:ind w:left="1800" w:hanging="720"/>
      </w:pPr>
      <w:rPr>
        <w:rFonts w:hint="default"/>
        <w:color w:val="auto"/>
      </w:rPr>
    </w:lvl>
    <w:lvl w:ilvl="2" w:tentative="0">
      <w:start w:val="0"/>
      <w:numFmt w:val="bullet"/>
      <w:lvlText w:val="-"/>
      <w:lvlJc w:val="left"/>
      <w:pPr>
        <w:tabs>
          <w:tab w:val="left" w:pos="2340"/>
        </w:tabs>
        <w:ind w:left="2340" w:hanging="360"/>
      </w:pPr>
      <w:rPr>
        <w:rFonts w:hint="default" w:ascii="Times New Roman" w:hAnsi="Times New Roman" w:eastAsia="Calibri" w:cs="Times New Roman"/>
      </w:r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5">
    <w:nsid w:val="49365325"/>
    <w:multiLevelType w:val="multilevel"/>
    <w:tmpl w:val="49365325"/>
    <w:lvl w:ilvl="0" w:tentative="0">
      <w:start w:val="1"/>
      <w:numFmt w:val="lowerLetter"/>
      <w:lvlText w:val="%1)"/>
      <w:lvlJc w:val="left"/>
      <w:pPr>
        <w:ind w:left="1807" w:hanging="360"/>
      </w:pPr>
      <w:rPr>
        <w:rFonts w:hint="default"/>
      </w:rPr>
    </w:lvl>
    <w:lvl w:ilvl="1" w:tentative="0">
      <w:start w:val="1"/>
      <w:numFmt w:val="lowerLetter"/>
      <w:lvlText w:val="%2."/>
      <w:lvlJc w:val="left"/>
      <w:pPr>
        <w:ind w:left="2527" w:hanging="360"/>
      </w:pPr>
    </w:lvl>
    <w:lvl w:ilvl="2" w:tentative="0">
      <w:start w:val="1"/>
      <w:numFmt w:val="lowerRoman"/>
      <w:lvlText w:val="%3."/>
      <w:lvlJc w:val="right"/>
      <w:pPr>
        <w:ind w:left="3247" w:hanging="180"/>
      </w:pPr>
    </w:lvl>
    <w:lvl w:ilvl="3" w:tentative="0">
      <w:start w:val="1"/>
      <w:numFmt w:val="decimal"/>
      <w:lvlText w:val="%4."/>
      <w:lvlJc w:val="left"/>
      <w:pPr>
        <w:ind w:left="3967" w:hanging="360"/>
      </w:pPr>
    </w:lvl>
    <w:lvl w:ilvl="4" w:tentative="0">
      <w:start w:val="1"/>
      <w:numFmt w:val="lowerLetter"/>
      <w:lvlText w:val="%5."/>
      <w:lvlJc w:val="left"/>
      <w:pPr>
        <w:ind w:left="4687" w:hanging="360"/>
      </w:pPr>
    </w:lvl>
    <w:lvl w:ilvl="5" w:tentative="0">
      <w:start w:val="1"/>
      <w:numFmt w:val="lowerRoman"/>
      <w:lvlText w:val="%6."/>
      <w:lvlJc w:val="right"/>
      <w:pPr>
        <w:ind w:left="5407" w:hanging="180"/>
      </w:pPr>
    </w:lvl>
    <w:lvl w:ilvl="6" w:tentative="0">
      <w:start w:val="1"/>
      <w:numFmt w:val="decimal"/>
      <w:lvlText w:val="%7."/>
      <w:lvlJc w:val="left"/>
      <w:pPr>
        <w:ind w:left="6127" w:hanging="360"/>
      </w:pPr>
    </w:lvl>
    <w:lvl w:ilvl="7" w:tentative="0">
      <w:start w:val="1"/>
      <w:numFmt w:val="lowerLetter"/>
      <w:lvlText w:val="%8."/>
      <w:lvlJc w:val="left"/>
      <w:pPr>
        <w:ind w:left="6847" w:hanging="360"/>
      </w:pPr>
    </w:lvl>
    <w:lvl w:ilvl="8" w:tentative="0">
      <w:start w:val="1"/>
      <w:numFmt w:val="lowerRoman"/>
      <w:lvlText w:val="%9."/>
      <w:lvlJc w:val="right"/>
      <w:pPr>
        <w:ind w:left="7567" w:hanging="180"/>
      </w:pPr>
    </w:lvl>
  </w:abstractNum>
  <w:abstractNum w:abstractNumId="56">
    <w:nsid w:val="4D895930"/>
    <w:multiLevelType w:val="multilevel"/>
    <w:tmpl w:val="4D895930"/>
    <w:lvl w:ilvl="0" w:tentative="0">
      <w:start w:val="7"/>
      <w:numFmt w:val="decimal"/>
      <w:lvlText w:val="(%1)"/>
      <w:lvlJc w:val="left"/>
      <w:pPr>
        <w:ind w:left="2907" w:hanging="360"/>
      </w:pPr>
      <w:rPr>
        <w:rFonts w:hint="default"/>
      </w:rPr>
    </w:lvl>
    <w:lvl w:ilvl="1" w:tentative="0">
      <w:start w:val="1"/>
      <w:numFmt w:val="lowerLetter"/>
      <w:lvlText w:val="%2."/>
      <w:lvlJc w:val="left"/>
      <w:pPr>
        <w:ind w:left="3627" w:hanging="360"/>
      </w:pPr>
    </w:lvl>
    <w:lvl w:ilvl="2" w:tentative="0">
      <w:start w:val="1"/>
      <w:numFmt w:val="lowerRoman"/>
      <w:lvlText w:val="%3."/>
      <w:lvlJc w:val="right"/>
      <w:pPr>
        <w:ind w:left="4347" w:hanging="180"/>
      </w:pPr>
    </w:lvl>
    <w:lvl w:ilvl="3" w:tentative="0">
      <w:start w:val="1"/>
      <w:numFmt w:val="decimal"/>
      <w:lvlText w:val="%4."/>
      <w:lvlJc w:val="left"/>
      <w:pPr>
        <w:ind w:left="5067" w:hanging="360"/>
      </w:pPr>
    </w:lvl>
    <w:lvl w:ilvl="4" w:tentative="0">
      <w:start w:val="1"/>
      <w:numFmt w:val="lowerLetter"/>
      <w:lvlText w:val="%5."/>
      <w:lvlJc w:val="left"/>
      <w:pPr>
        <w:ind w:left="5787" w:hanging="360"/>
      </w:pPr>
    </w:lvl>
    <w:lvl w:ilvl="5" w:tentative="0">
      <w:start w:val="1"/>
      <w:numFmt w:val="lowerRoman"/>
      <w:lvlText w:val="%6."/>
      <w:lvlJc w:val="right"/>
      <w:pPr>
        <w:ind w:left="6507" w:hanging="180"/>
      </w:pPr>
    </w:lvl>
    <w:lvl w:ilvl="6" w:tentative="0">
      <w:start w:val="1"/>
      <w:numFmt w:val="decimal"/>
      <w:lvlText w:val="%7."/>
      <w:lvlJc w:val="left"/>
      <w:pPr>
        <w:ind w:left="7227" w:hanging="360"/>
      </w:pPr>
    </w:lvl>
    <w:lvl w:ilvl="7" w:tentative="0">
      <w:start w:val="1"/>
      <w:numFmt w:val="lowerLetter"/>
      <w:lvlText w:val="%8."/>
      <w:lvlJc w:val="left"/>
      <w:pPr>
        <w:ind w:left="7947" w:hanging="360"/>
      </w:pPr>
    </w:lvl>
    <w:lvl w:ilvl="8" w:tentative="0">
      <w:start w:val="1"/>
      <w:numFmt w:val="lowerRoman"/>
      <w:lvlText w:val="%9."/>
      <w:lvlJc w:val="right"/>
      <w:pPr>
        <w:ind w:left="8667" w:hanging="180"/>
      </w:pPr>
    </w:lvl>
  </w:abstractNum>
  <w:abstractNum w:abstractNumId="57">
    <w:nsid w:val="4DA97FE8"/>
    <w:multiLevelType w:val="multilevel"/>
    <w:tmpl w:val="4DA97FE8"/>
    <w:lvl w:ilvl="0" w:tentative="0">
      <w:start w:val="1"/>
      <w:numFmt w:val="decimal"/>
      <w:lvlText w:val="%1."/>
      <w:lvlJc w:val="left"/>
      <w:pPr>
        <w:ind w:left="927" w:hanging="360"/>
      </w:pPr>
      <w:rPr>
        <w:rFonts w:hint="default"/>
        <w:b w:val="0"/>
        <w:i w:val="0"/>
      </w:r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58">
    <w:nsid w:val="4EE26C02"/>
    <w:multiLevelType w:val="multilevel"/>
    <w:tmpl w:val="4EE26C02"/>
    <w:lvl w:ilvl="0" w:tentative="0">
      <w:start w:val="1"/>
      <w:numFmt w:val="decimal"/>
      <w:lvlText w:val="(%1)"/>
      <w:lvlJc w:val="left"/>
      <w:pPr>
        <w:ind w:left="1125" w:hanging="360"/>
      </w:pPr>
      <w:rPr>
        <w:rFonts w:hint="default"/>
      </w:rPr>
    </w:lvl>
    <w:lvl w:ilvl="1" w:tentative="0">
      <w:start w:val="1"/>
      <w:numFmt w:val="lowerLetter"/>
      <w:lvlText w:val="%2."/>
      <w:lvlJc w:val="left"/>
      <w:pPr>
        <w:ind w:left="1845" w:hanging="360"/>
      </w:pPr>
    </w:lvl>
    <w:lvl w:ilvl="2" w:tentative="0">
      <w:start w:val="1"/>
      <w:numFmt w:val="lowerRoman"/>
      <w:lvlText w:val="%3."/>
      <w:lvlJc w:val="right"/>
      <w:pPr>
        <w:ind w:left="2565" w:hanging="180"/>
      </w:pPr>
    </w:lvl>
    <w:lvl w:ilvl="3" w:tentative="0">
      <w:start w:val="1"/>
      <w:numFmt w:val="decimal"/>
      <w:lvlText w:val="%4."/>
      <w:lvlJc w:val="left"/>
      <w:pPr>
        <w:ind w:left="3285" w:hanging="360"/>
      </w:pPr>
    </w:lvl>
    <w:lvl w:ilvl="4" w:tentative="0">
      <w:start w:val="1"/>
      <w:numFmt w:val="lowerLetter"/>
      <w:lvlText w:val="%5."/>
      <w:lvlJc w:val="left"/>
      <w:pPr>
        <w:ind w:left="4005" w:hanging="360"/>
      </w:pPr>
    </w:lvl>
    <w:lvl w:ilvl="5" w:tentative="0">
      <w:start w:val="1"/>
      <w:numFmt w:val="lowerRoman"/>
      <w:lvlText w:val="%6."/>
      <w:lvlJc w:val="right"/>
      <w:pPr>
        <w:ind w:left="4725" w:hanging="180"/>
      </w:pPr>
    </w:lvl>
    <w:lvl w:ilvl="6" w:tentative="0">
      <w:start w:val="1"/>
      <w:numFmt w:val="decimal"/>
      <w:lvlText w:val="%7."/>
      <w:lvlJc w:val="left"/>
      <w:pPr>
        <w:ind w:left="5445" w:hanging="360"/>
      </w:pPr>
    </w:lvl>
    <w:lvl w:ilvl="7" w:tentative="0">
      <w:start w:val="1"/>
      <w:numFmt w:val="lowerLetter"/>
      <w:lvlText w:val="%8."/>
      <w:lvlJc w:val="left"/>
      <w:pPr>
        <w:ind w:left="6165" w:hanging="360"/>
      </w:pPr>
    </w:lvl>
    <w:lvl w:ilvl="8" w:tentative="0">
      <w:start w:val="1"/>
      <w:numFmt w:val="lowerRoman"/>
      <w:lvlText w:val="%9."/>
      <w:lvlJc w:val="right"/>
      <w:pPr>
        <w:ind w:left="6885" w:hanging="180"/>
      </w:pPr>
    </w:lvl>
  </w:abstractNum>
  <w:abstractNum w:abstractNumId="59">
    <w:nsid w:val="4EF1435C"/>
    <w:multiLevelType w:val="multilevel"/>
    <w:tmpl w:val="4EF1435C"/>
    <w:lvl w:ilvl="0" w:tentative="0">
      <w:start w:val="1"/>
      <w:numFmt w:val="decimal"/>
      <w:pStyle w:val="326"/>
      <w:lvlText w:val="%1."/>
      <w:lvlJc w:val="left"/>
      <w:pPr>
        <w:ind w:left="360" w:hanging="360"/>
      </w:pPr>
      <w:rPr>
        <w:rFonts w:hint="default"/>
      </w:rPr>
    </w:lvl>
    <w:lvl w:ilvl="1" w:tentative="0">
      <w:start w:val="1"/>
      <w:numFmt w:val="decimal"/>
      <w:pStyle w:val="328"/>
      <w:lvlText w:val="%1.%2."/>
      <w:lvlJc w:val="left"/>
      <w:pPr>
        <w:ind w:left="792" w:hanging="432"/>
      </w:pPr>
      <w:rPr>
        <w:rFonts w:hint="default"/>
      </w:rPr>
    </w:lvl>
    <w:lvl w:ilvl="2" w:tentative="0">
      <w:start w:val="1"/>
      <w:numFmt w:val="decimal"/>
      <w:pStyle w:val="329"/>
      <w:lvlText w:val="%1.%2.%3."/>
      <w:lvlJc w:val="left"/>
      <w:pPr>
        <w:ind w:left="1584" w:hanging="504"/>
      </w:pPr>
      <w:rPr>
        <w:rFonts w:hint="default"/>
      </w:rPr>
    </w:lvl>
    <w:lvl w:ilvl="3" w:tentative="0">
      <w:start w:val="1"/>
      <w:numFmt w:val="decimal"/>
      <w:pStyle w:val="330"/>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0">
    <w:nsid w:val="4F995DD9"/>
    <w:multiLevelType w:val="multilevel"/>
    <w:tmpl w:val="4F995DD9"/>
    <w:lvl w:ilvl="0" w:tentative="0">
      <w:start w:val="1"/>
      <w:numFmt w:val="lowerLetter"/>
      <w:lvlText w:val="%1)"/>
      <w:lvlJc w:val="left"/>
      <w:pPr>
        <w:ind w:left="530" w:hanging="360"/>
      </w:pPr>
      <w:rPr>
        <w:rFonts w:hint="default"/>
      </w:rPr>
    </w:lvl>
    <w:lvl w:ilvl="1" w:tentative="0">
      <w:start w:val="1"/>
      <w:numFmt w:val="lowerLetter"/>
      <w:lvlText w:val="%2."/>
      <w:lvlJc w:val="left"/>
      <w:pPr>
        <w:ind w:left="1250" w:hanging="360"/>
      </w:pPr>
    </w:lvl>
    <w:lvl w:ilvl="2" w:tentative="0">
      <w:start w:val="1"/>
      <w:numFmt w:val="lowerRoman"/>
      <w:lvlText w:val="%3."/>
      <w:lvlJc w:val="right"/>
      <w:pPr>
        <w:ind w:left="1970" w:hanging="180"/>
      </w:pPr>
    </w:lvl>
    <w:lvl w:ilvl="3" w:tentative="0">
      <w:start w:val="1"/>
      <w:numFmt w:val="decimal"/>
      <w:lvlText w:val="%4."/>
      <w:lvlJc w:val="left"/>
      <w:pPr>
        <w:ind w:left="2690" w:hanging="360"/>
      </w:pPr>
    </w:lvl>
    <w:lvl w:ilvl="4" w:tentative="0">
      <w:start w:val="1"/>
      <w:numFmt w:val="lowerLetter"/>
      <w:lvlText w:val="%5."/>
      <w:lvlJc w:val="left"/>
      <w:pPr>
        <w:ind w:left="3410" w:hanging="360"/>
      </w:pPr>
    </w:lvl>
    <w:lvl w:ilvl="5" w:tentative="0">
      <w:start w:val="1"/>
      <w:numFmt w:val="lowerRoman"/>
      <w:lvlText w:val="%6."/>
      <w:lvlJc w:val="right"/>
      <w:pPr>
        <w:ind w:left="4130" w:hanging="180"/>
      </w:pPr>
    </w:lvl>
    <w:lvl w:ilvl="6" w:tentative="0">
      <w:start w:val="1"/>
      <w:numFmt w:val="decimal"/>
      <w:lvlText w:val="%7."/>
      <w:lvlJc w:val="left"/>
      <w:pPr>
        <w:ind w:left="4850" w:hanging="360"/>
      </w:pPr>
    </w:lvl>
    <w:lvl w:ilvl="7" w:tentative="0">
      <w:start w:val="1"/>
      <w:numFmt w:val="lowerLetter"/>
      <w:lvlText w:val="%8."/>
      <w:lvlJc w:val="left"/>
      <w:pPr>
        <w:ind w:left="5570" w:hanging="360"/>
      </w:pPr>
    </w:lvl>
    <w:lvl w:ilvl="8" w:tentative="0">
      <w:start w:val="1"/>
      <w:numFmt w:val="lowerRoman"/>
      <w:lvlText w:val="%9."/>
      <w:lvlJc w:val="right"/>
      <w:pPr>
        <w:ind w:left="6290" w:hanging="180"/>
      </w:pPr>
    </w:lvl>
  </w:abstractNum>
  <w:abstractNum w:abstractNumId="61">
    <w:nsid w:val="52FF3746"/>
    <w:multiLevelType w:val="multilevel"/>
    <w:tmpl w:val="52FF3746"/>
    <w:lvl w:ilvl="0" w:tentative="0">
      <w:start w:val="1"/>
      <w:numFmt w:val="lowerRoman"/>
      <w:lvlText w:val="(%1)"/>
      <w:lvlJc w:val="left"/>
      <w:pPr>
        <w:ind w:left="720" w:hanging="360"/>
      </w:pPr>
      <w:rPr>
        <w:rFonts w:hint="default"/>
        <w:color w:val="auto"/>
        <w:sz w:val="26"/>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2">
    <w:nsid w:val="53B92DE7"/>
    <w:multiLevelType w:val="multilevel"/>
    <w:tmpl w:val="53B92DE7"/>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3">
    <w:nsid w:val="53C615F3"/>
    <w:multiLevelType w:val="multilevel"/>
    <w:tmpl w:val="53C615F3"/>
    <w:lvl w:ilvl="0" w:tentative="0">
      <w:start w:val="1"/>
      <w:numFmt w:val="decimal"/>
      <w:lvlText w:val="(%1)"/>
      <w:lvlJc w:val="left"/>
      <w:pPr>
        <w:ind w:left="942" w:hanging="375"/>
      </w:pPr>
      <w:rPr>
        <w:rFonts w:hint="default"/>
      </w:r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64">
    <w:nsid w:val="561B00FC"/>
    <w:multiLevelType w:val="multilevel"/>
    <w:tmpl w:val="561B00FC"/>
    <w:lvl w:ilvl="0" w:tentative="0">
      <w:start w:val="1"/>
      <w:numFmt w:val="lowerRoman"/>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5">
    <w:nsid w:val="5AF47C4F"/>
    <w:multiLevelType w:val="multilevel"/>
    <w:tmpl w:val="5AF47C4F"/>
    <w:lvl w:ilvl="0" w:tentative="0">
      <w:start w:val="1"/>
      <w:numFmt w:val="decimal"/>
      <w:lvlText w:val="%1)"/>
      <w:lvlJc w:val="left"/>
      <w:pPr>
        <w:ind w:left="927" w:hanging="360"/>
      </w:pPr>
      <w:rPr>
        <w:i w:val="0"/>
        <w:sz w:val="28"/>
        <w:szCs w:val="28"/>
      </w:rPr>
    </w:lvl>
    <w:lvl w:ilvl="1" w:tentative="0">
      <w:start w:val="1"/>
      <w:numFmt w:val="decimal"/>
      <w:lvlText w:val="%2."/>
      <w:lvlJc w:val="left"/>
      <w:pPr>
        <w:tabs>
          <w:tab w:val="left" w:pos="1647"/>
        </w:tabs>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66">
    <w:nsid w:val="5CD75D53"/>
    <w:multiLevelType w:val="multilevel"/>
    <w:tmpl w:val="5CD75D53"/>
    <w:lvl w:ilvl="0" w:tentative="0">
      <w:start w:val="0"/>
      <w:numFmt w:val="bullet"/>
      <w:lvlText w:val="+"/>
      <w:lvlJc w:val="left"/>
      <w:pPr>
        <w:tabs>
          <w:tab w:val="left" w:pos="1080"/>
        </w:tabs>
        <w:ind w:left="1080" w:hanging="360"/>
      </w:pPr>
      <w:rPr>
        <w:rFonts w:hint="default" w:ascii="Times New Roman" w:hAnsi="Times New Roman" w:eastAsia="Calibri" w:cs="Times New Roman"/>
      </w:rPr>
    </w:lvl>
    <w:lvl w:ilvl="1" w:tentative="0">
      <w:start w:val="1"/>
      <w:numFmt w:val="bullet"/>
      <w:lvlText w:val="-"/>
      <w:lvlJc w:val="left"/>
      <w:pPr>
        <w:tabs>
          <w:tab w:val="left" w:pos="1800"/>
        </w:tabs>
        <w:ind w:left="1800" w:hanging="360"/>
      </w:pPr>
      <w:rPr>
        <w:rFonts w:hint="default" w:ascii="Times New Roman" w:hAnsi="Times New Roman" w:eastAsia="Times New Roman" w:cs="Times New Roman"/>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rPr>
    </w:lvl>
  </w:abstractNum>
  <w:abstractNum w:abstractNumId="67">
    <w:nsid w:val="5D845527"/>
    <w:multiLevelType w:val="multilevel"/>
    <w:tmpl w:val="5D84552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8">
    <w:nsid w:val="5FA62AC6"/>
    <w:multiLevelType w:val="singleLevel"/>
    <w:tmpl w:val="5FA62AC6"/>
    <w:lvl w:ilvl="0" w:tentative="0">
      <w:start w:val="1"/>
      <w:numFmt w:val="bullet"/>
      <w:lvlText w:val="-"/>
      <w:lvlJc w:val="left"/>
      <w:pPr>
        <w:tabs>
          <w:tab w:val="left" w:pos="1080"/>
        </w:tabs>
        <w:ind w:left="1080" w:hanging="360"/>
      </w:pPr>
      <w:rPr>
        <w:rFonts w:hint="default"/>
      </w:rPr>
    </w:lvl>
  </w:abstractNum>
  <w:abstractNum w:abstractNumId="69">
    <w:nsid w:val="60450D6F"/>
    <w:multiLevelType w:val="multilevel"/>
    <w:tmpl w:val="60450D6F"/>
    <w:lvl w:ilvl="0" w:tentative="0">
      <w:start w:val="1"/>
      <w:numFmt w:val="bullet"/>
      <w:pStyle w:val="585"/>
      <w:lvlText w:val=""/>
      <w:lvlJc w:val="left"/>
      <w:pPr>
        <w:tabs>
          <w:tab w:val="left" w:pos="2268"/>
        </w:tabs>
        <w:ind w:left="2268" w:hanging="567"/>
      </w:pPr>
      <w:rPr>
        <w:rFonts w:hint="default" w:ascii="Symbol" w:hAnsi="Symbol"/>
        <w:color w:val="auto"/>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decimal"/>
      <w:lvlText w:val="%9."/>
      <w:lvlJc w:val="left"/>
      <w:pPr>
        <w:tabs>
          <w:tab w:val="left" w:pos="6480"/>
        </w:tabs>
        <w:ind w:left="6480" w:hanging="360"/>
      </w:pPr>
    </w:lvl>
  </w:abstractNum>
  <w:abstractNum w:abstractNumId="70">
    <w:nsid w:val="66081D77"/>
    <w:multiLevelType w:val="multilevel"/>
    <w:tmpl w:val="66081D77"/>
    <w:lvl w:ilvl="0" w:tentative="0">
      <w:start w:val="1"/>
      <w:numFmt w:val="lowerLetter"/>
      <w:lvlText w:val="%1."/>
      <w:lvlJc w:val="left"/>
      <w:pPr>
        <w:ind w:left="678" w:hanging="360"/>
      </w:pPr>
      <w:rPr>
        <w:rFonts w:hint="default"/>
        <w:b/>
      </w:rPr>
    </w:lvl>
    <w:lvl w:ilvl="1" w:tentative="0">
      <w:start w:val="1"/>
      <w:numFmt w:val="lowerLetter"/>
      <w:lvlText w:val="%2."/>
      <w:lvlJc w:val="left"/>
      <w:pPr>
        <w:ind w:left="1398" w:hanging="360"/>
      </w:pPr>
    </w:lvl>
    <w:lvl w:ilvl="2" w:tentative="0">
      <w:start w:val="1"/>
      <w:numFmt w:val="lowerRoman"/>
      <w:lvlText w:val="%3."/>
      <w:lvlJc w:val="right"/>
      <w:pPr>
        <w:ind w:left="2118" w:hanging="180"/>
      </w:pPr>
    </w:lvl>
    <w:lvl w:ilvl="3" w:tentative="0">
      <w:start w:val="1"/>
      <w:numFmt w:val="decimal"/>
      <w:lvlText w:val="%4."/>
      <w:lvlJc w:val="left"/>
      <w:pPr>
        <w:ind w:left="2838" w:hanging="360"/>
      </w:pPr>
    </w:lvl>
    <w:lvl w:ilvl="4" w:tentative="0">
      <w:start w:val="1"/>
      <w:numFmt w:val="lowerLetter"/>
      <w:lvlText w:val="%5."/>
      <w:lvlJc w:val="left"/>
      <w:pPr>
        <w:ind w:left="3558" w:hanging="360"/>
      </w:pPr>
    </w:lvl>
    <w:lvl w:ilvl="5" w:tentative="0">
      <w:start w:val="1"/>
      <w:numFmt w:val="lowerRoman"/>
      <w:lvlText w:val="%6."/>
      <w:lvlJc w:val="right"/>
      <w:pPr>
        <w:ind w:left="4278" w:hanging="180"/>
      </w:pPr>
    </w:lvl>
    <w:lvl w:ilvl="6" w:tentative="0">
      <w:start w:val="1"/>
      <w:numFmt w:val="decimal"/>
      <w:lvlText w:val="%7."/>
      <w:lvlJc w:val="left"/>
      <w:pPr>
        <w:ind w:left="4998" w:hanging="360"/>
      </w:pPr>
    </w:lvl>
    <w:lvl w:ilvl="7" w:tentative="0">
      <w:start w:val="1"/>
      <w:numFmt w:val="lowerLetter"/>
      <w:lvlText w:val="%8."/>
      <w:lvlJc w:val="left"/>
      <w:pPr>
        <w:ind w:left="5718" w:hanging="360"/>
      </w:pPr>
    </w:lvl>
    <w:lvl w:ilvl="8" w:tentative="0">
      <w:start w:val="1"/>
      <w:numFmt w:val="lowerRoman"/>
      <w:lvlText w:val="%9."/>
      <w:lvlJc w:val="right"/>
      <w:pPr>
        <w:ind w:left="6438" w:hanging="180"/>
      </w:pPr>
    </w:lvl>
  </w:abstractNum>
  <w:abstractNum w:abstractNumId="71">
    <w:nsid w:val="66D70420"/>
    <w:multiLevelType w:val="multilevel"/>
    <w:tmpl w:val="66D70420"/>
    <w:lvl w:ilvl="0" w:tentative="0">
      <w:start w:val="1"/>
      <w:numFmt w:val="bullet"/>
      <w:pStyle w:val="455"/>
      <w:lvlText w:val=""/>
      <w:lvlJc w:val="left"/>
      <w:pPr>
        <w:tabs>
          <w:tab w:val="left" w:pos="720"/>
        </w:tabs>
        <w:ind w:left="720" w:hanging="360"/>
      </w:pPr>
      <w:rPr>
        <w:rFonts w:hint="default" w:ascii="Wingdings" w:hAnsi="Wingdings"/>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pStyle w:val="495"/>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pStyle w:val="560"/>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2">
    <w:nsid w:val="683B5EDC"/>
    <w:multiLevelType w:val="multilevel"/>
    <w:tmpl w:val="683B5EDC"/>
    <w:lvl w:ilvl="0" w:tentative="0">
      <w:start w:val="1"/>
      <w:numFmt w:val="bullet"/>
      <w:pStyle w:val="351"/>
      <w:lvlText w:val=""/>
      <w:lvlJc w:val="left"/>
      <w:pPr>
        <w:ind w:left="1854" w:hanging="360"/>
      </w:pPr>
      <w:rPr>
        <w:rFonts w:hint="default" w:ascii="Wingdings" w:hAnsi="Wingdings"/>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73">
    <w:nsid w:val="69251138"/>
    <w:multiLevelType w:val="multilevel"/>
    <w:tmpl w:val="69251138"/>
    <w:lvl w:ilvl="0" w:tentative="0">
      <w:start w:val="0"/>
      <w:numFmt w:val="bullet"/>
      <w:lvlText w:val="-"/>
      <w:lvlJc w:val="left"/>
      <w:pPr>
        <w:tabs>
          <w:tab w:val="left" w:pos="1480"/>
        </w:tabs>
        <w:ind w:left="1480" w:firstLine="363"/>
      </w:pPr>
      <w:rPr>
        <w:rFonts w:hint="default" w:ascii="VNI-Times" w:hAnsi="VNI-Times" w:eastAsia="Times New Roman" w:cs="Times New Roman"/>
      </w:rPr>
    </w:lvl>
    <w:lvl w:ilvl="1" w:tentative="0">
      <w:start w:val="1"/>
      <w:numFmt w:val="bullet"/>
      <w:lvlText w:val="o"/>
      <w:lvlJc w:val="left"/>
      <w:pPr>
        <w:tabs>
          <w:tab w:val="left" w:pos="1737"/>
        </w:tabs>
        <w:ind w:left="1737" w:hanging="360"/>
      </w:pPr>
      <w:rPr>
        <w:rFonts w:hint="default" w:ascii="Courier New" w:hAnsi="Courier New" w:cs="Courier New"/>
      </w:rPr>
    </w:lvl>
    <w:lvl w:ilvl="2" w:tentative="0">
      <w:start w:val="1"/>
      <w:numFmt w:val="bullet"/>
      <w:lvlText w:val=""/>
      <w:lvlJc w:val="left"/>
      <w:pPr>
        <w:tabs>
          <w:tab w:val="left" w:pos="2457"/>
        </w:tabs>
        <w:ind w:left="2457" w:hanging="360"/>
      </w:pPr>
      <w:rPr>
        <w:rFonts w:hint="default" w:ascii="Wingdings" w:hAnsi="Wingdings"/>
      </w:rPr>
    </w:lvl>
    <w:lvl w:ilvl="3" w:tentative="0">
      <w:start w:val="1"/>
      <w:numFmt w:val="bullet"/>
      <w:lvlText w:val=""/>
      <w:lvlJc w:val="left"/>
      <w:pPr>
        <w:tabs>
          <w:tab w:val="left" w:pos="3177"/>
        </w:tabs>
        <w:ind w:left="3177" w:hanging="360"/>
      </w:pPr>
      <w:rPr>
        <w:rFonts w:hint="default" w:ascii="Symbol" w:hAnsi="Symbol"/>
      </w:rPr>
    </w:lvl>
    <w:lvl w:ilvl="4" w:tentative="0">
      <w:start w:val="1"/>
      <w:numFmt w:val="bullet"/>
      <w:lvlText w:val="o"/>
      <w:lvlJc w:val="left"/>
      <w:pPr>
        <w:tabs>
          <w:tab w:val="left" w:pos="3897"/>
        </w:tabs>
        <w:ind w:left="3897" w:hanging="360"/>
      </w:pPr>
      <w:rPr>
        <w:rFonts w:hint="default" w:ascii="Courier New" w:hAnsi="Courier New" w:cs="Courier New"/>
      </w:rPr>
    </w:lvl>
    <w:lvl w:ilvl="5" w:tentative="0">
      <w:start w:val="1"/>
      <w:numFmt w:val="bullet"/>
      <w:lvlText w:val=""/>
      <w:lvlJc w:val="left"/>
      <w:pPr>
        <w:tabs>
          <w:tab w:val="left" w:pos="4617"/>
        </w:tabs>
        <w:ind w:left="4617" w:hanging="360"/>
      </w:pPr>
      <w:rPr>
        <w:rFonts w:hint="default" w:ascii="Wingdings" w:hAnsi="Wingdings"/>
      </w:rPr>
    </w:lvl>
    <w:lvl w:ilvl="6" w:tentative="0">
      <w:start w:val="1"/>
      <w:numFmt w:val="bullet"/>
      <w:lvlText w:val=""/>
      <w:lvlJc w:val="left"/>
      <w:pPr>
        <w:tabs>
          <w:tab w:val="left" w:pos="5337"/>
        </w:tabs>
        <w:ind w:left="5337" w:hanging="360"/>
      </w:pPr>
      <w:rPr>
        <w:rFonts w:hint="default" w:ascii="Symbol" w:hAnsi="Symbol"/>
      </w:rPr>
    </w:lvl>
    <w:lvl w:ilvl="7" w:tentative="0">
      <w:start w:val="1"/>
      <w:numFmt w:val="bullet"/>
      <w:lvlText w:val="o"/>
      <w:lvlJc w:val="left"/>
      <w:pPr>
        <w:tabs>
          <w:tab w:val="left" w:pos="6057"/>
        </w:tabs>
        <w:ind w:left="6057" w:hanging="360"/>
      </w:pPr>
      <w:rPr>
        <w:rFonts w:hint="default" w:ascii="Courier New" w:hAnsi="Courier New" w:cs="Courier New"/>
      </w:rPr>
    </w:lvl>
    <w:lvl w:ilvl="8" w:tentative="0">
      <w:start w:val="1"/>
      <w:numFmt w:val="bullet"/>
      <w:lvlText w:val=""/>
      <w:lvlJc w:val="left"/>
      <w:pPr>
        <w:tabs>
          <w:tab w:val="left" w:pos="6777"/>
        </w:tabs>
        <w:ind w:left="6777" w:hanging="360"/>
      </w:pPr>
      <w:rPr>
        <w:rFonts w:hint="default" w:ascii="Wingdings" w:hAnsi="Wingdings"/>
      </w:rPr>
    </w:lvl>
  </w:abstractNum>
  <w:abstractNum w:abstractNumId="74">
    <w:nsid w:val="696875C0"/>
    <w:multiLevelType w:val="multilevel"/>
    <w:tmpl w:val="696875C0"/>
    <w:lvl w:ilvl="0" w:tentative="0">
      <w:start w:val="1"/>
      <w:numFmt w:val="bullet"/>
      <w:pStyle w:val="353"/>
      <w:lvlText w:val=""/>
      <w:lvlJc w:val="left"/>
      <w:pPr>
        <w:ind w:left="1948" w:hanging="360"/>
      </w:pPr>
      <w:rPr>
        <w:rFonts w:hint="default" w:ascii="Wingdings" w:hAnsi="Wingdings"/>
      </w:rPr>
    </w:lvl>
    <w:lvl w:ilvl="1" w:tentative="0">
      <w:start w:val="1"/>
      <w:numFmt w:val="bullet"/>
      <w:lvlText w:val="o"/>
      <w:lvlJc w:val="left"/>
      <w:pPr>
        <w:ind w:left="2934" w:hanging="360"/>
      </w:pPr>
      <w:rPr>
        <w:rFonts w:hint="default" w:ascii="Courier New" w:hAnsi="Courier New" w:cs="Courier New"/>
      </w:rPr>
    </w:lvl>
    <w:lvl w:ilvl="2" w:tentative="0">
      <w:start w:val="1"/>
      <w:numFmt w:val="bullet"/>
      <w:lvlText w:val=""/>
      <w:lvlJc w:val="left"/>
      <w:pPr>
        <w:ind w:left="3654" w:hanging="360"/>
      </w:pPr>
      <w:rPr>
        <w:rFonts w:hint="default" w:ascii="Wingdings" w:hAnsi="Wingdings"/>
      </w:rPr>
    </w:lvl>
    <w:lvl w:ilvl="3" w:tentative="0">
      <w:start w:val="1"/>
      <w:numFmt w:val="bullet"/>
      <w:lvlText w:val=""/>
      <w:lvlJc w:val="left"/>
      <w:pPr>
        <w:ind w:left="4374" w:hanging="360"/>
      </w:pPr>
      <w:rPr>
        <w:rFonts w:hint="default" w:ascii="Symbol" w:hAnsi="Symbol"/>
      </w:rPr>
    </w:lvl>
    <w:lvl w:ilvl="4" w:tentative="0">
      <w:start w:val="1"/>
      <w:numFmt w:val="bullet"/>
      <w:lvlText w:val="o"/>
      <w:lvlJc w:val="left"/>
      <w:pPr>
        <w:ind w:left="5094" w:hanging="360"/>
      </w:pPr>
      <w:rPr>
        <w:rFonts w:hint="default" w:ascii="Courier New" w:hAnsi="Courier New" w:cs="Courier New"/>
      </w:rPr>
    </w:lvl>
    <w:lvl w:ilvl="5" w:tentative="0">
      <w:start w:val="1"/>
      <w:numFmt w:val="bullet"/>
      <w:lvlText w:val=""/>
      <w:lvlJc w:val="left"/>
      <w:pPr>
        <w:ind w:left="5814" w:hanging="360"/>
      </w:pPr>
      <w:rPr>
        <w:rFonts w:hint="default" w:ascii="Wingdings" w:hAnsi="Wingdings"/>
      </w:rPr>
    </w:lvl>
    <w:lvl w:ilvl="6" w:tentative="0">
      <w:start w:val="1"/>
      <w:numFmt w:val="bullet"/>
      <w:lvlText w:val=""/>
      <w:lvlJc w:val="left"/>
      <w:pPr>
        <w:ind w:left="6534" w:hanging="360"/>
      </w:pPr>
      <w:rPr>
        <w:rFonts w:hint="default" w:ascii="Symbol" w:hAnsi="Symbol"/>
      </w:rPr>
    </w:lvl>
    <w:lvl w:ilvl="7" w:tentative="0">
      <w:start w:val="1"/>
      <w:numFmt w:val="bullet"/>
      <w:lvlText w:val="o"/>
      <w:lvlJc w:val="left"/>
      <w:pPr>
        <w:ind w:left="7254" w:hanging="360"/>
      </w:pPr>
      <w:rPr>
        <w:rFonts w:hint="default" w:ascii="Courier New" w:hAnsi="Courier New" w:cs="Courier New"/>
      </w:rPr>
    </w:lvl>
    <w:lvl w:ilvl="8" w:tentative="0">
      <w:start w:val="1"/>
      <w:numFmt w:val="bullet"/>
      <w:lvlText w:val=""/>
      <w:lvlJc w:val="left"/>
      <w:pPr>
        <w:ind w:left="7974" w:hanging="360"/>
      </w:pPr>
      <w:rPr>
        <w:rFonts w:hint="default" w:ascii="Wingdings" w:hAnsi="Wingdings"/>
      </w:rPr>
    </w:lvl>
  </w:abstractNum>
  <w:abstractNum w:abstractNumId="75">
    <w:nsid w:val="6B8819F1"/>
    <w:multiLevelType w:val="multilevel"/>
    <w:tmpl w:val="6B8819F1"/>
    <w:lvl w:ilvl="0" w:tentative="0">
      <w:start w:val="1"/>
      <w:numFmt w:val="lowerLetter"/>
      <w:lvlText w:val="%1."/>
      <w:lvlJc w:val="left"/>
      <w:pPr>
        <w:ind w:left="1244" w:hanging="360"/>
      </w:pPr>
      <w:rPr>
        <w:rFonts w:hint="default"/>
        <w:b w:val="0"/>
      </w:rPr>
    </w:lvl>
    <w:lvl w:ilvl="1" w:tentative="0">
      <w:start w:val="1"/>
      <w:numFmt w:val="lowerLetter"/>
      <w:lvlText w:val="%2."/>
      <w:lvlJc w:val="left"/>
      <w:pPr>
        <w:ind w:left="1964" w:hanging="360"/>
      </w:pPr>
    </w:lvl>
    <w:lvl w:ilvl="2" w:tentative="0">
      <w:start w:val="1"/>
      <w:numFmt w:val="lowerRoman"/>
      <w:lvlText w:val="%3."/>
      <w:lvlJc w:val="right"/>
      <w:pPr>
        <w:ind w:left="2684" w:hanging="180"/>
      </w:pPr>
    </w:lvl>
    <w:lvl w:ilvl="3" w:tentative="0">
      <w:start w:val="1"/>
      <w:numFmt w:val="decimal"/>
      <w:lvlText w:val="%4."/>
      <w:lvlJc w:val="left"/>
      <w:pPr>
        <w:ind w:left="3404" w:hanging="360"/>
      </w:pPr>
    </w:lvl>
    <w:lvl w:ilvl="4" w:tentative="0">
      <w:start w:val="1"/>
      <w:numFmt w:val="lowerLetter"/>
      <w:lvlText w:val="%5."/>
      <w:lvlJc w:val="left"/>
      <w:pPr>
        <w:ind w:left="4124" w:hanging="360"/>
      </w:pPr>
    </w:lvl>
    <w:lvl w:ilvl="5" w:tentative="0">
      <w:start w:val="1"/>
      <w:numFmt w:val="lowerRoman"/>
      <w:lvlText w:val="%6."/>
      <w:lvlJc w:val="right"/>
      <w:pPr>
        <w:ind w:left="4844" w:hanging="180"/>
      </w:pPr>
    </w:lvl>
    <w:lvl w:ilvl="6" w:tentative="0">
      <w:start w:val="1"/>
      <w:numFmt w:val="decimal"/>
      <w:lvlText w:val="%7."/>
      <w:lvlJc w:val="left"/>
      <w:pPr>
        <w:ind w:left="5564" w:hanging="360"/>
      </w:pPr>
    </w:lvl>
    <w:lvl w:ilvl="7" w:tentative="0">
      <w:start w:val="1"/>
      <w:numFmt w:val="lowerLetter"/>
      <w:lvlText w:val="%8."/>
      <w:lvlJc w:val="left"/>
      <w:pPr>
        <w:ind w:left="6284" w:hanging="360"/>
      </w:pPr>
    </w:lvl>
    <w:lvl w:ilvl="8" w:tentative="0">
      <w:start w:val="1"/>
      <w:numFmt w:val="lowerRoman"/>
      <w:lvlText w:val="%9."/>
      <w:lvlJc w:val="right"/>
      <w:pPr>
        <w:ind w:left="7004" w:hanging="180"/>
      </w:pPr>
    </w:lvl>
  </w:abstractNum>
  <w:abstractNum w:abstractNumId="76">
    <w:nsid w:val="6E2E3BF2"/>
    <w:multiLevelType w:val="multilevel"/>
    <w:tmpl w:val="6E2E3BF2"/>
    <w:lvl w:ilvl="0" w:tentative="0">
      <w:start w:val="1"/>
      <w:numFmt w:val="decimal"/>
      <w:lvlText w:val="%1)"/>
      <w:lvlJc w:val="left"/>
      <w:pPr>
        <w:ind w:left="1287" w:hanging="360"/>
      </w:pPr>
      <w:rPr>
        <w:rFonts w:hint="default"/>
        <w:i w:val="0"/>
      </w:r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77">
    <w:nsid w:val="6E451C98"/>
    <w:multiLevelType w:val="multilevel"/>
    <w:tmpl w:val="6E451C98"/>
    <w:lvl w:ilvl="0" w:tentative="0">
      <w:start w:val="1"/>
      <w:numFmt w:val="lowerLetter"/>
      <w:lvlText w:val="(%1)"/>
      <w:lvlJc w:val="left"/>
      <w:pPr>
        <w:tabs>
          <w:tab w:val="left" w:pos="953"/>
        </w:tabs>
        <w:ind w:left="953" w:hanging="420"/>
      </w:pPr>
      <w:rPr>
        <w:rFonts w:hint="default" w:cs="Times New Roman"/>
      </w:rPr>
    </w:lvl>
    <w:lvl w:ilvl="1" w:tentative="0">
      <w:start w:val="1"/>
      <w:numFmt w:val="lowerLetter"/>
      <w:lvlText w:val="%2."/>
      <w:lvlJc w:val="left"/>
      <w:pPr>
        <w:ind w:left="1440" w:hanging="360"/>
      </w:pPr>
    </w:lvl>
    <w:lvl w:ilvl="2" w:tentative="0">
      <w:start w:val="1"/>
      <w:numFmt w:val="lowerLetter"/>
      <w:lvlText w:val="%3)"/>
      <w:lvlJc w:val="left"/>
      <w:pPr>
        <w:ind w:left="2340" w:hanging="360"/>
      </w:pPr>
      <w:rPr>
        <w:rFonts w:hint="default"/>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8">
    <w:nsid w:val="716327D9"/>
    <w:multiLevelType w:val="multilevel"/>
    <w:tmpl w:val="716327D9"/>
    <w:lvl w:ilvl="0" w:tentative="0">
      <w:start w:val="9"/>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9">
    <w:nsid w:val="71DE16E1"/>
    <w:multiLevelType w:val="multilevel"/>
    <w:tmpl w:val="71DE16E1"/>
    <w:lvl w:ilvl="0" w:tentative="0">
      <w:start w:val="1"/>
      <w:numFmt w:val="bullet"/>
      <w:lvlText w:val=""/>
      <w:lvlJc w:val="left"/>
      <w:pPr>
        <w:ind w:left="720" w:hanging="360"/>
      </w:pPr>
      <w:rPr>
        <w:rFonts w:hint="default" w:ascii="Wingdings" w:hAnsi="Wingding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0">
    <w:nsid w:val="72766B06"/>
    <w:multiLevelType w:val="multilevel"/>
    <w:tmpl w:val="72766B06"/>
    <w:lvl w:ilvl="0" w:tentative="0">
      <w:start w:val="1"/>
      <w:numFmt w:val="decimal"/>
      <w:pStyle w:val="638"/>
      <w:lvlText w:val="%1"/>
      <w:lvlJc w:val="left"/>
      <w:pPr>
        <w:ind w:left="420" w:hanging="420"/>
      </w:pPr>
      <w:rPr>
        <w:rFonts w:hint="default"/>
        <w:color w:val="000000" w:themeColor="text1"/>
        <w14:textFill>
          <w14:solidFill>
            <w14:schemeClr w14:val="tx1"/>
          </w14:solidFill>
        </w14:textFill>
      </w:rPr>
    </w:lvl>
    <w:lvl w:ilvl="1" w:tentative="0">
      <w:start w:val="1"/>
      <w:numFmt w:val="decimal"/>
      <w:lvlText w:val="%1.%2"/>
      <w:lvlJc w:val="left"/>
      <w:pPr>
        <w:ind w:left="600" w:hanging="420"/>
      </w:pPr>
      <w:rPr>
        <w:rFonts w:hint="default"/>
        <w:b w:val="0"/>
        <w:color w:val="000000" w:themeColor="text1"/>
        <w:sz w:val="24"/>
        <w:szCs w:val="24"/>
        <w14:textFill>
          <w14:solidFill>
            <w14:schemeClr w14:val="tx1"/>
          </w14:solidFill>
        </w14:textFill>
      </w:rPr>
    </w:lvl>
    <w:lvl w:ilvl="2" w:tentative="0">
      <w:start w:val="1"/>
      <w:numFmt w:val="decimal"/>
      <w:lvlText w:val="%1.%2.%3"/>
      <w:lvlJc w:val="left"/>
      <w:pPr>
        <w:ind w:left="1994" w:hanging="720"/>
      </w:pPr>
      <w:rPr>
        <w:rFonts w:hint="default"/>
        <w:color w:val="000000" w:themeColor="text1"/>
        <w14:textFill>
          <w14:solidFill>
            <w14:schemeClr w14:val="tx1"/>
          </w14:solidFill>
        </w14:textFill>
      </w:rPr>
    </w:lvl>
    <w:lvl w:ilvl="3" w:tentative="0">
      <w:start w:val="1"/>
      <w:numFmt w:val="decimal"/>
      <w:lvlText w:val="%1.%2.%3.%4"/>
      <w:lvlJc w:val="left"/>
      <w:pPr>
        <w:ind w:left="2631" w:hanging="720"/>
      </w:pPr>
      <w:rPr>
        <w:rFonts w:hint="default"/>
        <w:color w:val="000000" w:themeColor="text1"/>
        <w14:textFill>
          <w14:solidFill>
            <w14:schemeClr w14:val="tx1"/>
          </w14:solidFill>
        </w14:textFill>
      </w:rPr>
    </w:lvl>
    <w:lvl w:ilvl="4" w:tentative="0">
      <w:start w:val="1"/>
      <w:numFmt w:val="decimal"/>
      <w:lvlText w:val="%1.%2.%3.%4.%5"/>
      <w:lvlJc w:val="left"/>
      <w:pPr>
        <w:ind w:left="3628" w:hanging="1080"/>
      </w:pPr>
      <w:rPr>
        <w:rFonts w:hint="default"/>
        <w:color w:val="000000" w:themeColor="text1"/>
        <w14:textFill>
          <w14:solidFill>
            <w14:schemeClr w14:val="tx1"/>
          </w14:solidFill>
        </w14:textFill>
      </w:rPr>
    </w:lvl>
    <w:lvl w:ilvl="5" w:tentative="0">
      <w:start w:val="1"/>
      <w:numFmt w:val="decimal"/>
      <w:lvlText w:val="%1.%2.%3.%4.%5.%6"/>
      <w:lvlJc w:val="left"/>
      <w:pPr>
        <w:ind w:left="4265" w:hanging="1080"/>
      </w:pPr>
      <w:rPr>
        <w:rFonts w:hint="default"/>
        <w:color w:val="000000" w:themeColor="text1"/>
        <w14:textFill>
          <w14:solidFill>
            <w14:schemeClr w14:val="tx1"/>
          </w14:solidFill>
        </w14:textFill>
      </w:rPr>
    </w:lvl>
    <w:lvl w:ilvl="6" w:tentative="0">
      <w:start w:val="1"/>
      <w:numFmt w:val="decimal"/>
      <w:lvlText w:val="%1.%2.%3.%4.%5.%6.%7"/>
      <w:lvlJc w:val="left"/>
      <w:pPr>
        <w:ind w:left="5262" w:hanging="1440"/>
      </w:pPr>
      <w:rPr>
        <w:rFonts w:hint="default"/>
        <w:color w:val="000000" w:themeColor="text1"/>
        <w14:textFill>
          <w14:solidFill>
            <w14:schemeClr w14:val="tx1"/>
          </w14:solidFill>
        </w14:textFill>
      </w:rPr>
    </w:lvl>
    <w:lvl w:ilvl="7" w:tentative="0">
      <w:start w:val="1"/>
      <w:numFmt w:val="decimal"/>
      <w:lvlText w:val="%1.%2.%3.%4.%5.%6.%7.%8"/>
      <w:lvlJc w:val="left"/>
      <w:pPr>
        <w:ind w:left="5899" w:hanging="1440"/>
      </w:pPr>
      <w:rPr>
        <w:rFonts w:hint="default"/>
        <w:color w:val="000000" w:themeColor="text1"/>
        <w14:textFill>
          <w14:solidFill>
            <w14:schemeClr w14:val="tx1"/>
          </w14:solidFill>
        </w14:textFill>
      </w:rPr>
    </w:lvl>
    <w:lvl w:ilvl="8" w:tentative="0">
      <w:start w:val="1"/>
      <w:numFmt w:val="decimal"/>
      <w:lvlText w:val="%1.%2.%3.%4.%5.%6.%7.%8.%9"/>
      <w:lvlJc w:val="left"/>
      <w:pPr>
        <w:ind w:left="6896" w:hanging="1800"/>
      </w:pPr>
      <w:rPr>
        <w:rFonts w:hint="default"/>
        <w:color w:val="000000" w:themeColor="text1"/>
        <w14:textFill>
          <w14:solidFill>
            <w14:schemeClr w14:val="tx1"/>
          </w14:solidFill>
        </w14:textFill>
      </w:rPr>
    </w:lvl>
  </w:abstractNum>
  <w:abstractNum w:abstractNumId="81">
    <w:nsid w:val="729F1526"/>
    <w:multiLevelType w:val="multilevel"/>
    <w:tmpl w:val="729F1526"/>
    <w:lvl w:ilvl="0" w:tentative="0">
      <w:start w:val="0"/>
      <w:numFmt w:val="bullet"/>
      <w:lvlText w:val="+"/>
      <w:lvlJc w:val="left"/>
      <w:pPr>
        <w:ind w:left="1080" w:hanging="360"/>
      </w:pPr>
      <w:rPr>
        <w:rFonts w:hint="default" w:ascii="Times New Roman" w:hAnsi="Times New Roman" w:eastAsia="Calibri"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82">
    <w:nsid w:val="72F5016B"/>
    <w:multiLevelType w:val="multilevel"/>
    <w:tmpl w:val="72F5016B"/>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3">
    <w:nsid w:val="75F050F7"/>
    <w:multiLevelType w:val="singleLevel"/>
    <w:tmpl w:val="75F050F7"/>
    <w:lvl w:ilvl="0" w:tentative="0">
      <w:start w:val="1"/>
      <w:numFmt w:val="decimal"/>
      <w:pStyle w:val="420"/>
      <w:lvlText w:val="%1."/>
      <w:lvlJc w:val="right"/>
      <w:pPr>
        <w:tabs>
          <w:tab w:val="left" w:pos="737"/>
        </w:tabs>
        <w:ind w:left="737" w:hanging="510"/>
      </w:pPr>
    </w:lvl>
  </w:abstractNum>
  <w:abstractNum w:abstractNumId="84">
    <w:nsid w:val="76562379"/>
    <w:multiLevelType w:val="multilevel"/>
    <w:tmpl w:val="76562379"/>
    <w:lvl w:ilvl="0" w:tentative="0">
      <w:start w:val="1"/>
      <w:numFmt w:val="decimal"/>
      <w:pStyle w:val="553"/>
      <w:lvlText w:val="Mục %1."/>
      <w:lvlJc w:val="left"/>
      <w:pPr>
        <w:tabs>
          <w:tab w:val="left" w:pos="1080"/>
        </w:tabs>
        <w:ind w:left="567" w:hanging="567"/>
      </w:pPr>
      <w:rPr>
        <w:rFonts w:hint="default" w:ascii="Times New Roman Bold" w:hAnsi="Times New Roman Bold"/>
        <w:b/>
        <w:i w:val="0"/>
        <w:sz w:val="26"/>
      </w:rPr>
    </w:lvl>
    <w:lvl w:ilvl="1" w:tentative="0">
      <w:start w:val="1"/>
      <w:numFmt w:val="decimal"/>
      <w:pStyle w:val="554"/>
      <w:lvlText w:val="%2."/>
      <w:lvlJc w:val="left"/>
      <w:pPr>
        <w:tabs>
          <w:tab w:val="left" w:pos="142"/>
        </w:tabs>
        <w:ind w:left="567" w:hanging="567"/>
      </w:pPr>
      <w:rPr>
        <w:rFonts w:hint="default" w:ascii="Times New Roman" w:hAnsi="Times New Roman" w:cs="Times New Roman"/>
        <w:b w:val="0"/>
        <w:bCs/>
        <w:i w:val="0"/>
        <w:iCs w:val="0"/>
        <w:caps w:val="0"/>
        <w:smallCaps w:val="0"/>
        <w:strike w:val="0"/>
        <w:dstrike w:val="0"/>
        <w:color w:val="000080"/>
        <w:spacing w:val="-4"/>
        <w:w w:val="100"/>
        <w:kern w:val="0"/>
        <w:position w:val="0"/>
        <w:sz w:val="26"/>
        <w:szCs w:val="26"/>
        <w:u w:val="none"/>
        <w14:shadow w14:blurRad="0" w14:dist="0" w14:dir="0" w14:sx="0" w14:sy="0" w14:kx="0" w14:ky="0" w14:algn="none">
          <w14:srgbClr w14:val="000000"/>
        </w14:shadow>
      </w:rPr>
    </w:lvl>
    <w:lvl w:ilvl="2" w:tentative="0">
      <w:start w:val="1"/>
      <w:numFmt w:val="decimal"/>
      <w:lvlText w:val="%1.%2.%3"/>
      <w:lvlJc w:val="left"/>
      <w:pPr>
        <w:tabs>
          <w:tab w:val="left" w:pos="1287"/>
        </w:tabs>
        <w:ind w:left="1287" w:hanging="720"/>
      </w:pPr>
    </w:lvl>
    <w:lvl w:ilvl="3" w:tentative="0">
      <w:start w:val="1"/>
      <w:numFmt w:val="decimal"/>
      <w:lvlText w:val="%1.%2.%3.%4"/>
      <w:lvlJc w:val="left"/>
      <w:pPr>
        <w:tabs>
          <w:tab w:val="left" w:pos="1431"/>
        </w:tabs>
        <w:ind w:left="1431" w:hanging="864"/>
      </w:pPr>
    </w:lvl>
    <w:lvl w:ilvl="4" w:tentative="0">
      <w:start w:val="1"/>
      <w:numFmt w:val="decimal"/>
      <w:lvlText w:val="%1.%2.%3.%4.%5"/>
      <w:lvlJc w:val="left"/>
      <w:pPr>
        <w:tabs>
          <w:tab w:val="left" w:pos="1575"/>
        </w:tabs>
        <w:ind w:left="1575" w:hanging="1008"/>
      </w:pPr>
    </w:lvl>
    <w:lvl w:ilvl="5" w:tentative="0">
      <w:start w:val="1"/>
      <w:numFmt w:val="decimal"/>
      <w:lvlText w:val="%1.%2.%3.%4.%5.%6"/>
      <w:lvlJc w:val="left"/>
      <w:pPr>
        <w:tabs>
          <w:tab w:val="left" w:pos="1719"/>
        </w:tabs>
        <w:ind w:left="1719" w:hanging="1152"/>
      </w:pPr>
    </w:lvl>
    <w:lvl w:ilvl="6" w:tentative="0">
      <w:start w:val="1"/>
      <w:numFmt w:val="decimal"/>
      <w:lvlText w:val="%1.%2.%3.%4.%5.%6.%7"/>
      <w:lvlJc w:val="left"/>
      <w:pPr>
        <w:tabs>
          <w:tab w:val="left" w:pos="1863"/>
        </w:tabs>
        <w:ind w:left="1863" w:hanging="1296"/>
      </w:pPr>
    </w:lvl>
    <w:lvl w:ilvl="7" w:tentative="0">
      <w:start w:val="1"/>
      <w:numFmt w:val="decimal"/>
      <w:lvlText w:val="%1.%2.%3.%4.%5.%6.%7.%8"/>
      <w:lvlJc w:val="left"/>
      <w:pPr>
        <w:tabs>
          <w:tab w:val="left" w:pos="2007"/>
        </w:tabs>
        <w:ind w:left="2007" w:hanging="1440"/>
      </w:pPr>
    </w:lvl>
    <w:lvl w:ilvl="8" w:tentative="0">
      <w:start w:val="1"/>
      <w:numFmt w:val="decimal"/>
      <w:lvlText w:val="%1.%2.%3.%4.%5.%6.%7.%8.%9"/>
      <w:lvlJc w:val="left"/>
      <w:pPr>
        <w:tabs>
          <w:tab w:val="left" w:pos="2151"/>
        </w:tabs>
        <w:ind w:left="2151" w:hanging="1584"/>
      </w:pPr>
    </w:lvl>
  </w:abstractNum>
  <w:abstractNum w:abstractNumId="85">
    <w:nsid w:val="7C2A1D70"/>
    <w:multiLevelType w:val="multilevel"/>
    <w:tmpl w:val="7C2A1D70"/>
    <w:lvl w:ilvl="0" w:tentative="0">
      <w:start w:val="1"/>
      <w:numFmt w:val="decimal"/>
      <w:lvlText w:val="%1."/>
      <w:lvlJc w:val="left"/>
      <w:pPr>
        <w:ind w:left="1287" w:hanging="360"/>
      </w:pPr>
    </w:lvl>
    <w:lvl w:ilvl="1" w:tentative="0">
      <w:start w:val="1"/>
      <w:numFmt w:val="decimal"/>
      <w:lvlText w:val="%2."/>
      <w:lvlJc w:val="left"/>
      <w:pPr>
        <w:ind w:left="360" w:hanging="360"/>
      </w:pPr>
    </w:lvl>
    <w:lvl w:ilvl="2" w:tentative="0">
      <w:start w:val="1"/>
      <w:numFmt w:val="decimal"/>
      <w:lvlText w:val="(%3)"/>
      <w:lvlJc w:val="left"/>
      <w:pPr>
        <w:ind w:left="2907" w:hanging="360"/>
      </w:pPr>
      <w:rPr>
        <w:rFonts w:hint="default"/>
      </w:r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86">
    <w:nsid w:val="7C9F2D2F"/>
    <w:multiLevelType w:val="multilevel"/>
    <w:tmpl w:val="7C9F2D2F"/>
    <w:lvl w:ilvl="0" w:tentative="0">
      <w:start w:val="1"/>
      <w:numFmt w:val="lowerLetter"/>
      <w:lvlText w:val="%1)"/>
      <w:lvlJc w:val="left"/>
      <w:pPr>
        <w:ind w:left="1122" w:hanging="360"/>
      </w:pPr>
    </w:lvl>
    <w:lvl w:ilvl="1" w:tentative="0">
      <w:start w:val="1"/>
      <w:numFmt w:val="lowerRoman"/>
      <w:lvlText w:val="(%2)"/>
      <w:lvlJc w:val="left"/>
      <w:pPr>
        <w:ind w:left="2202" w:hanging="720"/>
      </w:pPr>
      <w:rPr>
        <w:rFonts w:hint="default"/>
      </w:rPr>
    </w:lvl>
    <w:lvl w:ilvl="2" w:tentative="0">
      <w:start w:val="1"/>
      <w:numFmt w:val="lowerRoman"/>
      <w:lvlText w:val="%3."/>
      <w:lvlJc w:val="right"/>
      <w:pPr>
        <w:ind w:left="2562" w:hanging="180"/>
      </w:pPr>
    </w:lvl>
    <w:lvl w:ilvl="3" w:tentative="0">
      <w:start w:val="1"/>
      <w:numFmt w:val="decimal"/>
      <w:lvlText w:val="%4."/>
      <w:lvlJc w:val="left"/>
      <w:pPr>
        <w:ind w:left="3282" w:hanging="360"/>
      </w:pPr>
    </w:lvl>
    <w:lvl w:ilvl="4" w:tentative="0">
      <w:start w:val="1"/>
      <w:numFmt w:val="lowerLetter"/>
      <w:lvlText w:val="%5."/>
      <w:lvlJc w:val="left"/>
      <w:pPr>
        <w:ind w:left="4002" w:hanging="360"/>
      </w:pPr>
    </w:lvl>
    <w:lvl w:ilvl="5" w:tentative="0">
      <w:start w:val="1"/>
      <w:numFmt w:val="lowerLetter"/>
      <w:lvlText w:val="%6)"/>
      <w:lvlJc w:val="left"/>
      <w:pPr>
        <w:ind w:left="890" w:hanging="360"/>
      </w:pPr>
    </w:lvl>
    <w:lvl w:ilvl="6" w:tentative="0">
      <w:start w:val="1"/>
      <w:numFmt w:val="decimal"/>
      <w:lvlText w:val="%7."/>
      <w:lvlJc w:val="left"/>
      <w:pPr>
        <w:ind w:left="5442" w:hanging="360"/>
      </w:pPr>
    </w:lvl>
    <w:lvl w:ilvl="7" w:tentative="0">
      <w:start w:val="1"/>
      <w:numFmt w:val="lowerLetter"/>
      <w:lvlText w:val="%8."/>
      <w:lvlJc w:val="left"/>
      <w:pPr>
        <w:ind w:left="6162" w:hanging="360"/>
      </w:pPr>
    </w:lvl>
    <w:lvl w:ilvl="8" w:tentative="0">
      <w:start w:val="1"/>
      <w:numFmt w:val="lowerRoman"/>
      <w:lvlText w:val="%9."/>
      <w:lvlJc w:val="right"/>
      <w:pPr>
        <w:ind w:left="6882" w:hanging="180"/>
      </w:pPr>
    </w:lvl>
  </w:abstractNum>
  <w:abstractNum w:abstractNumId="87">
    <w:nsid w:val="7D16105C"/>
    <w:multiLevelType w:val="multilevel"/>
    <w:tmpl w:val="7D16105C"/>
    <w:lvl w:ilvl="0" w:tentative="0">
      <w:start w:val="1"/>
      <w:numFmt w:val="lowerLetter"/>
      <w:lvlText w:val="(%1)"/>
      <w:lvlJc w:val="left"/>
      <w:pPr>
        <w:ind w:left="963" w:hanging="396"/>
      </w:pPr>
      <w:rPr>
        <w:rFonts w:hint="default"/>
      </w:r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88">
    <w:nsid w:val="7D2678E4"/>
    <w:multiLevelType w:val="multilevel"/>
    <w:tmpl w:val="7D2678E4"/>
    <w:lvl w:ilvl="0" w:tentative="0">
      <w:start w:val="1"/>
      <w:numFmt w:val="lowerLetter"/>
      <w:lvlText w:val="%1)"/>
      <w:lvlJc w:val="left"/>
      <w:pPr>
        <w:ind w:left="1125" w:hanging="360"/>
      </w:pPr>
      <w:rPr>
        <w:rFonts w:hint="default"/>
      </w:rPr>
    </w:lvl>
    <w:lvl w:ilvl="1" w:tentative="0">
      <w:start w:val="1"/>
      <w:numFmt w:val="lowerLetter"/>
      <w:lvlText w:val="%2."/>
      <w:lvlJc w:val="left"/>
      <w:pPr>
        <w:ind w:left="1845" w:hanging="360"/>
      </w:pPr>
    </w:lvl>
    <w:lvl w:ilvl="2" w:tentative="0">
      <w:start w:val="1"/>
      <w:numFmt w:val="lowerRoman"/>
      <w:lvlText w:val="%3."/>
      <w:lvlJc w:val="right"/>
      <w:pPr>
        <w:ind w:left="2565" w:hanging="180"/>
      </w:pPr>
    </w:lvl>
    <w:lvl w:ilvl="3" w:tentative="0">
      <w:start w:val="1"/>
      <w:numFmt w:val="decimal"/>
      <w:lvlText w:val="%4."/>
      <w:lvlJc w:val="left"/>
      <w:pPr>
        <w:ind w:left="3285" w:hanging="360"/>
      </w:pPr>
    </w:lvl>
    <w:lvl w:ilvl="4" w:tentative="0">
      <w:start w:val="1"/>
      <w:numFmt w:val="lowerLetter"/>
      <w:lvlText w:val="%5."/>
      <w:lvlJc w:val="left"/>
      <w:pPr>
        <w:ind w:left="4005" w:hanging="360"/>
      </w:pPr>
    </w:lvl>
    <w:lvl w:ilvl="5" w:tentative="0">
      <w:start w:val="1"/>
      <w:numFmt w:val="lowerRoman"/>
      <w:lvlText w:val="%6."/>
      <w:lvlJc w:val="right"/>
      <w:pPr>
        <w:ind w:left="4725" w:hanging="180"/>
      </w:pPr>
    </w:lvl>
    <w:lvl w:ilvl="6" w:tentative="0">
      <w:start w:val="1"/>
      <w:numFmt w:val="decimal"/>
      <w:lvlText w:val="%7."/>
      <w:lvlJc w:val="left"/>
      <w:pPr>
        <w:ind w:left="5445" w:hanging="360"/>
      </w:pPr>
    </w:lvl>
    <w:lvl w:ilvl="7" w:tentative="0">
      <w:start w:val="1"/>
      <w:numFmt w:val="lowerLetter"/>
      <w:lvlText w:val="%8."/>
      <w:lvlJc w:val="left"/>
      <w:pPr>
        <w:ind w:left="6165" w:hanging="360"/>
      </w:pPr>
    </w:lvl>
    <w:lvl w:ilvl="8" w:tentative="0">
      <w:start w:val="1"/>
      <w:numFmt w:val="lowerRoman"/>
      <w:lvlText w:val="%9."/>
      <w:lvlJc w:val="right"/>
      <w:pPr>
        <w:ind w:left="6885" w:hanging="180"/>
      </w:pPr>
    </w:lvl>
  </w:abstractNum>
  <w:abstractNum w:abstractNumId="89">
    <w:nsid w:val="7DF32517"/>
    <w:multiLevelType w:val="multilevel"/>
    <w:tmpl w:val="7DF32517"/>
    <w:lvl w:ilvl="0" w:tentative="0">
      <w:start w:val="1"/>
      <w:numFmt w:val="decimal"/>
      <w:lvlText w:val="%1."/>
      <w:lvlJc w:val="left"/>
      <w:pPr>
        <w:ind w:left="1259" w:hanging="360"/>
      </w:pPr>
    </w:lvl>
    <w:lvl w:ilvl="1" w:tentative="0">
      <w:start w:val="1"/>
      <w:numFmt w:val="lowerLetter"/>
      <w:lvlText w:val="%2."/>
      <w:lvlJc w:val="left"/>
      <w:pPr>
        <w:ind w:left="1979" w:hanging="360"/>
      </w:pPr>
    </w:lvl>
    <w:lvl w:ilvl="2" w:tentative="0">
      <w:start w:val="1"/>
      <w:numFmt w:val="lowerRoman"/>
      <w:lvlText w:val="%3."/>
      <w:lvlJc w:val="right"/>
      <w:pPr>
        <w:ind w:left="2699" w:hanging="180"/>
      </w:pPr>
    </w:lvl>
    <w:lvl w:ilvl="3" w:tentative="0">
      <w:start w:val="1"/>
      <w:numFmt w:val="decimal"/>
      <w:lvlText w:val="%4."/>
      <w:lvlJc w:val="left"/>
      <w:pPr>
        <w:ind w:left="3419" w:hanging="360"/>
      </w:pPr>
    </w:lvl>
    <w:lvl w:ilvl="4" w:tentative="0">
      <w:start w:val="1"/>
      <w:numFmt w:val="lowerLetter"/>
      <w:lvlText w:val="%5."/>
      <w:lvlJc w:val="left"/>
      <w:pPr>
        <w:ind w:left="4139" w:hanging="360"/>
      </w:pPr>
    </w:lvl>
    <w:lvl w:ilvl="5" w:tentative="0">
      <w:start w:val="1"/>
      <w:numFmt w:val="lowerRoman"/>
      <w:lvlText w:val="%6."/>
      <w:lvlJc w:val="right"/>
      <w:pPr>
        <w:ind w:left="4859" w:hanging="180"/>
      </w:pPr>
    </w:lvl>
    <w:lvl w:ilvl="6" w:tentative="0">
      <w:start w:val="1"/>
      <w:numFmt w:val="decimal"/>
      <w:lvlText w:val="%7."/>
      <w:lvlJc w:val="left"/>
      <w:pPr>
        <w:ind w:left="5579" w:hanging="360"/>
      </w:pPr>
    </w:lvl>
    <w:lvl w:ilvl="7" w:tentative="0">
      <w:start w:val="1"/>
      <w:numFmt w:val="lowerLetter"/>
      <w:lvlText w:val="%8."/>
      <w:lvlJc w:val="left"/>
      <w:pPr>
        <w:ind w:left="6299" w:hanging="360"/>
      </w:pPr>
    </w:lvl>
    <w:lvl w:ilvl="8" w:tentative="0">
      <w:start w:val="1"/>
      <w:numFmt w:val="lowerRoman"/>
      <w:lvlText w:val="%9."/>
      <w:lvlJc w:val="right"/>
      <w:pPr>
        <w:ind w:left="7019" w:hanging="180"/>
      </w:pPr>
    </w:lvl>
  </w:abstractNum>
  <w:num w:numId="1">
    <w:abstractNumId w:val="48"/>
  </w:num>
  <w:num w:numId="2">
    <w:abstractNumId w:val="32"/>
  </w:num>
  <w:num w:numId="3">
    <w:abstractNumId w:val="59"/>
  </w:num>
  <w:num w:numId="4">
    <w:abstractNumId w:val="22"/>
  </w:num>
  <w:num w:numId="5">
    <w:abstractNumId w:val="72"/>
  </w:num>
  <w:num w:numId="6">
    <w:abstractNumId w:val="74"/>
  </w:num>
  <w:num w:numId="7">
    <w:abstractNumId w:val="9"/>
  </w:num>
  <w:num w:numId="8">
    <w:abstractNumId w:val="3"/>
  </w:num>
  <w:num w:numId="9">
    <w:abstractNumId w:val="29"/>
  </w:num>
  <w:num w:numId="10">
    <w:abstractNumId w:val="4"/>
    <w:lvlOverride w:ilvl="0">
      <w:lvl w:ilvl="0" w:tentative="1">
        <w:start w:val="0"/>
        <w:numFmt w:val="bullet"/>
        <w:pStyle w:val="371"/>
        <w:lvlText w:val=""/>
        <w:legacy w:legacy="1" w:legacySpace="120" w:legacyIndent="360"/>
        <w:lvlJc w:val="left"/>
        <w:pPr>
          <w:ind w:left="1080" w:hanging="360"/>
        </w:pPr>
        <w:rPr>
          <w:rFonts w:hint="default" w:ascii="Symbol" w:hAnsi="Symbol" w:cs="Times New Roman"/>
        </w:rPr>
      </w:lvl>
    </w:lvlOverride>
  </w:num>
  <w:num w:numId="11">
    <w:abstractNumId w:val="83"/>
  </w:num>
  <w:num w:numId="12">
    <w:abstractNumId w:val="28"/>
  </w:num>
  <w:num w:numId="13">
    <w:abstractNumId w:val="33"/>
  </w:num>
  <w:num w:numId="14">
    <w:abstractNumId w:val="71"/>
  </w:num>
  <w:num w:numId="1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37"/>
  </w:num>
  <w:num w:numId="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num>
  <w:num w:numId="20">
    <w:abstractNumId w:val="6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34"/>
  </w:num>
  <w:num w:numId="26">
    <w:abstractNumId w:val="80"/>
  </w:num>
  <w:num w:numId="27">
    <w:abstractNumId w:val="70"/>
  </w:num>
  <w:num w:numId="28">
    <w:abstractNumId w:val="5"/>
  </w:num>
  <w:num w:numId="29">
    <w:abstractNumId w:val="52"/>
  </w:num>
  <w:num w:numId="30">
    <w:abstractNumId w:val="16"/>
  </w:num>
  <w:num w:numId="31">
    <w:abstractNumId w:val="20"/>
  </w:num>
  <w:num w:numId="32">
    <w:abstractNumId w:val="8"/>
  </w:num>
  <w:num w:numId="33">
    <w:abstractNumId w:val="60"/>
  </w:num>
  <w:num w:numId="34">
    <w:abstractNumId w:val="26"/>
  </w:num>
  <w:num w:numId="35">
    <w:abstractNumId w:val="73"/>
  </w:num>
  <w:num w:numId="36">
    <w:abstractNumId w:val="81"/>
  </w:num>
  <w:num w:numId="37">
    <w:abstractNumId w:val="82"/>
  </w:num>
  <w:num w:numId="38">
    <w:abstractNumId w:val="35"/>
  </w:num>
  <w:num w:numId="39">
    <w:abstractNumId w:val="11"/>
  </w:num>
  <w:num w:numId="40">
    <w:abstractNumId w:val="88"/>
  </w:num>
  <w:num w:numId="41">
    <w:abstractNumId w:val="39"/>
  </w:num>
  <w:num w:numId="42">
    <w:abstractNumId w:val="58"/>
  </w:num>
  <w:num w:numId="43">
    <w:abstractNumId w:val="21"/>
  </w:num>
  <w:num w:numId="44">
    <w:abstractNumId w:val="87"/>
  </w:num>
  <w:num w:numId="45">
    <w:abstractNumId w:val="62"/>
  </w:num>
  <w:num w:numId="46">
    <w:abstractNumId w:val="85"/>
  </w:num>
  <w:num w:numId="47">
    <w:abstractNumId w:val="66"/>
  </w:num>
  <w:num w:numId="48">
    <w:abstractNumId w:val="76"/>
  </w:num>
  <w:num w:numId="49">
    <w:abstractNumId w:val="17"/>
  </w:num>
  <w:num w:numId="50">
    <w:abstractNumId w:val="65"/>
  </w:num>
  <w:num w:numId="51">
    <w:abstractNumId w:val="68"/>
  </w:num>
  <w:num w:numId="52">
    <w:abstractNumId w:val="14"/>
  </w:num>
  <w:num w:numId="53">
    <w:abstractNumId w:val="31"/>
  </w:num>
  <w:num w:numId="54">
    <w:abstractNumId w:val="50"/>
  </w:num>
  <w:num w:numId="55">
    <w:abstractNumId w:val="10"/>
  </w:num>
  <w:num w:numId="56">
    <w:abstractNumId w:val="40"/>
  </w:num>
  <w:num w:numId="57">
    <w:abstractNumId w:val="67"/>
  </w:num>
  <w:num w:numId="58">
    <w:abstractNumId w:val="56"/>
  </w:num>
  <w:num w:numId="59">
    <w:abstractNumId w:val="7"/>
  </w:num>
  <w:num w:numId="60">
    <w:abstractNumId w:val="57"/>
  </w:num>
  <w:num w:numId="61">
    <w:abstractNumId w:val="30"/>
  </w:num>
  <w:num w:numId="62">
    <w:abstractNumId w:val="18"/>
  </w:num>
  <w:num w:numId="63">
    <w:abstractNumId w:val="63"/>
  </w:num>
  <w:num w:numId="64">
    <w:abstractNumId w:val="55"/>
  </w:num>
  <w:num w:numId="65">
    <w:abstractNumId w:val="46"/>
  </w:num>
  <w:num w:numId="66">
    <w:abstractNumId w:val="61"/>
  </w:num>
  <w:num w:numId="67">
    <w:abstractNumId w:val="27"/>
  </w:num>
  <w:num w:numId="68">
    <w:abstractNumId w:val="38"/>
  </w:num>
  <w:num w:numId="69">
    <w:abstractNumId w:val="12"/>
  </w:num>
  <w:num w:numId="70">
    <w:abstractNumId w:val="41"/>
  </w:num>
  <w:num w:numId="71">
    <w:abstractNumId w:val="19"/>
  </w:num>
  <w:num w:numId="72">
    <w:abstractNumId w:val="86"/>
  </w:num>
  <w:num w:numId="73">
    <w:abstractNumId w:val="49"/>
  </w:num>
  <w:num w:numId="74">
    <w:abstractNumId w:val="54"/>
  </w:num>
  <w:num w:numId="75">
    <w:abstractNumId w:val="79"/>
  </w:num>
  <w:num w:numId="76">
    <w:abstractNumId w:val="77"/>
  </w:num>
  <w:num w:numId="77">
    <w:abstractNumId w:val="64"/>
  </w:num>
  <w:num w:numId="78">
    <w:abstractNumId w:val="78"/>
  </w:num>
  <w:num w:numId="79">
    <w:abstractNumId w:val="23"/>
  </w:num>
  <w:num w:numId="80">
    <w:abstractNumId w:val="51"/>
  </w:num>
  <w:num w:numId="81">
    <w:abstractNumId w:val="2"/>
  </w:num>
  <w:num w:numId="82">
    <w:abstractNumId w:val="1"/>
  </w:num>
  <w:num w:numId="83">
    <w:abstractNumId w:val="0"/>
  </w:num>
  <w:num w:numId="84">
    <w:abstractNumId w:val="45"/>
  </w:num>
  <w:num w:numId="85">
    <w:abstractNumId w:val="6"/>
  </w:num>
  <w:num w:numId="86">
    <w:abstractNumId w:val="53"/>
  </w:num>
  <w:num w:numId="87">
    <w:abstractNumId w:val="89"/>
  </w:num>
  <w:num w:numId="88">
    <w:abstractNumId w:val="13"/>
  </w:num>
  <w:num w:numId="89">
    <w:abstractNumId w:val="75"/>
  </w:num>
  <w:num w:numId="9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567"/>
  <w:drawingGridHorizontalSpacing w:val="110"/>
  <w:noPunctuationKerning w:val="1"/>
  <w:characterSpacingControl w:val="doNotCompress"/>
  <w:footnotePr>
    <w:numRestart w:val="eachPage"/>
    <w:footnote w:id="4"/>
    <w:footnote w:id="5"/>
  </w:footnotePr>
  <w:endnotePr>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420"/>
    <w:rsid w:val="000003D0"/>
    <w:rsid w:val="00000CB1"/>
    <w:rsid w:val="00002286"/>
    <w:rsid w:val="00002E97"/>
    <w:rsid w:val="000032E6"/>
    <w:rsid w:val="00004BA7"/>
    <w:rsid w:val="00005917"/>
    <w:rsid w:val="00007A14"/>
    <w:rsid w:val="00007AA5"/>
    <w:rsid w:val="00010056"/>
    <w:rsid w:val="00011725"/>
    <w:rsid w:val="00012C3A"/>
    <w:rsid w:val="000141AF"/>
    <w:rsid w:val="00014416"/>
    <w:rsid w:val="00015365"/>
    <w:rsid w:val="000153DF"/>
    <w:rsid w:val="00015C52"/>
    <w:rsid w:val="00016EC3"/>
    <w:rsid w:val="00017299"/>
    <w:rsid w:val="0002070C"/>
    <w:rsid w:val="00021250"/>
    <w:rsid w:val="00021A94"/>
    <w:rsid w:val="000224CE"/>
    <w:rsid w:val="000227EE"/>
    <w:rsid w:val="00022C47"/>
    <w:rsid w:val="00024364"/>
    <w:rsid w:val="00025792"/>
    <w:rsid w:val="00025ABA"/>
    <w:rsid w:val="00026F71"/>
    <w:rsid w:val="00027949"/>
    <w:rsid w:val="00030EF9"/>
    <w:rsid w:val="0003313F"/>
    <w:rsid w:val="0003350D"/>
    <w:rsid w:val="00034242"/>
    <w:rsid w:val="00035936"/>
    <w:rsid w:val="00036962"/>
    <w:rsid w:val="00037891"/>
    <w:rsid w:val="00041277"/>
    <w:rsid w:val="000415ED"/>
    <w:rsid w:val="000416A9"/>
    <w:rsid w:val="000423D1"/>
    <w:rsid w:val="00043312"/>
    <w:rsid w:val="000447C2"/>
    <w:rsid w:val="00044BB6"/>
    <w:rsid w:val="000475D9"/>
    <w:rsid w:val="000518E6"/>
    <w:rsid w:val="00056ECD"/>
    <w:rsid w:val="000570F1"/>
    <w:rsid w:val="00057228"/>
    <w:rsid w:val="00060600"/>
    <w:rsid w:val="00061A14"/>
    <w:rsid w:val="00061FD0"/>
    <w:rsid w:val="00062531"/>
    <w:rsid w:val="000629F6"/>
    <w:rsid w:val="000630EC"/>
    <w:rsid w:val="000639BB"/>
    <w:rsid w:val="0006776A"/>
    <w:rsid w:val="000677D4"/>
    <w:rsid w:val="000700DA"/>
    <w:rsid w:val="00070593"/>
    <w:rsid w:val="0007335E"/>
    <w:rsid w:val="00074653"/>
    <w:rsid w:val="0007570A"/>
    <w:rsid w:val="00076106"/>
    <w:rsid w:val="000804D6"/>
    <w:rsid w:val="00080681"/>
    <w:rsid w:val="00080A48"/>
    <w:rsid w:val="00082AF1"/>
    <w:rsid w:val="00084776"/>
    <w:rsid w:val="000849A6"/>
    <w:rsid w:val="000858E3"/>
    <w:rsid w:val="00085D59"/>
    <w:rsid w:val="00092292"/>
    <w:rsid w:val="000929FA"/>
    <w:rsid w:val="00095E4D"/>
    <w:rsid w:val="000964AC"/>
    <w:rsid w:val="00097D4B"/>
    <w:rsid w:val="000A0380"/>
    <w:rsid w:val="000A1141"/>
    <w:rsid w:val="000A133C"/>
    <w:rsid w:val="000A1FA4"/>
    <w:rsid w:val="000A3624"/>
    <w:rsid w:val="000A39C0"/>
    <w:rsid w:val="000A4193"/>
    <w:rsid w:val="000A4A57"/>
    <w:rsid w:val="000A4C3C"/>
    <w:rsid w:val="000A62D8"/>
    <w:rsid w:val="000A6A64"/>
    <w:rsid w:val="000A73A4"/>
    <w:rsid w:val="000A7DB5"/>
    <w:rsid w:val="000B1055"/>
    <w:rsid w:val="000B139B"/>
    <w:rsid w:val="000B2BB3"/>
    <w:rsid w:val="000B34AB"/>
    <w:rsid w:val="000B3A87"/>
    <w:rsid w:val="000B3AC7"/>
    <w:rsid w:val="000B3FFA"/>
    <w:rsid w:val="000B44C7"/>
    <w:rsid w:val="000B4AAA"/>
    <w:rsid w:val="000B5DB9"/>
    <w:rsid w:val="000B6449"/>
    <w:rsid w:val="000B6C1A"/>
    <w:rsid w:val="000B6E65"/>
    <w:rsid w:val="000B7548"/>
    <w:rsid w:val="000B777B"/>
    <w:rsid w:val="000C0089"/>
    <w:rsid w:val="000C14A7"/>
    <w:rsid w:val="000C20A2"/>
    <w:rsid w:val="000C31E0"/>
    <w:rsid w:val="000C3386"/>
    <w:rsid w:val="000C34A9"/>
    <w:rsid w:val="000C4D7C"/>
    <w:rsid w:val="000C4DF9"/>
    <w:rsid w:val="000C55DA"/>
    <w:rsid w:val="000C5B4C"/>
    <w:rsid w:val="000C5D22"/>
    <w:rsid w:val="000C663B"/>
    <w:rsid w:val="000C6872"/>
    <w:rsid w:val="000C7E79"/>
    <w:rsid w:val="000D161C"/>
    <w:rsid w:val="000D228C"/>
    <w:rsid w:val="000D2DB6"/>
    <w:rsid w:val="000D31D9"/>
    <w:rsid w:val="000D41E9"/>
    <w:rsid w:val="000D466E"/>
    <w:rsid w:val="000D4BC2"/>
    <w:rsid w:val="000D680F"/>
    <w:rsid w:val="000D776B"/>
    <w:rsid w:val="000D7F2F"/>
    <w:rsid w:val="000E02CD"/>
    <w:rsid w:val="000E09A2"/>
    <w:rsid w:val="000E36A1"/>
    <w:rsid w:val="000E4084"/>
    <w:rsid w:val="000E4A1F"/>
    <w:rsid w:val="000E56B7"/>
    <w:rsid w:val="000E58A9"/>
    <w:rsid w:val="000E5D08"/>
    <w:rsid w:val="000E7D07"/>
    <w:rsid w:val="000F273B"/>
    <w:rsid w:val="000F313B"/>
    <w:rsid w:val="000F3325"/>
    <w:rsid w:val="000F393E"/>
    <w:rsid w:val="000F445A"/>
    <w:rsid w:val="000F447A"/>
    <w:rsid w:val="000F5447"/>
    <w:rsid w:val="000F66CD"/>
    <w:rsid w:val="001003B8"/>
    <w:rsid w:val="00101DFB"/>
    <w:rsid w:val="00101F3E"/>
    <w:rsid w:val="00102B17"/>
    <w:rsid w:val="00102F9D"/>
    <w:rsid w:val="00104996"/>
    <w:rsid w:val="00104D42"/>
    <w:rsid w:val="00107D66"/>
    <w:rsid w:val="0011031C"/>
    <w:rsid w:val="00111247"/>
    <w:rsid w:val="00113FDC"/>
    <w:rsid w:val="0011413A"/>
    <w:rsid w:val="00114D6F"/>
    <w:rsid w:val="00116319"/>
    <w:rsid w:val="00120D29"/>
    <w:rsid w:val="001216D1"/>
    <w:rsid w:val="00123EA7"/>
    <w:rsid w:val="00123FCA"/>
    <w:rsid w:val="00124B9F"/>
    <w:rsid w:val="001252A3"/>
    <w:rsid w:val="001312FF"/>
    <w:rsid w:val="0013153A"/>
    <w:rsid w:val="00133333"/>
    <w:rsid w:val="001357CC"/>
    <w:rsid w:val="001357DD"/>
    <w:rsid w:val="00135CD9"/>
    <w:rsid w:val="00136167"/>
    <w:rsid w:val="001367C3"/>
    <w:rsid w:val="00137C4B"/>
    <w:rsid w:val="00137D6F"/>
    <w:rsid w:val="001405CF"/>
    <w:rsid w:val="00142289"/>
    <w:rsid w:val="0014258F"/>
    <w:rsid w:val="0014279F"/>
    <w:rsid w:val="001450B0"/>
    <w:rsid w:val="001457B4"/>
    <w:rsid w:val="00146995"/>
    <w:rsid w:val="00147AAF"/>
    <w:rsid w:val="00150386"/>
    <w:rsid w:val="00150CF0"/>
    <w:rsid w:val="00152128"/>
    <w:rsid w:val="00152D97"/>
    <w:rsid w:val="00154F1A"/>
    <w:rsid w:val="00157DE7"/>
    <w:rsid w:val="00160FE6"/>
    <w:rsid w:val="00161E6F"/>
    <w:rsid w:val="001624A3"/>
    <w:rsid w:val="00163143"/>
    <w:rsid w:val="00163A36"/>
    <w:rsid w:val="00163E86"/>
    <w:rsid w:val="00164198"/>
    <w:rsid w:val="001641A7"/>
    <w:rsid w:val="0016450B"/>
    <w:rsid w:val="0016512E"/>
    <w:rsid w:val="00165870"/>
    <w:rsid w:val="001669EF"/>
    <w:rsid w:val="001679E9"/>
    <w:rsid w:val="001701E6"/>
    <w:rsid w:val="00171125"/>
    <w:rsid w:val="00172476"/>
    <w:rsid w:val="0017258F"/>
    <w:rsid w:val="001726D1"/>
    <w:rsid w:val="00172F9C"/>
    <w:rsid w:val="00173A5A"/>
    <w:rsid w:val="00173B4F"/>
    <w:rsid w:val="00174835"/>
    <w:rsid w:val="0017561A"/>
    <w:rsid w:val="00175A25"/>
    <w:rsid w:val="0017663E"/>
    <w:rsid w:val="001769A6"/>
    <w:rsid w:val="00177043"/>
    <w:rsid w:val="00177232"/>
    <w:rsid w:val="001775B2"/>
    <w:rsid w:val="00177D62"/>
    <w:rsid w:val="00180120"/>
    <w:rsid w:val="0018059E"/>
    <w:rsid w:val="00181097"/>
    <w:rsid w:val="0018229D"/>
    <w:rsid w:val="00183C57"/>
    <w:rsid w:val="00184343"/>
    <w:rsid w:val="00184436"/>
    <w:rsid w:val="00184A32"/>
    <w:rsid w:val="00184E6F"/>
    <w:rsid w:val="00185FF5"/>
    <w:rsid w:val="00187E41"/>
    <w:rsid w:val="0019029A"/>
    <w:rsid w:val="00190B63"/>
    <w:rsid w:val="00191409"/>
    <w:rsid w:val="001914CD"/>
    <w:rsid w:val="00191691"/>
    <w:rsid w:val="001925CF"/>
    <w:rsid w:val="001930ED"/>
    <w:rsid w:val="001942A2"/>
    <w:rsid w:val="00195533"/>
    <w:rsid w:val="00195977"/>
    <w:rsid w:val="001976CF"/>
    <w:rsid w:val="00197708"/>
    <w:rsid w:val="001A0F30"/>
    <w:rsid w:val="001A1BC9"/>
    <w:rsid w:val="001A36D2"/>
    <w:rsid w:val="001A5B58"/>
    <w:rsid w:val="001A5D56"/>
    <w:rsid w:val="001A63B4"/>
    <w:rsid w:val="001A6FED"/>
    <w:rsid w:val="001A79B0"/>
    <w:rsid w:val="001B008B"/>
    <w:rsid w:val="001B0868"/>
    <w:rsid w:val="001B1F0D"/>
    <w:rsid w:val="001B2F14"/>
    <w:rsid w:val="001B33CB"/>
    <w:rsid w:val="001B373A"/>
    <w:rsid w:val="001B37DB"/>
    <w:rsid w:val="001B42A1"/>
    <w:rsid w:val="001B515B"/>
    <w:rsid w:val="001B56C7"/>
    <w:rsid w:val="001B599E"/>
    <w:rsid w:val="001C025B"/>
    <w:rsid w:val="001C1DF4"/>
    <w:rsid w:val="001C2305"/>
    <w:rsid w:val="001C465C"/>
    <w:rsid w:val="001C4CA7"/>
    <w:rsid w:val="001C5FDF"/>
    <w:rsid w:val="001C6ABF"/>
    <w:rsid w:val="001C7199"/>
    <w:rsid w:val="001C76C8"/>
    <w:rsid w:val="001C7B25"/>
    <w:rsid w:val="001C7BFB"/>
    <w:rsid w:val="001D0057"/>
    <w:rsid w:val="001D04CA"/>
    <w:rsid w:val="001D085C"/>
    <w:rsid w:val="001D1398"/>
    <w:rsid w:val="001D19A4"/>
    <w:rsid w:val="001D1A7A"/>
    <w:rsid w:val="001D1E9F"/>
    <w:rsid w:val="001D24E2"/>
    <w:rsid w:val="001D41F4"/>
    <w:rsid w:val="001D47E1"/>
    <w:rsid w:val="001D50B4"/>
    <w:rsid w:val="001D52C0"/>
    <w:rsid w:val="001E0BBC"/>
    <w:rsid w:val="001E1707"/>
    <w:rsid w:val="001E22D6"/>
    <w:rsid w:val="001E30F7"/>
    <w:rsid w:val="001E38AC"/>
    <w:rsid w:val="001E49FD"/>
    <w:rsid w:val="001E5141"/>
    <w:rsid w:val="001E68BD"/>
    <w:rsid w:val="001E7B87"/>
    <w:rsid w:val="001E7CF7"/>
    <w:rsid w:val="001F0C1E"/>
    <w:rsid w:val="001F0C8A"/>
    <w:rsid w:val="001F17E8"/>
    <w:rsid w:val="001F1A0C"/>
    <w:rsid w:val="001F1F44"/>
    <w:rsid w:val="001F1F94"/>
    <w:rsid w:val="001F2532"/>
    <w:rsid w:val="001F2B6B"/>
    <w:rsid w:val="001F2FAD"/>
    <w:rsid w:val="001F30F7"/>
    <w:rsid w:val="001F35C8"/>
    <w:rsid w:val="001F48E2"/>
    <w:rsid w:val="001F63D9"/>
    <w:rsid w:val="001F6A8B"/>
    <w:rsid w:val="001F7492"/>
    <w:rsid w:val="001F7CE7"/>
    <w:rsid w:val="001F7E02"/>
    <w:rsid w:val="001F7E04"/>
    <w:rsid w:val="00202082"/>
    <w:rsid w:val="002033BA"/>
    <w:rsid w:val="00203CBC"/>
    <w:rsid w:val="00203F62"/>
    <w:rsid w:val="00204243"/>
    <w:rsid w:val="00204515"/>
    <w:rsid w:val="00204687"/>
    <w:rsid w:val="0020485E"/>
    <w:rsid w:val="002049DB"/>
    <w:rsid w:val="00204C55"/>
    <w:rsid w:val="002078A1"/>
    <w:rsid w:val="00212539"/>
    <w:rsid w:val="002128F9"/>
    <w:rsid w:val="002137FF"/>
    <w:rsid w:val="002145FB"/>
    <w:rsid w:val="00217C30"/>
    <w:rsid w:val="00220CC7"/>
    <w:rsid w:val="00221528"/>
    <w:rsid w:val="0022161E"/>
    <w:rsid w:val="0022250C"/>
    <w:rsid w:val="002228DE"/>
    <w:rsid w:val="002239B2"/>
    <w:rsid w:val="00223E63"/>
    <w:rsid w:val="00224204"/>
    <w:rsid w:val="00224B13"/>
    <w:rsid w:val="00231919"/>
    <w:rsid w:val="00231C37"/>
    <w:rsid w:val="00231DE6"/>
    <w:rsid w:val="00231F76"/>
    <w:rsid w:val="002321B4"/>
    <w:rsid w:val="0023287A"/>
    <w:rsid w:val="00233088"/>
    <w:rsid w:val="002372A4"/>
    <w:rsid w:val="00237FE5"/>
    <w:rsid w:val="002405E4"/>
    <w:rsid w:val="00240C02"/>
    <w:rsid w:val="00240C94"/>
    <w:rsid w:val="002412BC"/>
    <w:rsid w:val="002415C3"/>
    <w:rsid w:val="0024197D"/>
    <w:rsid w:val="00241B8A"/>
    <w:rsid w:val="002433A8"/>
    <w:rsid w:val="0024445C"/>
    <w:rsid w:val="00244846"/>
    <w:rsid w:val="00245DCA"/>
    <w:rsid w:val="0025012A"/>
    <w:rsid w:val="00250BEC"/>
    <w:rsid w:val="0025116C"/>
    <w:rsid w:val="0025133E"/>
    <w:rsid w:val="00252480"/>
    <w:rsid w:val="0025272E"/>
    <w:rsid w:val="0025431E"/>
    <w:rsid w:val="00255A34"/>
    <w:rsid w:val="00255E8B"/>
    <w:rsid w:val="0025618A"/>
    <w:rsid w:val="002572A6"/>
    <w:rsid w:val="0025748B"/>
    <w:rsid w:val="00261435"/>
    <w:rsid w:val="00261558"/>
    <w:rsid w:val="00262205"/>
    <w:rsid w:val="00262EC8"/>
    <w:rsid w:val="00263A4B"/>
    <w:rsid w:val="00263CD3"/>
    <w:rsid w:val="00263EBB"/>
    <w:rsid w:val="00265942"/>
    <w:rsid w:val="00265BB7"/>
    <w:rsid w:val="00266E63"/>
    <w:rsid w:val="00267A3C"/>
    <w:rsid w:val="00270310"/>
    <w:rsid w:val="00270FF5"/>
    <w:rsid w:val="002711A3"/>
    <w:rsid w:val="00272219"/>
    <w:rsid w:val="002754DB"/>
    <w:rsid w:val="00275EF8"/>
    <w:rsid w:val="00276AE8"/>
    <w:rsid w:val="00276B3E"/>
    <w:rsid w:val="0027722D"/>
    <w:rsid w:val="002772C8"/>
    <w:rsid w:val="002806C4"/>
    <w:rsid w:val="00280930"/>
    <w:rsid w:val="00280C0B"/>
    <w:rsid w:val="00280D06"/>
    <w:rsid w:val="002830B7"/>
    <w:rsid w:val="00284289"/>
    <w:rsid w:val="002852D3"/>
    <w:rsid w:val="00290C94"/>
    <w:rsid w:val="00291CB2"/>
    <w:rsid w:val="0029270C"/>
    <w:rsid w:val="00292927"/>
    <w:rsid w:val="00292A0B"/>
    <w:rsid w:val="00293163"/>
    <w:rsid w:val="002936D9"/>
    <w:rsid w:val="00293727"/>
    <w:rsid w:val="0029373A"/>
    <w:rsid w:val="002944ED"/>
    <w:rsid w:val="00294C60"/>
    <w:rsid w:val="002A1847"/>
    <w:rsid w:val="002A2073"/>
    <w:rsid w:val="002A2B6C"/>
    <w:rsid w:val="002A36BB"/>
    <w:rsid w:val="002A3B4A"/>
    <w:rsid w:val="002A3C93"/>
    <w:rsid w:val="002A43F8"/>
    <w:rsid w:val="002A45F4"/>
    <w:rsid w:val="002A6626"/>
    <w:rsid w:val="002A6C84"/>
    <w:rsid w:val="002A77F2"/>
    <w:rsid w:val="002A7E4D"/>
    <w:rsid w:val="002B168F"/>
    <w:rsid w:val="002B1D96"/>
    <w:rsid w:val="002B2827"/>
    <w:rsid w:val="002B438A"/>
    <w:rsid w:val="002B46C2"/>
    <w:rsid w:val="002B4EA9"/>
    <w:rsid w:val="002B5489"/>
    <w:rsid w:val="002B6F6E"/>
    <w:rsid w:val="002B752F"/>
    <w:rsid w:val="002B75D4"/>
    <w:rsid w:val="002C03B9"/>
    <w:rsid w:val="002C0614"/>
    <w:rsid w:val="002C08DF"/>
    <w:rsid w:val="002C0DA2"/>
    <w:rsid w:val="002C290C"/>
    <w:rsid w:val="002C2AE6"/>
    <w:rsid w:val="002C359A"/>
    <w:rsid w:val="002C4207"/>
    <w:rsid w:val="002C5D29"/>
    <w:rsid w:val="002C6287"/>
    <w:rsid w:val="002C66A7"/>
    <w:rsid w:val="002C691A"/>
    <w:rsid w:val="002C7523"/>
    <w:rsid w:val="002C7DDE"/>
    <w:rsid w:val="002C7E5B"/>
    <w:rsid w:val="002D030C"/>
    <w:rsid w:val="002D0DCE"/>
    <w:rsid w:val="002D17D3"/>
    <w:rsid w:val="002D250C"/>
    <w:rsid w:val="002D4AE9"/>
    <w:rsid w:val="002D5030"/>
    <w:rsid w:val="002D5593"/>
    <w:rsid w:val="002D6651"/>
    <w:rsid w:val="002D72B0"/>
    <w:rsid w:val="002D7AC3"/>
    <w:rsid w:val="002D7CB8"/>
    <w:rsid w:val="002E0A13"/>
    <w:rsid w:val="002E1964"/>
    <w:rsid w:val="002E28E3"/>
    <w:rsid w:val="002E3B91"/>
    <w:rsid w:val="002E4E14"/>
    <w:rsid w:val="002E63AE"/>
    <w:rsid w:val="002E68DD"/>
    <w:rsid w:val="002E6A39"/>
    <w:rsid w:val="002E712D"/>
    <w:rsid w:val="002E7871"/>
    <w:rsid w:val="002F0FBE"/>
    <w:rsid w:val="002F2D03"/>
    <w:rsid w:val="002F3A74"/>
    <w:rsid w:val="002F3EC2"/>
    <w:rsid w:val="002F5595"/>
    <w:rsid w:val="002F7426"/>
    <w:rsid w:val="002F74B1"/>
    <w:rsid w:val="002F7CE7"/>
    <w:rsid w:val="00300148"/>
    <w:rsid w:val="003001CD"/>
    <w:rsid w:val="00301518"/>
    <w:rsid w:val="003026A0"/>
    <w:rsid w:val="0030358C"/>
    <w:rsid w:val="003036F1"/>
    <w:rsid w:val="00303943"/>
    <w:rsid w:val="003053E7"/>
    <w:rsid w:val="003069A8"/>
    <w:rsid w:val="0030707B"/>
    <w:rsid w:val="00307084"/>
    <w:rsid w:val="00307145"/>
    <w:rsid w:val="00311293"/>
    <w:rsid w:val="00311477"/>
    <w:rsid w:val="003114DD"/>
    <w:rsid w:val="003134B1"/>
    <w:rsid w:val="003139D7"/>
    <w:rsid w:val="00314A07"/>
    <w:rsid w:val="0031765B"/>
    <w:rsid w:val="003223AC"/>
    <w:rsid w:val="003225A9"/>
    <w:rsid w:val="00322690"/>
    <w:rsid w:val="003231A2"/>
    <w:rsid w:val="00323223"/>
    <w:rsid w:val="003243A5"/>
    <w:rsid w:val="00326A3B"/>
    <w:rsid w:val="003270B7"/>
    <w:rsid w:val="003271FE"/>
    <w:rsid w:val="00327B99"/>
    <w:rsid w:val="00327C5F"/>
    <w:rsid w:val="00327EDC"/>
    <w:rsid w:val="00331C97"/>
    <w:rsid w:val="0033232C"/>
    <w:rsid w:val="00333097"/>
    <w:rsid w:val="0033385E"/>
    <w:rsid w:val="00333DC9"/>
    <w:rsid w:val="00334BB5"/>
    <w:rsid w:val="0033551C"/>
    <w:rsid w:val="0033578C"/>
    <w:rsid w:val="003376CC"/>
    <w:rsid w:val="00337DA0"/>
    <w:rsid w:val="003403BF"/>
    <w:rsid w:val="00343636"/>
    <w:rsid w:val="00346830"/>
    <w:rsid w:val="00346D9C"/>
    <w:rsid w:val="00351F84"/>
    <w:rsid w:val="00352352"/>
    <w:rsid w:val="00352500"/>
    <w:rsid w:val="00352693"/>
    <w:rsid w:val="00352BFC"/>
    <w:rsid w:val="003559AF"/>
    <w:rsid w:val="0035782F"/>
    <w:rsid w:val="0036138D"/>
    <w:rsid w:val="00361475"/>
    <w:rsid w:val="00361E85"/>
    <w:rsid w:val="00362CC1"/>
    <w:rsid w:val="003634E3"/>
    <w:rsid w:val="00364E2A"/>
    <w:rsid w:val="00366061"/>
    <w:rsid w:val="00366C44"/>
    <w:rsid w:val="00370E9C"/>
    <w:rsid w:val="0037446D"/>
    <w:rsid w:val="00374471"/>
    <w:rsid w:val="00375523"/>
    <w:rsid w:val="00376FE6"/>
    <w:rsid w:val="0037716A"/>
    <w:rsid w:val="003812A2"/>
    <w:rsid w:val="00381976"/>
    <w:rsid w:val="00381F27"/>
    <w:rsid w:val="00384ADB"/>
    <w:rsid w:val="003851BD"/>
    <w:rsid w:val="003854D8"/>
    <w:rsid w:val="00386EDB"/>
    <w:rsid w:val="00387281"/>
    <w:rsid w:val="003879A9"/>
    <w:rsid w:val="00387EDC"/>
    <w:rsid w:val="00390AF8"/>
    <w:rsid w:val="00390CE7"/>
    <w:rsid w:val="00391939"/>
    <w:rsid w:val="00393568"/>
    <w:rsid w:val="00393831"/>
    <w:rsid w:val="00393A35"/>
    <w:rsid w:val="00393EAF"/>
    <w:rsid w:val="003946A0"/>
    <w:rsid w:val="00395EFB"/>
    <w:rsid w:val="003964FC"/>
    <w:rsid w:val="00397B2B"/>
    <w:rsid w:val="003A05D5"/>
    <w:rsid w:val="003A207D"/>
    <w:rsid w:val="003A2A7B"/>
    <w:rsid w:val="003A3C6D"/>
    <w:rsid w:val="003A6F75"/>
    <w:rsid w:val="003A7C61"/>
    <w:rsid w:val="003B0A84"/>
    <w:rsid w:val="003B1035"/>
    <w:rsid w:val="003B3E5A"/>
    <w:rsid w:val="003B3EDB"/>
    <w:rsid w:val="003B4C07"/>
    <w:rsid w:val="003B5C89"/>
    <w:rsid w:val="003B60B9"/>
    <w:rsid w:val="003B6E12"/>
    <w:rsid w:val="003B6E2A"/>
    <w:rsid w:val="003B7E38"/>
    <w:rsid w:val="003C1224"/>
    <w:rsid w:val="003C1B7F"/>
    <w:rsid w:val="003C2B6D"/>
    <w:rsid w:val="003C398D"/>
    <w:rsid w:val="003C4585"/>
    <w:rsid w:val="003C4E07"/>
    <w:rsid w:val="003C653E"/>
    <w:rsid w:val="003C70DC"/>
    <w:rsid w:val="003C7940"/>
    <w:rsid w:val="003D05DC"/>
    <w:rsid w:val="003D1003"/>
    <w:rsid w:val="003D1530"/>
    <w:rsid w:val="003D207F"/>
    <w:rsid w:val="003D25A3"/>
    <w:rsid w:val="003D273A"/>
    <w:rsid w:val="003D3959"/>
    <w:rsid w:val="003D4CCB"/>
    <w:rsid w:val="003D4E50"/>
    <w:rsid w:val="003D5129"/>
    <w:rsid w:val="003D6983"/>
    <w:rsid w:val="003D6C09"/>
    <w:rsid w:val="003E02BC"/>
    <w:rsid w:val="003E1716"/>
    <w:rsid w:val="003E1737"/>
    <w:rsid w:val="003E2BB6"/>
    <w:rsid w:val="003E33C5"/>
    <w:rsid w:val="003E4BA0"/>
    <w:rsid w:val="003E4CB4"/>
    <w:rsid w:val="003E571C"/>
    <w:rsid w:val="003E5880"/>
    <w:rsid w:val="003E58B2"/>
    <w:rsid w:val="003E5EFF"/>
    <w:rsid w:val="003E68B9"/>
    <w:rsid w:val="003F0B1D"/>
    <w:rsid w:val="003F1482"/>
    <w:rsid w:val="003F1668"/>
    <w:rsid w:val="003F231B"/>
    <w:rsid w:val="003F2E06"/>
    <w:rsid w:val="003F2FD0"/>
    <w:rsid w:val="003F3972"/>
    <w:rsid w:val="003F45C0"/>
    <w:rsid w:val="003F583D"/>
    <w:rsid w:val="003F7115"/>
    <w:rsid w:val="003F7899"/>
    <w:rsid w:val="003F7C84"/>
    <w:rsid w:val="003F7CB3"/>
    <w:rsid w:val="0040215D"/>
    <w:rsid w:val="00402255"/>
    <w:rsid w:val="00402742"/>
    <w:rsid w:val="00403625"/>
    <w:rsid w:val="00405FA0"/>
    <w:rsid w:val="00405FAA"/>
    <w:rsid w:val="00406117"/>
    <w:rsid w:val="00407611"/>
    <w:rsid w:val="00407E67"/>
    <w:rsid w:val="00407FBB"/>
    <w:rsid w:val="00411062"/>
    <w:rsid w:val="00411496"/>
    <w:rsid w:val="00411613"/>
    <w:rsid w:val="00411B60"/>
    <w:rsid w:val="0041220B"/>
    <w:rsid w:val="004125EC"/>
    <w:rsid w:val="00415073"/>
    <w:rsid w:val="004163BE"/>
    <w:rsid w:val="0041694F"/>
    <w:rsid w:val="00416A25"/>
    <w:rsid w:val="00416E2F"/>
    <w:rsid w:val="00417460"/>
    <w:rsid w:val="00417529"/>
    <w:rsid w:val="00420EBC"/>
    <w:rsid w:val="0042176B"/>
    <w:rsid w:val="004237B9"/>
    <w:rsid w:val="00423CCE"/>
    <w:rsid w:val="00423DAE"/>
    <w:rsid w:val="00424D59"/>
    <w:rsid w:val="00425820"/>
    <w:rsid w:val="00425BF6"/>
    <w:rsid w:val="00426079"/>
    <w:rsid w:val="00426709"/>
    <w:rsid w:val="00430FEB"/>
    <w:rsid w:val="00431796"/>
    <w:rsid w:val="00433D4F"/>
    <w:rsid w:val="004346DB"/>
    <w:rsid w:val="00434F5E"/>
    <w:rsid w:val="00435D3F"/>
    <w:rsid w:val="00436B28"/>
    <w:rsid w:val="00437998"/>
    <w:rsid w:val="004403AD"/>
    <w:rsid w:val="00441074"/>
    <w:rsid w:val="004437C9"/>
    <w:rsid w:val="00444D6F"/>
    <w:rsid w:val="00444E40"/>
    <w:rsid w:val="004450C9"/>
    <w:rsid w:val="004456FE"/>
    <w:rsid w:val="00445DD6"/>
    <w:rsid w:val="00446221"/>
    <w:rsid w:val="00446CA3"/>
    <w:rsid w:val="004472B3"/>
    <w:rsid w:val="0044746B"/>
    <w:rsid w:val="004476B9"/>
    <w:rsid w:val="00450B49"/>
    <w:rsid w:val="00450E43"/>
    <w:rsid w:val="00451027"/>
    <w:rsid w:val="004529E7"/>
    <w:rsid w:val="00453A67"/>
    <w:rsid w:val="004542C7"/>
    <w:rsid w:val="004554FE"/>
    <w:rsid w:val="004559AB"/>
    <w:rsid w:val="004617F6"/>
    <w:rsid w:val="00461A83"/>
    <w:rsid w:val="00462306"/>
    <w:rsid w:val="004638C2"/>
    <w:rsid w:val="00464EF4"/>
    <w:rsid w:val="00465683"/>
    <w:rsid w:val="004665B1"/>
    <w:rsid w:val="004669CC"/>
    <w:rsid w:val="0047051B"/>
    <w:rsid w:val="004712A1"/>
    <w:rsid w:val="00472E77"/>
    <w:rsid w:val="00472F76"/>
    <w:rsid w:val="0047372E"/>
    <w:rsid w:val="004739E0"/>
    <w:rsid w:val="00474550"/>
    <w:rsid w:val="00474563"/>
    <w:rsid w:val="00474B18"/>
    <w:rsid w:val="00475300"/>
    <w:rsid w:val="00476153"/>
    <w:rsid w:val="00480D3E"/>
    <w:rsid w:val="00481E15"/>
    <w:rsid w:val="00481F06"/>
    <w:rsid w:val="004829A1"/>
    <w:rsid w:val="00482B06"/>
    <w:rsid w:val="0048334F"/>
    <w:rsid w:val="00483376"/>
    <w:rsid w:val="0048346E"/>
    <w:rsid w:val="00483696"/>
    <w:rsid w:val="00484697"/>
    <w:rsid w:val="0048490C"/>
    <w:rsid w:val="0048512B"/>
    <w:rsid w:val="00485469"/>
    <w:rsid w:val="0048605C"/>
    <w:rsid w:val="0048628D"/>
    <w:rsid w:val="00486AB0"/>
    <w:rsid w:val="00486F9F"/>
    <w:rsid w:val="00487462"/>
    <w:rsid w:val="004874D4"/>
    <w:rsid w:val="00487799"/>
    <w:rsid w:val="00491454"/>
    <w:rsid w:val="00491BF9"/>
    <w:rsid w:val="00492C21"/>
    <w:rsid w:val="00492FDB"/>
    <w:rsid w:val="00494591"/>
    <w:rsid w:val="004946BB"/>
    <w:rsid w:val="00494F4E"/>
    <w:rsid w:val="0049554C"/>
    <w:rsid w:val="00497A11"/>
    <w:rsid w:val="004A051A"/>
    <w:rsid w:val="004A0E5B"/>
    <w:rsid w:val="004A124A"/>
    <w:rsid w:val="004A2C4B"/>
    <w:rsid w:val="004A4189"/>
    <w:rsid w:val="004A4CB6"/>
    <w:rsid w:val="004A5B80"/>
    <w:rsid w:val="004A5CDA"/>
    <w:rsid w:val="004A6BDA"/>
    <w:rsid w:val="004A6E2E"/>
    <w:rsid w:val="004A7047"/>
    <w:rsid w:val="004A7E5A"/>
    <w:rsid w:val="004B029C"/>
    <w:rsid w:val="004B093F"/>
    <w:rsid w:val="004B0CE6"/>
    <w:rsid w:val="004B0E4A"/>
    <w:rsid w:val="004B2039"/>
    <w:rsid w:val="004B21CC"/>
    <w:rsid w:val="004B295F"/>
    <w:rsid w:val="004B4518"/>
    <w:rsid w:val="004B4A5E"/>
    <w:rsid w:val="004B4AFC"/>
    <w:rsid w:val="004B50BB"/>
    <w:rsid w:val="004B6680"/>
    <w:rsid w:val="004B6ECD"/>
    <w:rsid w:val="004B74A7"/>
    <w:rsid w:val="004B7F0D"/>
    <w:rsid w:val="004C0357"/>
    <w:rsid w:val="004C038E"/>
    <w:rsid w:val="004C0B25"/>
    <w:rsid w:val="004C0C37"/>
    <w:rsid w:val="004C2307"/>
    <w:rsid w:val="004C3451"/>
    <w:rsid w:val="004C3AEF"/>
    <w:rsid w:val="004C4517"/>
    <w:rsid w:val="004C4834"/>
    <w:rsid w:val="004C4D52"/>
    <w:rsid w:val="004C5885"/>
    <w:rsid w:val="004C5962"/>
    <w:rsid w:val="004C6AE3"/>
    <w:rsid w:val="004C7053"/>
    <w:rsid w:val="004D0A44"/>
    <w:rsid w:val="004D1A93"/>
    <w:rsid w:val="004D28E3"/>
    <w:rsid w:val="004D2945"/>
    <w:rsid w:val="004D3DAE"/>
    <w:rsid w:val="004D456E"/>
    <w:rsid w:val="004D4CCC"/>
    <w:rsid w:val="004D5A49"/>
    <w:rsid w:val="004D64B9"/>
    <w:rsid w:val="004D675F"/>
    <w:rsid w:val="004D67A7"/>
    <w:rsid w:val="004E26E0"/>
    <w:rsid w:val="004E2754"/>
    <w:rsid w:val="004E2D1E"/>
    <w:rsid w:val="004E3779"/>
    <w:rsid w:val="004E6408"/>
    <w:rsid w:val="004E64DC"/>
    <w:rsid w:val="004E73BB"/>
    <w:rsid w:val="004E776C"/>
    <w:rsid w:val="004F0059"/>
    <w:rsid w:val="004F0576"/>
    <w:rsid w:val="004F36AD"/>
    <w:rsid w:val="004F39DF"/>
    <w:rsid w:val="004F4E16"/>
    <w:rsid w:val="004F5523"/>
    <w:rsid w:val="004F6BB9"/>
    <w:rsid w:val="004F6F75"/>
    <w:rsid w:val="004F732C"/>
    <w:rsid w:val="004F7C7D"/>
    <w:rsid w:val="004F7F4F"/>
    <w:rsid w:val="0050127F"/>
    <w:rsid w:val="00502B11"/>
    <w:rsid w:val="00502C0F"/>
    <w:rsid w:val="00502CA0"/>
    <w:rsid w:val="005030A9"/>
    <w:rsid w:val="00503CB4"/>
    <w:rsid w:val="00503E1E"/>
    <w:rsid w:val="00504ADB"/>
    <w:rsid w:val="00504D21"/>
    <w:rsid w:val="00504ED0"/>
    <w:rsid w:val="00506294"/>
    <w:rsid w:val="0050692D"/>
    <w:rsid w:val="00507F96"/>
    <w:rsid w:val="00510665"/>
    <w:rsid w:val="00510D50"/>
    <w:rsid w:val="005115D9"/>
    <w:rsid w:val="00511C16"/>
    <w:rsid w:val="0051200B"/>
    <w:rsid w:val="00514634"/>
    <w:rsid w:val="00516196"/>
    <w:rsid w:val="00516A93"/>
    <w:rsid w:val="005210A9"/>
    <w:rsid w:val="005210C9"/>
    <w:rsid w:val="00521308"/>
    <w:rsid w:val="0052132B"/>
    <w:rsid w:val="00521887"/>
    <w:rsid w:val="0052339D"/>
    <w:rsid w:val="00523854"/>
    <w:rsid w:val="00523C82"/>
    <w:rsid w:val="00524BD3"/>
    <w:rsid w:val="00525947"/>
    <w:rsid w:val="00525B56"/>
    <w:rsid w:val="00525B71"/>
    <w:rsid w:val="00526B94"/>
    <w:rsid w:val="00526F00"/>
    <w:rsid w:val="00534219"/>
    <w:rsid w:val="00535208"/>
    <w:rsid w:val="00535A50"/>
    <w:rsid w:val="00535B9C"/>
    <w:rsid w:val="00535F3A"/>
    <w:rsid w:val="0053701B"/>
    <w:rsid w:val="00540549"/>
    <w:rsid w:val="00540748"/>
    <w:rsid w:val="00540A32"/>
    <w:rsid w:val="00546C39"/>
    <w:rsid w:val="0054737D"/>
    <w:rsid w:val="005474F1"/>
    <w:rsid w:val="00547E35"/>
    <w:rsid w:val="00550274"/>
    <w:rsid w:val="00550DD4"/>
    <w:rsid w:val="005526C3"/>
    <w:rsid w:val="005527B1"/>
    <w:rsid w:val="00552FD1"/>
    <w:rsid w:val="0055350A"/>
    <w:rsid w:val="005540B8"/>
    <w:rsid w:val="00554C85"/>
    <w:rsid w:val="00554DA5"/>
    <w:rsid w:val="00554DFA"/>
    <w:rsid w:val="00555544"/>
    <w:rsid w:val="00555EBF"/>
    <w:rsid w:val="00556CFA"/>
    <w:rsid w:val="00556F83"/>
    <w:rsid w:val="0055715B"/>
    <w:rsid w:val="005571C8"/>
    <w:rsid w:val="00557374"/>
    <w:rsid w:val="005574B8"/>
    <w:rsid w:val="005579D9"/>
    <w:rsid w:val="00557DA1"/>
    <w:rsid w:val="00557EDD"/>
    <w:rsid w:val="00560794"/>
    <w:rsid w:val="00561CA8"/>
    <w:rsid w:val="00561DDB"/>
    <w:rsid w:val="00561F15"/>
    <w:rsid w:val="00561FBF"/>
    <w:rsid w:val="0056458F"/>
    <w:rsid w:val="00564DEC"/>
    <w:rsid w:val="0056510F"/>
    <w:rsid w:val="0056595A"/>
    <w:rsid w:val="00565B62"/>
    <w:rsid w:val="00565DD8"/>
    <w:rsid w:val="00565E3C"/>
    <w:rsid w:val="00566ED1"/>
    <w:rsid w:val="00570512"/>
    <w:rsid w:val="005715CA"/>
    <w:rsid w:val="00571696"/>
    <w:rsid w:val="00571AF5"/>
    <w:rsid w:val="00571B21"/>
    <w:rsid w:val="0057289F"/>
    <w:rsid w:val="005731D0"/>
    <w:rsid w:val="00573C4C"/>
    <w:rsid w:val="00574C9F"/>
    <w:rsid w:val="005765A1"/>
    <w:rsid w:val="005768E7"/>
    <w:rsid w:val="00576B0A"/>
    <w:rsid w:val="00576C17"/>
    <w:rsid w:val="0057753A"/>
    <w:rsid w:val="00577CBC"/>
    <w:rsid w:val="00577E81"/>
    <w:rsid w:val="00580AD3"/>
    <w:rsid w:val="00581C71"/>
    <w:rsid w:val="005821F4"/>
    <w:rsid w:val="0058231C"/>
    <w:rsid w:val="0058241B"/>
    <w:rsid w:val="00582BB0"/>
    <w:rsid w:val="00583179"/>
    <w:rsid w:val="0058367A"/>
    <w:rsid w:val="00583A1C"/>
    <w:rsid w:val="00583DD6"/>
    <w:rsid w:val="00584FAF"/>
    <w:rsid w:val="005854F0"/>
    <w:rsid w:val="00586440"/>
    <w:rsid w:val="00587B70"/>
    <w:rsid w:val="0059027E"/>
    <w:rsid w:val="0059454E"/>
    <w:rsid w:val="0059588E"/>
    <w:rsid w:val="0059593E"/>
    <w:rsid w:val="00595AFE"/>
    <w:rsid w:val="005A0EAE"/>
    <w:rsid w:val="005A1077"/>
    <w:rsid w:val="005A1659"/>
    <w:rsid w:val="005A3445"/>
    <w:rsid w:val="005A35B1"/>
    <w:rsid w:val="005A3A99"/>
    <w:rsid w:val="005A459C"/>
    <w:rsid w:val="005A4A8A"/>
    <w:rsid w:val="005A64F5"/>
    <w:rsid w:val="005A691D"/>
    <w:rsid w:val="005A6B57"/>
    <w:rsid w:val="005A7A02"/>
    <w:rsid w:val="005A7E2F"/>
    <w:rsid w:val="005B05B4"/>
    <w:rsid w:val="005B1082"/>
    <w:rsid w:val="005B1574"/>
    <w:rsid w:val="005B1FD9"/>
    <w:rsid w:val="005B25D9"/>
    <w:rsid w:val="005B44B4"/>
    <w:rsid w:val="005B6C8F"/>
    <w:rsid w:val="005B7FF0"/>
    <w:rsid w:val="005C045E"/>
    <w:rsid w:val="005C0559"/>
    <w:rsid w:val="005C1972"/>
    <w:rsid w:val="005C3061"/>
    <w:rsid w:val="005C3DD1"/>
    <w:rsid w:val="005C4E99"/>
    <w:rsid w:val="005C5D97"/>
    <w:rsid w:val="005D0AB1"/>
    <w:rsid w:val="005D15A1"/>
    <w:rsid w:val="005D1A3A"/>
    <w:rsid w:val="005D4249"/>
    <w:rsid w:val="005D4661"/>
    <w:rsid w:val="005D66C4"/>
    <w:rsid w:val="005D7119"/>
    <w:rsid w:val="005D7339"/>
    <w:rsid w:val="005E14F3"/>
    <w:rsid w:val="005E1848"/>
    <w:rsid w:val="005E1E2B"/>
    <w:rsid w:val="005E29A3"/>
    <w:rsid w:val="005E2DCF"/>
    <w:rsid w:val="005E3291"/>
    <w:rsid w:val="005E3720"/>
    <w:rsid w:val="005E392E"/>
    <w:rsid w:val="005E3A11"/>
    <w:rsid w:val="005E443B"/>
    <w:rsid w:val="005E5524"/>
    <w:rsid w:val="005E5B60"/>
    <w:rsid w:val="005E648B"/>
    <w:rsid w:val="005E67C6"/>
    <w:rsid w:val="005E6B15"/>
    <w:rsid w:val="005F07C5"/>
    <w:rsid w:val="005F106D"/>
    <w:rsid w:val="005F1206"/>
    <w:rsid w:val="005F3578"/>
    <w:rsid w:val="005F6942"/>
    <w:rsid w:val="005F6C60"/>
    <w:rsid w:val="005F7069"/>
    <w:rsid w:val="005F7652"/>
    <w:rsid w:val="005F7D4A"/>
    <w:rsid w:val="006002F0"/>
    <w:rsid w:val="00600420"/>
    <w:rsid w:val="00601200"/>
    <w:rsid w:val="00601D4F"/>
    <w:rsid w:val="0060297D"/>
    <w:rsid w:val="00604838"/>
    <w:rsid w:val="006052FB"/>
    <w:rsid w:val="0060600A"/>
    <w:rsid w:val="0060600E"/>
    <w:rsid w:val="00606258"/>
    <w:rsid w:val="00606675"/>
    <w:rsid w:val="006067DF"/>
    <w:rsid w:val="0060785C"/>
    <w:rsid w:val="00607F3A"/>
    <w:rsid w:val="00610271"/>
    <w:rsid w:val="00611FE4"/>
    <w:rsid w:val="006145C8"/>
    <w:rsid w:val="00614DB0"/>
    <w:rsid w:val="00616C38"/>
    <w:rsid w:val="00616D70"/>
    <w:rsid w:val="00617B8B"/>
    <w:rsid w:val="00617C41"/>
    <w:rsid w:val="00621EFA"/>
    <w:rsid w:val="006225D8"/>
    <w:rsid w:val="006232C5"/>
    <w:rsid w:val="00623CD7"/>
    <w:rsid w:val="00626C00"/>
    <w:rsid w:val="00627B19"/>
    <w:rsid w:val="00627BDF"/>
    <w:rsid w:val="006300B6"/>
    <w:rsid w:val="006309F8"/>
    <w:rsid w:val="00630C93"/>
    <w:rsid w:val="00631D98"/>
    <w:rsid w:val="00632272"/>
    <w:rsid w:val="006323D8"/>
    <w:rsid w:val="00634001"/>
    <w:rsid w:val="006344F7"/>
    <w:rsid w:val="006352EE"/>
    <w:rsid w:val="006364A5"/>
    <w:rsid w:val="00636928"/>
    <w:rsid w:val="00636E1A"/>
    <w:rsid w:val="006370C9"/>
    <w:rsid w:val="006374E3"/>
    <w:rsid w:val="00640108"/>
    <w:rsid w:val="0064057B"/>
    <w:rsid w:val="00642351"/>
    <w:rsid w:val="0064366B"/>
    <w:rsid w:val="006443DE"/>
    <w:rsid w:val="006459C1"/>
    <w:rsid w:val="00645AA2"/>
    <w:rsid w:val="0064635E"/>
    <w:rsid w:val="0064710C"/>
    <w:rsid w:val="00647C80"/>
    <w:rsid w:val="00647CC0"/>
    <w:rsid w:val="00647F4C"/>
    <w:rsid w:val="00650C42"/>
    <w:rsid w:val="00650E53"/>
    <w:rsid w:val="006516E1"/>
    <w:rsid w:val="00651763"/>
    <w:rsid w:val="00651FD8"/>
    <w:rsid w:val="00652665"/>
    <w:rsid w:val="00652882"/>
    <w:rsid w:val="0065291B"/>
    <w:rsid w:val="00654A0E"/>
    <w:rsid w:val="006555E8"/>
    <w:rsid w:val="0065596E"/>
    <w:rsid w:val="00655DC8"/>
    <w:rsid w:val="00655E0A"/>
    <w:rsid w:val="0065664B"/>
    <w:rsid w:val="0065695F"/>
    <w:rsid w:val="00656B82"/>
    <w:rsid w:val="00657485"/>
    <w:rsid w:val="00660B11"/>
    <w:rsid w:val="00660BEF"/>
    <w:rsid w:val="00662196"/>
    <w:rsid w:val="00662FB3"/>
    <w:rsid w:val="00663427"/>
    <w:rsid w:val="00663D0B"/>
    <w:rsid w:val="00663F02"/>
    <w:rsid w:val="006645CA"/>
    <w:rsid w:val="00666943"/>
    <w:rsid w:val="006670A6"/>
    <w:rsid w:val="00667249"/>
    <w:rsid w:val="006672CF"/>
    <w:rsid w:val="00674201"/>
    <w:rsid w:val="00675930"/>
    <w:rsid w:val="00675CA2"/>
    <w:rsid w:val="006811B1"/>
    <w:rsid w:val="00681EB8"/>
    <w:rsid w:val="00682336"/>
    <w:rsid w:val="00683852"/>
    <w:rsid w:val="006838B6"/>
    <w:rsid w:val="00684B31"/>
    <w:rsid w:val="00686B2A"/>
    <w:rsid w:val="00687042"/>
    <w:rsid w:val="00687378"/>
    <w:rsid w:val="00687864"/>
    <w:rsid w:val="006879CF"/>
    <w:rsid w:val="00690AB0"/>
    <w:rsid w:val="00691FD6"/>
    <w:rsid w:val="00692DC6"/>
    <w:rsid w:val="00693D28"/>
    <w:rsid w:val="006952F7"/>
    <w:rsid w:val="006958C1"/>
    <w:rsid w:val="00695C74"/>
    <w:rsid w:val="00695C8E"/>
    <w:rsid w:val="00696C2B"/>
    <w:rsid w:val="00696DA7"/>
    <w:rsid w:val="0069705D"/>
    <w:rsid w:val="006A03D6"/>
    <w:rsid w:val="006A1E18"/>
    <w:rsid w:val="006A1EF2"/>
    <w:rsid w:val="006A28DC"/>
    <w:rsid w:val="006A2B8E"/>
    <w:rsid w:val="006A42CB"/>
    <w:rsid w:val="006A4793"/>
    <w:rsid w:val="006A48F8"/>
    <w:rsid w:val="006A52F1"/>
    <w:rsid w:val="006A5837"/>
    <w:rsid w:val="006A5D3F"/>
    <w:rsid w:val="006B0587"/>
    <w:rsid w:val="006B0E5B"/>
    <w:rsid w:val="006B1A7B"/>
    <w:rsid w:val="006B1B4F"/>
    <w:rsid w:val="006B1CC1"/>
    <w:rsid w:val="006B2CD1"/>
    <w:rsid w:val="006B3319"/>
    <w:rsid w:val="006B43C7"/>
    <w:rsid w:val="006B49C5"/>
    <w:rsid w:val="006B5418"/>
    <w:rsid w:val="006B65DC"/>
    <w:rsid w:val="006B6946"/>
    <w:rsid w:val="006B7CB9"/>
    <w:rsid w:val="006C038F"/>
    <w:rsid w:val="006C13BF"/>
    <w:rsid w:val="006C278A"/>
    <w:rsid w:val="006C28A4"/>
    <w:rsid w:val="006C2A1A"/>
    <w:rsid w:val="006C3084"/>
    <w:rsid w:val="006C3B9C"/>
    <w:rsid w:val="006C4517"/>
    <w:rsid w:val="006C4531"/>
    <w:rsid w:val="006C498D"/>
    <w:rsid w:val="006C4B5F"/>
    <w:rsid w:val="006C4DD8"/>
    <w:rsid w:val="006C4DD9"/>
    <w:rsid w:val="006C5C6F"/>
    <w:rsid w:val="006C6704"/>
    <w:rsid w:val="006C6D6B"/>
    <w:rsid w:val="006C7554"/>
    <w:rsid w:val="006D0859"/>
    <w:rsid w:val="006D0E71"/>
    <w:rsid w:val="006D1F36"/>
    <w:rsid w:val="006D31BB"/>
    <w:rsid w:val="006D4270"/>
    <w:rsid w:val="006D4A9D"/>
    <w:rsid w:val="006D4C21"/>
    <w:rsid w:val="006D7A3C"/>
    <w:rsid w:val="006E0EBA"/>
    <w:rsid w:val="006E23D4"/>
    <w:rsid w:val="006E2612"/>
    <w:rsid w:val="006E2F84"/>
    <w:rsid w:val="006E354D"/>
    <w:rsid w:val="006E3DCA"/>
    <w:rsid w:val="006E4773"/>
    <w:rsid w:val="006E5017"/>
    <w:rsid w:val="006E5404"/>
    <w:rsid w:val="006E5EEB"/>
    <w:rsid w:val="006E7572"/>
    <w:rsid w:val="006F161E"/>
    <w:rsid w:val="006F3F03"/>
    <w:rsid w:val="006F40A8"/>
    <w:rsid w:val="006F4837"/>
    <w:rsid w:val="006F50DC"/>
    <w:rsid w:val="006F547A"/>
    <w:rsid w:val="006F5871"/>
    <w:rsid w:val="006F601C"/>
    <w:rsid w:val="006F6A0F"/>
    <w:rsid w:val="006F7759"/>
    <w:rsid w:val="006F7E42"/>
    <w:rsid w:val="0070186C"/>
    <w:rsid w:val="00702C0E"/>
    <w:rsid w:val="00703621"/>
    <w:rsid w:val="0070579D"/>
    <w:rsid w:val="00705BE3"/>
    <w:rsid w:val="00705E21"/>
    <w:rsid w:val="00705E9A"/>
    <w:rsid w:val="00705F7A"/>
    <w:rsid w:val="00707379"/>
    <w:rsid w:val="007112F5"/>
    <w:rsid w:val="00712217"/>
    <w:rsid w:val="00712DD2"/>
    <w:rsid w:val="00713FC4"/>
    <w:rsid w:val="007143B5"/>
    <w:rsid w:val="00714936"/>
    <w:rsid w:val="00716BD5"/>
    <w:rsid w:val="007170DA"/>
    <w:rsid w:val="00720B32"/>
    <w:rsid w:val="00722A15"/>
    <w:rsid w:val="00724C2D"/>
    <w:rsid w:val="00725881"/>
    <w:rsid w:val="00725B22"/>
    <w:rsid w:val="00725D45"/>
    <w:rsid w:val="00725EE8"/>
    <w:rsid w:val="00726DC0"/>
    <w:rsid w:val="00726EF6"/>
    <w:rsid w:val="0073015E"/>
    <w:rsid w:val="00730B84"/>
    <w:rsid w:val="00732303"/>
    <w:rsid w:val="00732D37"/>
    <w:rsid w:val="007358D3"/>
    <w:rsid w:val="00735B1E"/>
    <w:rsid w:val="00735BA9"/>
    <w:rsid w:val="0073704D"/>
    <w:rsid w:val="0073717E"/>
    <w:rsid w:val="007374E1"/>
    <w:rsid w:val="00740C78"/>
    <w:rsid w:val="00741425"/>
    <w:rsid w:val="00741B45"/>
    <w:rsid w:val="00742BBB"/>
    <w:rsid w:val="00743CE2"/>
    <w:rsid w:val="0074486C"/>
    <w:rsid w:val="00744D78"/>
    <w:rsid w:val="007452C8"/>
    <w:rsid w:val="00745730"/>
    <w:rsid w:val="00745C89"/>
    <w:rsid w:val="00745D5B"/>
    <w:rsid w:val="0074643B"/>
    <w:rsid w:val="007465F8"/>
    <w:rsid w:val="00750533"/>
    <w:rsid w:val="007507C4"/>
    <w:rsid w:val="007517B3"/>
    <w:rsid w:val="00751E18"/>
    <w:rsid w:val="00752A65"/>
    <w:rsid w:val="00753588"/>
    <w:rsid w:val="00754954"/>
    <w:rsid w:val="00757F9E"/>
    <w:rsid w:val="00760A79"/>
    <w:rsid w:val="00761A6A"/>
    <w:rsid w:val="007627ED"/>
    <w:rsid w:val="0076280B"/>
    <w:rsid w:val="00762A2B"/>
    <w:rsid w:val="00762C99"/>
    <w:rsid w:val="00763711"/>
    <w:rsid w:val="00764AA6"/>
    <w:rsid w:val="0076516C"/>
    <w:rsid w:val="007666D4"/>
    <w:rsid w:val="00767E9E"/>
    <w:rsid w:val="007704F1"/>
    <w:rsid w:val="00770505"/>
    <w:rsid w:val="007723A3"/>
    <w:rsid w:val="00772A33"/>
    <w:rsid w:val="00772CD1"/>
    <w:rsid w:val="0077308C"/>
    <w:rsid w:val="00773839"/>
    <w:rsid w:val="007745DA"/>
    <w:rsid w:val="00774804"/>
    <w:rsid w:val="0077594B"/>
    <w:rsid w:val="00776AD3"/>
    <w:rsid w:val="00780DDA"/>
    <w:rsid w:val="007811FF"/>
    <w:rsid w:val="007823B1"/>
    <w:rsid w:val="007824EF"/>
    <w:rsid w:val="0078365A"/>
    <w:rsid w:val="00783992"/>
    <w:rsid w:val="00783A7F"/>
    <w:rsid w:val="00783E88"/>
    <w:rsid w:val="00783FAF"/>
    <w:rsid w:val="0078423A"/>
    <w:rsid w:val="00786845"/>
    <w:rsid w:val="00786AFD"/>
    <w:rsid w:val="00786E4B"/>
    <w:rsid w:val="00787D5E"/>
    <w:rsid w:val="00790B62"/>
    <w:rsid w:val="007913F9"/>
    <w:rsid w:val="00791747"/>
    <w:rsid w:val="007917CC"/>
    <w:rsid w:val="007923AE"/>
    <w:rsid w:val="00793E89"/>
    <w:rsid w:val="007943F7"/>
    <w:rsid w:val="00795C30"/>
    <w:rsid w:val="00796326"/>
    <w:rsid w:val="00796830"/>
    <w:rsid w:val="007979EC"/>
    <w:rsid w:val="007A0034"/>
    <w:rsid w:val="007A0F66"/>
    <w:rsid w:val="007A2B6A"/>
    <w:rsid w:val="007A2BC3"/>
    <w:rsid w:val="007A3474"/>
    <w:rsid w:val="007A3740"/>
    <w:rsid w:val="007A55A4"/>
    <w:rsid w:val="007A5900"/>
    <w:rsid w:val="007A6C71"/>
    <w:rsid w:val="007A7375"/>
    <w:rsid w:val="007A7A5E"/>
    <w:rsid w:val="007A7DB7"/>
    <w:rsid w:val="007A7F73"/>
    <w:rsid w:val="007B1088"/>
    <w:rsid w:val="007B3920"/>
    <w:rsid w:val="007B39FC"/>
    <w:rsid w:val="007B4723"/>
    <w:rsid w:val="007B54D0"/>
    <w:rsid w:val="007B6A63"/>
    <w:rsid w:val="007C01C9"/>
    <w:rsid w:val="007C0C04"/>
    <w:rsid w:val="007C1867"/>
    <w:rsid w:val="007C1F76"/>
    <w:rsid w:val="007C25F3"/>
    <w:rsid w:val="007C2E30"/>
    <w:rsid w:val="007C49BC"/>
    <w:rsid w:val="007C4A17"/>
    <w:rsid w:val="007C4F7B"/>
    <w:rsid w:val="007C54B7"/>
    <w:rsid w:val="007C5CEB"/>
    <w:rsid w:val="007C5E17"/>
    <w:rsid w:val="007C5E22"/>
    <w:rsid w:val="007D1565"/>
    <w:rsid w:val="007D18F5"/>
    <w:rsid w:val="007D229E"/>
    <w:rsid w:val="007D24F0"/>
    <w:rsid w:val="007D3ADD"/>
    <w:rsid w:val="007D55A5"/>
    <w:rsid w:val="007D56F3"/>
    <w:rsid w:val="007D5D60"/>
    <w:rsid w:val="007D6127"/>
    <w:rsid w:val="007D6B3D"/>
    <w:rsid w:val="007D6DA7"/>
    <w:rsid w:val="007E0952"/>
    <w:rsid w:val="007E2350"/>
    <w:rsid w:val="007E2C68"/>
    <w:rsid w:val="007E3785"/>
    <w:rsid w:val="007E6D2A"/>
    <w:rsid w:val="007F08F8"/>
    <w:rsid w:val="007F3DB7"/>
    <w:rsid w:val="007F4B81"/>
    <w:rsid w:val="007F5158"/>
    <w:rsid w:val="007F5D35"/>
    <w:rsid w:val="007F6EE4"/>
    <w:rsid w:val="007F7161"/>
    <w:rsid w:val="00800101"/>
    <w:rsid w:val="008007AB"/>
    <w:rsid w:val="00800AC2"/>
    <w:rsid w:val="008025CC"/>
    <w:rsid w:val="0080295F"/>
    <w:rsid w:val="00803407"/>
    <w:rsid w:val="00803DB6"/>
    <w:rsid w:val="008046CE"/>
    <w:rsid w:val="0080655D"/>
    <w:rsid w:val="00806720"/>
    <w:rsid w:val="00806FFA"/>
    <w:rsid w:val="008070B2"/>
    <w:rsid w:val="0080727D"/>
    <w:rsid w:val="00807839"/>
    <w:rsid w:val="00807A7B"/>
    <w:rsid w:val="00811C9C"/>
    <w:rsid w:val="00812BC8"/>
    <w:rsid w:val="00812EF4"/>
    <w:rsid w:val="0081311E"/>
    <w:rsid w:val="0081403F"/>
    <w:rsid w:val="008143D9"/>
    <w:rsid w:val="00815017"/>
    <w:rsid w:val="008155A0"/>
    <w:rsid w:val="00816015"/>
    <w:rsid w:val="00816FAC"/>
    <w:rsid w:val="00817633"/>
    <w:rsid w:val="008202F9"/>
    <w:rsid w:val="00821F17"/>
    <w:rsid w:val="00822BA8"/>
    <w:rsid w:val="00824199"/>
    <w:rsid w:val="008246C5"/>
    <w:rsid w:val="00825446"/>
    <w:rsid w:val="008254B8"/>
    <w:rsid w:val="00825599"/>
    <w:rsid w:val="00825EC4"/>
    <w:rsid w:val="00830747"/>
    <w:rsid w:val="00831CE7"/>
    <w:rsid w:val="008331B6"/>
    <w:rsid w:val="0083464D"/>
    <w:rsid w:val="00835180"/>
    <w:rsid w:val="008352F8"/>
    <w:rsid w:val="008359AA"/>
    <w:rsid w:val="0083703A"/>
    <w:rsid w:val="00840BA2"/>
    <w:rsid w:val="00841271"/>
    <w:rsid w:val="00841D4A"/>
    <w:rsid w:val="008436F9"/>
    <w:rsid w:val="00844914"/>
    <w:rsid w:val="00846CFA"/>
    <w:rsid w:val="00847645"/>
    <w:rsid w:val="00850600"/>
    <w:rsid w:val="00851470"/>
    <w:rsid w:val="00851C23"/>
    <w:rsid w:val="008522E2"/>
    <w:rsid w:val="008522F5"/>
    <w:rsid w:val="00852E2A"/>
    <w:rsid w:val="00856098"/>
    <w:rsid w:val="008562AD"/>
    <w:rsid w:val="0085695B"/>
    <w:rsid w:val="0085716A"/>
    <w:rsid w:val="00857296"/>
    <w:rsid w:val="00860AA9"/>
    <w:rsid w:val="00860BAF"/>
    <w:rsid w:val="00861279"/>
    <w:rsid w:val="00862FBB"/>
    <w:rsid w:val="00863A72"/>
    <w:rsid w:val="00864B00"/>
    <w:rsid w:val="008660FE"/>
    <w:rsid w:val="008704C7"/>
    <w:rsid w:val="00871580"/>
    <w:rsid w:val="008718CE"/>
    <w:rsid w:val="008719A2"/>
    <w:rsid w:val="00871D15"/>
    <w:rsid w:val="008725AF"/>
    <w:rsid w:val="00875C11"/>
    <w:rsid w:val="00875DAB"/>
    <w:rsid w:val="0087795A"/>
    <w:rsid w:val="00877A5B"/>
    <w:rsid w:val="00877AC7"/>
    <w:rsid w:val="00882D64"/>
    <w:rsid w:val="00883218"/>
    <w:rsid w:val="00883E07"/>
    <w:rsid w:val="00883F8B"/>
    <w:rsid w:val="00885634"/>
    <w:rsid w:val="00886553"/>
    <w:rsid w:val="00886A13"/>
    <w:rsid w:val="00886E88"/>
    <w:rsid w:val="0088727D"/>
    <w:rsid w:val="00887CD1"/>
    <w:rsid w:val="00890A42"/>
    <w:rsid w:val="00891898"/>
    <w:rsid w:val="00891D11"/>
    <w:rsid w:val="008921A6"/>
    <w:rsid w:val="008944CF"/>
    <w:rsid w:val="00894D57"/>
    <w:rsid w:val="0089597F"/>
    <w:rsid w:val="00896D1A"/>
    <w:rsid w:val="00897278"/>
    <w:rsid w:val="00897C7E"/>
    <w:rsid w:val="008A0BC3"/>
    <w:rsid w:val="008A1319"/>
    <w:rsid w:val="008A13C7"/>
    <w:rsid w:val="008A415D"/>
    <w:rsid w:val="008A7868"/>
    <w:rsid w:val="008A7A84"/>
    <w:rsid w:val="008A7C74"/>
    <w:rsid w:val="008A7E57"/>
    <w:rsid w:val="008B079A"/>
    <w:rsid w:val="008B0A32"/>
    <w:rsid w:val="008B0F16"/>
    <w:rsid w:val="008B1C4C"/>
    <w:rsid w:val="008B24B4"/>
    <w:rsid w:val="008B2B6F"/>
    <w:rsid w:val="008B31BF"/>
    <w:rsid w:val="008B320F"/>
    <w:rsid w:val="008B3BA4"/>
    <w:rsid w:val="008B410C"/>
    <w:rsid w:val="008B4365"/>
    <w:rsid w:val="008B588A"/>
    <w:rsid w:val="008B6064"/>
    <w:rsid w:val="008B6F47"/>
    <w:rsid w:val="008B79FC"/>
    <w:rsid w:val="008C264E"/>
    <w:rsid w:val="008C48CD"/>
    <w:rsid w:val="008C4C91"/>
    <w:rsid w:val="008C5196"/>
    <w:rsid w:val="008C59A0"/>
    <w:rsid w:val="008C6DA6"/>
    <w:rsid w:val="008C736C"/>
    <w:rsid w:val="008D0225"/>
    <w:rsid w:val="008D174C"/>
    <w:rsid w:val="008D187A"/>
    <w:rsid w:val="008D1DE4"/>
    <w:rsid w:val="008D1E23"/>
    <w:rsid w:val="008D2EBC"/>
    <w:rsid w:val="008D34C2"/>
    <w:rsid w:val="008D56C6"/>
    <w:rsid w:val="008D603E"/>
    <w:rsid w:val="008D6DAC"/>
    <w:rsid w:val="008D6EA5"/>
    <w:rsid w:val="008E0270"/>
    <w:rsid w:val="008E0C0B"/>
    <w:rsid w:val="008E2C97"/>
    <w:rsid w:val="008E2E72"/>
    <w:rsid w:val="008E31D9"/>
    <w:rsid w:val="008E33AC"/>
    <w:rsid w:val="008E342F"/>
    <w:rsid w:val="008E4A4F"/>
    <w:rsid w:val="008F01F9"/>
    <w:rsid w:val="008F026C"/>
    <w:rsid w:val="008F0415"/>
    <w:rsid w:val="008F12CF"/>
    <w:rsid w:val="008F1764"/>
    <w:rsid w:val="008F1FFE"/>
    <w:rsid w:val="008F6069"/>
    <w:rsid w:val="008F7A7C"/>
    <w:rsid w:val="008F7BA0"/>
    <w:rsid w:val="00901FD9"/>
    <w:rsid w:val="0090273B"/>
    <w:rsid w:val="0090379F"/>
    <w:rsid w:val="009057A1"/>
    <w:rsid w:val="009057CF"/>
    <w:rsid w:val="00911033"/>
    <w:rsid w:val="009121AF"/>
    <w:rsid w:val="0091261D"/>
    <w:rsid w:val="0091279F"/>
    <w:rsid w:val="009131A0"/>
    <w:rsid w:val="00914ABC"/>
    <w:rsid w:val="00915937"/>
    <w:rsid w:val="0091675D"/>
    <w:rsid w:val="00916884"/>
    <w:rsid w:val="009174F6"/>
    <w:rsid w:val="0091761C"/>
    <w:rsid w:val="00920DAF"/>
    <w:rsid w:val="0092120E"/>
    <w:rsid w:val="00921BD3"/>
    <w:rsid w:val="00921E84"/>
    <w:rsid w:val="00922F1A"/>
    <w:rsid w:val="00923FB9"/>
    <w:rsid w:val="0092442A"/>
    <w:rsid w:val="009246EB"/>
    <w:rsid w:val="00926F4C"/>
    <w:rsid w:val="0092769A"/>
    <w:rsid w:val="0093163C"/>
    <w:rsid w:val="00932B4A"/>
    <w:rsid w:val="009331DB"/>
    <w:rsid w:val="00933E6F"/>
    <w:rsid w:val="00934A62"/>
    <w:rsid w:val="00934DA4"/>
    <w:rsid w:val="0093582C"/>
    <w:rsid w:val="00935B7E"/>
    <w:rsid w:val="00935C16"/>
    <w:rsid w:val="00935FD3"/>
    <w:rsid w:val="00936513"/>
    <w:rsid w:val="00936C0C"/>
    <w:rsid w:val="00937B02"/>
    <w:rsid w:val="00937C61"/>
    <w:rsid w:val="009419D9"/>
    <w:rsid w:val="00941C81"/>
    <w:rsid w:val="009425CF"/>
    <w:rsid w:val="009429EE"/>
    <w:rsid w:val="009439C1"/>
    <w:rsid w:val="00944FBD"/>
    <w:rsid w:val="00945F28"/>
    <w:rsid w:val="00945FCB"/>
    <w:rsid w:val="00946561"/>
    <w:rsid w:val="009467FE"/>
    <w:rsid w:val="009473F2"/>
    <w:rsid w:val="009479F7"/>
    <w:rsid w:val="009525C8"/>
    <w:rsid w:val="00953525"/>
    <w:rsid w:val="00953A28"/>
    <w:rsid w:val="0095476D"/>
    <w:rsid w:val="00954ACF"/>
    <w:rsid w:val="0095533B"/>
    <w:rsid w:val="00955EB8"/>
    <w:rsid w:val="00956DEF"/>
    <w:rsid w:val="00960365"/>
    <w:rsid w:val="00961517"/>
    <w:rsid w:val="0096168C"/>
    <w:rsid w:val="0096208A"/>
    <w:rsid w:val="0096213C"/>
    <w:rsid w:val="00962B3D"/>
    <w:rsid w:val="00962F41"/>
    <w:rsid w:val="00963C29"/>
    <w:rsid w:val="00964176"/>
    <w:rsid w:val="00964E7E"/>
    <w:rsid w:val="00964F78"/>
    <w:rsid w:val="009665FD"/>
    <w:rsid w:val="00967714"/>
    <w:rsid w:val="00970036"/>
    <w:rsid w:val="00970586"/>
    <w:rsid w:val="0097060D"/>
    <w:rsid w:val="009722D7"/>
    <w:rsid w:val="00972928"/>
    <w:rsid w:val="00973378"/>
    <w:rsid w:val="00974433"/>
    <w:rsid w:val="00975E75"/>
    <w:rsid w:val="00980CEF"/>
    <w:rsid w:val="0098188F"/>
    <w:rsid w:val="00981A27"/>
    <w:rsid w:val="00981AFC"/>
    <w:rsid w:val="00982A18"/>
    <w:rsid w:val="00983728"/>
    <w:rsid w:val="0098397C"/>
    <w:rsid w:val="009840A0"/>
    <w:rsid w:val="009843E2"/>
    <w:rsid w:val="00984A18"/>
    <w:rsid w:val="009851FD"/>
    <w:rsid w:val="00985689"/>
    <w:rsid w:val="009868F5"/>
    <w:rsid w:val="00986B5D"/>
    <w:rsid w:val="00987835"/>
    <w:rsid w:val="009902B1"/>
    <w:rsid w:val="00990618"/>
    <w:rsid w:val="00990A4D"/>
    <w:rsid w:val="00990AB8"/>
    <w:rsid w:val="00990F3C"/>
    <w:rsid w:val="00990F6C"/>
    <w:rsid w:val="00993260"/>
    <w:rsid w:val="009936F1"/>
    <w:rsid w:val="00994772"/>
    <w:rsid w:val="00995BF0"/>
    <w:rsid w:val="009963F4"/>
    <w:rsid w:val="009977D7"/>
    <w:rsid w:val="009977D9"/>
    <w:rsid w:val="009A21F0"/>
    <w:rsid w:val="009A349B"/>
    <w:rsid w:val="009A3756"/>
    <w:rsid w:val="009A3E1E"/>
    <w:rsid w:val="009A46C5"/>
    <w:rsid w:val="009A4A56"/>
    <w:rsid w:val="009A5ABC"/>
    <w:rsid w:val="009A6147"/>
    <w:rsid w:val="009A648C"/>
    <w:rsid w:val="009A6CC3"/>
    <w:rsid w:val="009A79B6"/>
    <w:rsid w:val="009B07F9"/>
    <w:rsid w:val="009B0B7A"/>
    <w:rsid w:val="009B0BF9"/>
    <w:rsid w:val="009B10F1"/>
    <w:rsid w:val="009B1D74"/>
    <w:rsid w:val="009B1EAB"/>
    <w:rsid w:val="009B33F4"/>
    <w:rsid w:val="009B35A6"/>
    <w:rsid w:val="009B40E2"/>
    <w:rsid w:val="009B4331"/>
    <w:rsid w:val="009B4496"/>
    <w:rsid w:val="009B598C"/>
    <w:rsid w:val="009B5CBF"/>
    <w:rsid w:val="009C0ADC"/>
    <w:rsid w:val="009C0DE4"/>
    <w:rsid w:val="009C137C"/>
    <w:rsid w:val="009C3FA8"/>
    <w:rsid w:val="009C40FE"/>
    <w:rsid w:val="009C4EE3"/>
    <w:rsid w:val="009C543B"/>
    <w:rsid w:val="009C6349"/>
    <w:rsid w:val="009C6748"/>
    <w:rsid w:val="009C6E40"/>
    <w:rsid w:val="009C725F"/>
    <w:rsid w:val="009C73EC"/>
    <w:rsid w:val="009C759D"/>
    <w:rsid w:val="009D2055"/>
    <w:rsid w:val="009D2EA6"/>
    <w:rsid w:val="009D354D"/>
    <w:rsid w:val="009D3996"/>
    <w:rsid w:val="009D4E47"/>
    <w:rsid w:val="009D5548"/>
    <w:rsid w:val="009D64F7"/>
    <w:rsid w:val="009D7107"/>
    <w:rsid w:val="009D7597"/>
    <w:rsid w:val="009E0105"/>
    <w:rsid w:val="009E0FD9"/>
    <w:rsid w:val="009E1736"/>
    <w:rsid w:val="009E1EAD"/>
    <w:rsid w:val="009E2237"/>
    <w:rsid w:val="009E230C"/>
    <w:rsid w:val="009E296A"/>
    <w:rsid w:val="009E301F"/>
    <w:rsid w:val="009E680E"/>
    <w:rsid w:val="009E691E"/>
    <w:rsid w:val="009E6F6D"/>
    <w:rsid w:val="009F0CF6"/>
    <w:rsid w:val="009F3247"/>
    <w:rsid w:val="009F34B1"/>
    <w:rsid w:val="009F3E94"/>
    <w:rsid w:val="009F3EF2"/>
    <w:rsid w:val="009F469F"/>
    <w:rsid w:val="009F4857"/>
    <w:rsid w:val="009F62C5"/>
    <w:rsid w:val="00A00108"/>
    <w:rsid w:val="00A007FD"/>
    <w:rsid w:val="00A02E06"/>
    <w:rsid w:val="00A03E9B"/>
    <w:rsid w:val="00A046D1"/>
    <w:rsid w:val="00A05700"/>
    <w:rsid w:val="00A061A0"/>
    <w:rsid w:val="00A06D92"/>
    <w:rsid w:val="00A07F1A"/>
    <w:rsid w:val="00A07F2D"/>
    <w:rsid w:val="00A117AA"/>
    <w:rsid w:val="00A11D55"/>
    <w:rsid w:val="00A12E52"/>
    <w:rsid w:val="00A14D9D"/>
    <w:rsid w:val="00A15909"/>
    <w:rsid w:val="00A15A19"/>
    <w:rsid w:val="00A16C2C"/>
    <w:rsid w:val="00A16DCB"/>
    <w:rsid w:val="00A17218"/>
    <w:rsid w:val="00A22F3D"/>
    <w:rsid w:val="00A232A6"/>
    <w:rsid w:val="00A23B64"/>
    <w:rsid w:val="00A250AF"/>
    <w:rsid w:val="00A253AA"/>
    <w:rsid w:val="00A25D49"/>
    <w:rsid w:val="00A2798B"/>
    <w:rsid w:val="00A3032B"/>
    <w:rsid w:val="00A30C4D"/>
    <w:rsid w:val="00A30D98"/>
    <w:rsid w:val="00A320BF"/>
    <w:rsid w:val="00A35ABD"/>
    <w:rsid w:val="00A36905"/>
    <w:rsid w:val="00A403D5"/>
    <w:rsid w:val="00A40AAC"/>
    <w:rsid w:val="00A4175D"/>
    <w:rsid w:val="00A41B0E"/>
    <w:rsid w:val="00A42DCC"/>
    <w:rsid w:val="00A42F8F"/>
    <w:rsid w:val="00A43B55"/>
    <w:rsid w:val="00A43FA8"/>
    <w:rsid w:val="00A45187"/>
    <w:rsid w:val="00A45A92"/>
    <w:rsid w:val="00A45CBB"/>
    <w:rsid w:val="00A4699D"/>
    <w:rsid w:val="00A47165"/>
    <w:rsid w:val="00A473B8"/>
    <w:rsid w:val="00A50400"/>
    <w:rsid w:val="00A50474"/>
    <w:rsid w:val="00A51E25"/>
    <w:rsid w:val="00A5350F"/>
    <w:rsid w:val="00A539F9"/>
    <w:rsid w:val="00A5405A"/>
    <w:rsid w:val="00A54B42"/>
    <w:rsid w:val="00A55553"/>
    <w:rsid w:val="00A56934"/>
    <w:rsid w:val="00A57962"/>
    <w:rsid w:val="00A57CC7"/>
    <w:rsid w:val="00A60FFC"/>
    <w:rsid w:val="00A612C7"/>
    <w:rsid w:val="00A61BB8"/>
    <w:rsid w:val="00A61E86"/>
    <w:rsid w:val="00A62A17"/>
    <w:rsid w:val="00A62F25"/>
    <w:rsid w:val="00A6443E"/>
    <w:rsid w:val="00A64509"/>
    <w:rsid w:val="00A65562"/>
    <w:rsid w:val="00A65BD4"/>
    <w:rsid w:val="00A664A9"/>
    <w:rsid w:val="00A66D66"/>
    <w:rsid w:val="00A70B89"/>
    <w:rsid w:val="00A71A98"/>
    <w:rsid w:val="00A71D7C"/>
    <w:rsid w:val="00A73A65"/>
    <w:rsid w:val="00A75285"/>
    <w:rsid w:val="00A75A1C"/>
    <w:rsid w:val="00A774D2"/>
    <w:rsid w:val="00A805BF"/>
    <w:rsid w:val="00A80C00"/>
    <w:rsid w:val="00A81021"/>
    <w:rsid w:val="00A82924"/>
    <w:rsid w:val="00A83CEE"/>
    <w:rsid w:val="00A84CA4"/>
    <w:rsid w:val="00A86113"/>
    <w:rsid w:val="00A866DF"/>
    <w:rsid w:val="00A8671E"/>
    <w:rsid w:val="00A876BB"/>
    <w:rsid w:val="00A87C43"/>
    <w:rsid w:val="00A87F1B"/>
    <w:rsid w:val="00A901A1"/>
    <w:rsid w:val="00A9066A"/>
    <w:rsid w:val="00A90851"/>
    <w:rsid w:val="00A90D61"/>
    <w:rsid w:val="00A90EB4"/>
    <w:rsid w:val="00A924B7"/>
    <w:rsid w:val="00A92814"/>
    <w:rsid w:val="00A92B8F"/>
    <w:rsid w:val="00A931A6"/>
    <w:rsid w:val="00A931F8"/>
    <w:rsid w:val="00A93240"/>
    <w:rsid w:val="00A93906"/>
    <w:rsid w:val="00A93EBD"/>
    <w:rsid w:val="00A97DB2"/>
    <w:rsid w:val="00A97E9A"/>
    <w:rsid w:val="00AA021D"/>
    <w:rsid w:val="00AA037B"/>
    <w:rsid w:val="00AA04A9"/>
    <w:rsid w:val="00AA18E7"/>
    <w:rsid w:val="00AA1E89"/>
    <w:rsid w:val="00AA22CF"/>
    <w:rsid w:val="00AA33F5"/>
    <w:rsid w:val="00AA439E"/>
    <w:rsid w:val="00AA44FA"/>
    <w:rsid w:val="00AA4FDB"/>
    <w:rsid w:val="00AA574D"/>
    <w:rsid w:val="00AA655F"/>
    <w:rsid w:val="00AA6761"/>
    <w:rsid w:val="00AA700F"/>
    <w:rsid w:val="00AA7BFC"/>
    <w:rsid w:val="00AA7C8D"/>
    <w:rsid w:val="00AB0C53"/>
    <w:rsid w:val="00AB0E38"/>
    <w:rsid w:val="00AB2334"/>
    <w:rsid w:val="00AB2B1C"/>
    <w:rsid w:val="00AB345C"/>
    <w:rsid w:val="00AB3F7C"/>
    <w:rsid w:val="00AB48A7"/>
    <w:rsid w:val="00AB520F"/>
    <w:rsid w:val="00AB638D"/>
    <w:rsid w:val="00AB65A3"/>
    <w:rsid w:val="00AB6D27"/>
    <w:rsid w:val="00AB7AE4"/>
    <w:rsid w:val="00AC001B"/>
    <w:rsid w:val="00AC0643"/>
    <w:rsid w:val="00AC28EA"/>
    <w:rsid w:val="00AC2DF6"/>
    <w:rsid w:val="00AC40E0"/>
    <w:rsid w:val="00AC4173"/>
    <w:rsid w:val="00AC41DE"/>
    <w:rsid w:val="00AC49D8"/>
    <w:rsid w:val="00AC4A96"/>
    <w:rsid w:val="00AC6CE4"/>
    <w:rsid w:val="00AC70BB"/>
    <w:rsid w:val="00AC77C4"/>
    <w:rsid w:val="00AC7919"/>
    <w:rsid w:val="00AC7990"/>
    <w:rsid w:val="00AC7FEA"/>
    <w:rsid w:val="00AD184C"/>
    <w:rsid w:val="00AD188C"/>
    <w:rsid w:val="00AD24F2"/>
    <w:rsid w:val="00AD510E"/>
    <w:rsid w:val="00AD5727"/>
    <w:rsid w:val="00AD5BC1"/>
    <w:rsid w:val="00AD60CF"/>
    <w:rsid w:val="00AD68D8"/>
    <w:rsid w:val="00AE049C"/>
    <w:rsid w:val="00AE0BDB"/>
    <w:rsid w:val="00AE2726"/>
    <w:rsid w:val="00AE29CB"/>
    <w:rsid w:val="00AE2CBE"/>
    <w:rsid w:val="00AE683A"/>
    <w:rsid w:val="00AE7339"/>
    <w:rsid w:val="00AE7DC3"/>
    <w:rsid w:val="00AF2460"/>
    <w:rsid w:val="00AF2FCC"/>
    <w:rsid w:val="00AF37CA"/>
    <w:rsid w:val="00AF4458"/>
    <w:rsid w:val="00AF49B8"/>
    <w:rsid w:val="00AF6087"/>
    <w:rsid w:val="00AF7ACC"/>
    <w:rsid w:val="00AF7D73"/>
    <w:rsid w:val="00B0030C"/>
    <w:rsid w:val="00B00681"/>
    <w:rsid w:val="00B0157E"/>
    <w:rsid w:val="00B02655"/>
    <w:rsid w:val="00B03DED"/>
    <w:rsid w:val="00B0425A"/>
    <w:rsid w:val="00B04677"/>
    <w:rsid w:val="00B04D89"/>
    <w:rsid w:val="00B05A2E"/>
    <w:rsid w:val="00B06666"/>
    <w:rsid w:val="00B06F70"/>
    <w:rsid w:val="00B0743C"/>
    <w:rsid w:val="00B07C81"/>
    <w:rsid w:val="00B10AA1"/>
    <w:rsid w:val="00B128F3"/>
    <w:rsid w:val="00B129D7"/>
    <w:rsid w:val="00B12B08"/>
    <w:rsid w:val="00B12B29"/>
    <w:rsid w:val="00B12C90"/>
    <w:rsid w:val="00B1334F"/>
    <w:rsid w:val="00B134CA"/>
    <w:rsid w:val="00B13805"/>
    <w:rsid w:val="00B14E4D"/>
    <w:rsid w:val="00B14FC8"/>
    <w:rsid w:val="00B15192"/>
    <w:rsid w:val="00B160AA"/>
    <w:rsid w:val="00B161FF"/>
    <w:rsid w:val="00B17A57"/>
    <w:rsid w:val="00B20E95"/>
    <w:rsid w:val="00B214E8"/>
    <w:rsid w:val="00B21D30"/>
    <w:rsid w:val="00B23667"/>
    <w:rsid w:val="00B241D8"/>
    <w:rsid w:val="00B2421E"/>
    <w:rsid w:val="00B26995"/>
    <w:rsid w:val="00B26BF9"/>
    <w:rsid w:val="00B26C61"/>
    <w:rsid w:val="00B27248"/>
    <w:rsid w:val="00B27EA3"/>
    <w:rsid w:val="00B30345"/>
    <w:rsid w:val="00B30AD0"/>
    <w:rsid w:val="00B31C6C"/>
    <w:rsid w:val="00B3218E"/>
    <w:rsid w:val="00B331CB"/>
    <w:rsid w:val="00B33792"/>
    <w:rsid w:val="00B33C53"/>
    <w:rsid w:val="00B33D06"/>
    <w:rsid w:val="00B34E18"/>
    <w:rsid w:val="00B35096"/>
    <w:rsid w:val="00B36293"/>
    <w:rsid w:val="00B36FD4"/>
    <w:rsid w:val="00B371B1"/>
    <w:rsid w:val="00B40B73"/>
    <w:rsid w:val="00B413A8"/>
    <w:rsid w:val="00B41697"/>
    <w:rsid w:val="00B425BD"/>
    <w:rsid w:val="00B4424E"/>
    <w:rsid w:val="00B450D3"/>
    <w:rsid w:val="00B45BE3"/>
    <w:rsid w:val="00B526CC"/>
    <w:rsid w:val="00B53634"/>
    <w:rsid w:val="00B54D7C"/>
    <w:rsid w:val="00B563C4"/>
    <w:rsid w:val="00B5730A"/>
    <w:rsid w:val="00B57429"/>
    <w:rsid w:val="00B60E0D"/>
    <w:rsid w:val="00B613F3"/>
    <w:rsid w:val="00B61E29"/>
    <w:rsid w:val="00B621DB"/>
    <w:rsid w:val="00B62871"/>
    <w:rsid w:val="00B6371E"/>
    <w:rsid w:val="00B6752E"/>
    <w:rsid w:val="00B67B3F"/>
    <w:rsid w:val="00B701D5"/>
    <w:rsid w:val="00B70C1D"/>
    <w:rsid w:val="00B71123"/>
    <w:rsid w:val="00B7139D"/>
    <w:rsid w:val="00B72BC2"/>
    <w:rsid w:val="00B72F75"/>
    <w:rsid w:val="00B73221"/>
    <w:rsid w:val="00B73CEE"/>
    <w:rsid w:val="00B73DFF"/>
    <w:rsid w:val="00B73E21"/>
    <w:rsid w:val="00B744C7"/>
    <w:rsid w:val="00B7578B"/>
    <w:rsid w:val="00B768CB"/>
    <w:rsid w:val="00B7743A"/>
    <w:rsid w:val="00B779C6"/>
    <w:rsid w:val="00B80536"/>
    <w:rsid w:val="00B80594"/>
    <w:rsid w:val="00B8099C"/>
    <w:rsid w:val="00B821E1"/>
    <w:rsid w:val="00B830C3"/>
    <w:rsid w:val="00B8409D"/>
    <w:rsid w:val="00B846D3"/>
    <w:rsid w:val="00B84DB2"/>
    <w:rsid w:val="00B853D0"/>
    <w:rsid w:val="00B866A5"/>
    <w:rsid w:val="00B86C7C"/>
    <w:rsid w:val="00B877D9"/>
    <w:rsid w:val="00B91C5E"/>
    <w:rsid w:val="00B91C80"/>
    <w:rsid w:val="00B91EE3"/>
    <w:rsid w:val="00B92419"/>
    <w:rsid w:val="00B9305A"/>
    <w:rsid w:val="00B935F7"/>
    <w:rsid w:val="00B961DC"/>
    <w:rsid w:val="00B964CF"/>
    <w:rsid w:val="00B96767"/>
    <w:rsid w:val="00B96836"/>
    <w:rsid w:val="00B96E5A"/>
    <w:rsid w:val="00BA0BD6"/>
    <w:rsid w:val="00BA0DF9"/>
    <w:rsid w:val="00BA149F"/>
    <w:rsid w:val="00BA21E8"/>
    <w:rsid w:val="00BA33C6"/>
    <w:rsid w:val="00BA3B64"/>
    <w:rsid w:val="00BA542C"/>
    <w:rsid w:val="00BA572E"/>
    <w:rsid w:val="00BA57DF"/>
    <w:rsid w:val="00BA6C69"/>
    <w:rsid w:val="00BA70E6"/>
    <w:rsid w:val="00BA7970"/>
    <w:rsid w:val="00BB0473"/>
    <w:rsid w:val="00BB0B48"/>
    <w:rsid w:val="00BB16B0"/>
    <w:rsid w:val="00BB17A6"/>
    <w:rsid w:val="00BB1943"/>
    <w:rsid w:val="00BB1D87"/>
    <w:rsid w:val="00BB2305"/>
    <w:rsid w:val="00BB25B2"/>
    <w:rsid w:val="00BB372B"/>
    <w:rsid w:val="00BB4C1D"/>
    <w:rsid w:val="00BB5CBE"/>
    <w:rsid w:val="00BB653B"/>
    <w:rsid w:val="00BC16BC"/>
    <w:rsid w:val="00BC1D9C"/>
    <w:rsid w:val="00BC1E50"/>
    <w:rsid w:val="00BC2907"/>
    <w:rsid w:val="00BC2F63"/>
    <w:rsid w:val="00BC3887"/>
    <w:rsid w:val="00BC3A22"/>
    <w:rsid w:val="00BC3E08"/>
    <w:rsid w:val="00BC43DD"/>
    <w:rsid w:val="00BC6D10"/>
    <w:rsid w:val="00BC7749"/>
    <w:rsid w:val="00BD002C"/>
    <w:rsid w:val="00BD0317"/>
    <w:rsid w:val="00BD0BB8"/>
    <w:rsid w:val="00BD0DCE"/>
    <w:rsid w:val="00BD312F"/>
    <w:rsid w:val="00BD4E89"/>
    <w:rsid w:val="00BD7E95"/>
    <w:rsid w:val="00BE0454"/>
    <w:rsid w:val="00BE046A"/>
    <w:rsid w:val="00BE16DA"/>
    <w:rsid w:val="00BE1891"/>
    <w:rsid w:val="00BE190A"/>
    <w:rsid w:val="00BE1BE3"/>
    <w:rsid w:val="00BE1F4F"/>
    <w:rsid w:val="00BE22B9"/>
    <w:rsid w:val="00BE3A24"/>
    <w:rsid w:val="00BE4818"/>
    <w:rsid w:val="00BE5087"/>
    <w:rsid w:val="00BE55AF"/>
    <w:rsid w:val="00BE6458"/>
    <w:rsid w:val="00BE7917"/>
    <w:rsid w:val="00BF119B"/>
    <w:rsid w:val="00BF140D"/>
    <w:rsid w:val="00BF228E"/>
    <w:rsid w:val="00BF3795"/>
    <w:rsid w:val="00BF75EA"/>
    <w:rsid w:val="00C00C93"/>
    <w:rsid w:val="00C01DA8"/>
    <w:rsid w:val="00C01F66"/>
    <w:rsid w:val="00C02C81"/>
    <w:rsid w:val="00C03DD0"/>
    <w:rsid w:val="00C03F90"/>
    <w:rsid w:val="00C046AB"/>
    <w:rsid w:val="00C05A28"/>
    <w:rsid w:val="00C05E18"/>
    <w:rsid w:val="00C06AB7"/>
    <w:rsid w:val="00C07C84"/>
    <w:rsid w:val="00C07EE1"/>
    <w:rsid w:val="00C11497"/>
    <w:rsid w:val="00C128DD"/>
    <w:rsid w:val="00C12E43"/>
    <w:rsid w:val="00C133E9"/>
    <w:rsid w:val="00C14487"/>
    <w:rsid w:val="00C15850"/>
    <w:rsid w:val="00C16820"/>
    <w:rsid w:val="00C168DB"/>
    <w:rsid w:val="00C20FA8"/>
    <w:rsid w:val="00C2154D"/>
    <w:rsid w:val="00C21CA5"/>
    <w:rsid w:val="00C21F5D"/>
    <w:rsid w:val="00C239B9"/>
    <w:rsid w:val="00C2597F"/>
    <w:rsid w:val="00C262CC"/>
    <w:rsid w:val="00C2661E"/>
    <w:rsid w:val="00C26895"/>
    <w:rsid w:val="00C279EB"/>
    <w:rsid w:val="00C27DAB"/>
    <w:rsid w:val="00C30624"/>
    <w:rsid w:val="00C31004"/>
    <w:rsid w:val="00C31268"/>
    <w:rsid w:val="00C3127A"/>
    <w:rsid w:val="00C32314"/>
    <w:rsid w:val="00C354C4"/>
    <w:rsid w:val="00C35BF2"/>
    <w:rsid w:val="00C35F94"/>
    <w:rsid w:val="00C36012"/>
    <w:rsid w:val="00C363E1"/>
    <w:rsid w:val="00C40273"/>
    <w:rsid w:val="00C4035D"/>
    <w:rsid w:val="00C423B6"/>
    <w:rsid w:val="00C42443"/>
    <w:rsid w:val="00C42A34"/>
    <w:rsid w:val="00C44DE1"/>
    <w:rsid w:val="00C4521E"/>
    <w:rsid w:val="00C452A0"/>
    <w:rsid w:val="00C528E4"/>
    <w:rsid w:val="00C52960"/>
    <w:rsid w:val="00C52BC1"/>
    <w:rsid w:val="00C53751"/>
    <w:rsid w:val="00C53A14"/>
    <w:rsid w:val="00C54932"/>
    <w:rsid w:val="00C54CC5"/>
    <w:rsid w:val="00C54E0A"/>
    <w:rsid w:val="00C558DE"/>
    <w:rsid w:val="00C55944"/>
    <w:rsid w:val="00C56A3E"/>
    <w:rsid w:val="00C573BC"/>
    <w:rsid w:val="00C61D23"/>
    <w:rsid w:val="00C61D6F"/>
    <w:rsid w:val="00C61E97"/>
    <w:rsid w:val="00C62429"/>
    <w:rsid w:val="00C62D7C"/>
    <w:rsid w:val="00C63288"/>
    <w:rsid w:val="00C63CA7"/>
    <w:rsid w:val="00C64A2C"/>
    <w:rsid w:val="00C653C2"/>
    <w:rsid w:val="00C659F1"/>
    <w:rsid w:val="00C66722"/>
    <w:rsid w:val="00C6685A"/>
    <w:rsid w:val="00C67660"/>
    <w:rsid w:val="00C7066E"/>
    <w:rsid w:val="00C7205B"/>
    <w:rsid w:val="00C73DBF"/>
    <w:rsid w:val="00C74873"/>
    <w:rsid w:val="00C75093"/>
    <w:rsid w:val="00C768F7"/>
    <w:rsid w:val="00C76E08"/>
    <w:rsid w:val="00C802C5"/>
    <w:rsid w:val="00C808C7"/>
    <w:rsid w:val="00C82209"/>
    <w:rsid w:val="00C8281D"/>
    <w:rsid w:val="00C83088"/>
    <w:rsid w:val="00C839A1"/>
    <w:rsid w:val="00C83C12"/>
    <w:rsid w:val="00C83FE4"/>
    <w:rsid w:val="00C86221"/>
    <w:rsid w:val="00C86275"/>
    <w:rsid w:val="00C874C8"/>
    <w:rsid w:val="00C87D62"/>
    <w:rsid w:val="00C90137"/>
    <w:rsid w:val="00C90637"/>
    <w:rsid w:val="00C9181C"/>
    <w:rsid w:val="00C92F14"/>
    <w:rsid w:val="00C95E6C"/>
    <w:rsid w:val="00C96129"/>
    <w:rsid w:val="00C97471"/>
    <w:rsid w:val="00CA1540"/>
    <w:rsid w:val="00CA175E"/>
    <w:rsid w:val="00CA5691"/>
    <w:rsid w:val="00CA7D70"/>
    <w:rsid w:val="00CB0CD6"/>
    <w:rsid w:val="00CB1EF8"/>
    <w:rsid w:val="00CB20EF"/>
    <w:rsid w:val="00CB298D"/>
    <w:rsid w:val="00CB7295"/>
    <w:rsid w:val="00CC0371"/>
    <w:rsid w:val="00CC1143"/>
    <w:rsid w:val="00CC3312"/>
    <w:rsid w:val="00CC50BD"/>
    <w:rsid w:val="00CC5168"/>
    <w:rsid w:val="00CC5EEC"/>
    <w:rsid w:val="00CC6130"/>
    <w:rsid w:val="00CC629A"/>
    <w:rsid w:val="00CC6D2A"/>
    <w:rsid w:val="00CC7241"/>
    <w:rsid w:val="00CC7397"/>
    <w:rsid w:val="00CC7571"/>
    <w:rsid w:val="00CD0279"/>
    <w:rsid w:val="00CD0B9D"/>
    <w:rsid w:val="00CD0E42"/>
    <w:rsid w:val="00CD1931"/>
    <w:rsid w:val="00CD1946"/>
    <w:rsid w:val="00CD1A65"/>
    <w:rsid w:val="00CD2171"/>
    <w:rsid w:val="00CD30FD"/>
    <w:rsid w:val="00CD353E"/>
    <w:rsid w:val="00CD3664"/>
    <w:rsid w:val="00CD3F4C"/>
    <w:rsid w:val="00CD41C0"/>
    <w:rsid w:val="00CD48C6"/>
    <w:rsid w:val="00CD4E7E"/>
    <w:rsid w:val="00CD5E0B"/>
    <w:rsid w:val="00CE189C"/>
    <w:rsid w:val="00CE218A"/>
    <w:rsid w:val="00CE29FE"/>
    <w:rsid w:val="00CE2B26"/>
    <w:rsid w:val="00CE3DCA"/>
    <w:rsid w:val="00CE705E"/>
    <w:rsid w:val="00CE732B"/>
    <w:rsid w:val="00CE75E8"/>
    <w:rsid w:val="00CE769C"/>
    <w:rsid w:val="00CE794F"/>
    <w:rsid w:val="00CE7F53"/>
    <w:rsid w:val="00CF0540"/>
    <w:rsid w:val="00CF058B"/>
    <w:rsid w:val="00CF184F"/>
    <w:rsid w:val="00CF2016"/>
    <w:rsid w:val="00CF6298"/>
    <w:rsid w:val="00CF709E"/>
    <w:rsid w:val="00CF7D7F"/>
    <w:rsid w:val="00D006C9"/>
    <w:rsid w:val="00D0079D"/>
    <w:rsid w:val="00D00A8A"/>
    <w:rsid w:val="00D01088"/>
    <w:rsid w:val="00D02F2F"/>
    <w:rsid w:val="00D0355A"/>
    <w:rsid w:val="00D03DD8"/>
    <w:rsid w:val="00D04511"/>
    <w:rsid w:val="00D0590F"/>
    <w:rsid w:val="00D069DB"/>
    <w:rsid w:val="00D07732"/>
    <w:rsid w:val="00D10A22"/>
    <w:rsid w:val="00D11296"/>
    <w:rsid w:val="00D12081"/>
    <w:rsid w:val="00D122F3"/>
    <w:rsid w:val="00D12705"/>
    <w:rsid w:val="00D1366E"/>
    <w:rsid w:val="00D1460D"/>
    <w:rsid w:val="00D14D21"/>
    <w:rsid w:val="00D14F16"/>
    <w:rsid w:val="00D16952"/>
    <w:rsid w:val="00D204E3"/>
    <w:rsid w:val="00D218A3"/>
    <w:rsid w:val="00D222C7"/>
    <w:rsid w:val="00D22954"/>
    <w:rsid w:val="00D235F2"/>
    <w:rsid w:val="00D23BD6"/>
    <w:rsid w:val="00D23FAF"/>
    <w:rsid w:val="00D24FEE"/>
    <w:rsid w:val="00D2556D"/>
    <w:rsid w:val="00D26552"/>
    <w:rsid w:val="00D26D39"/>
    <w:rsid w:val="00D27BD0"/>
    <w:rsid w:val="00D31B08"/>
    <w:rsid w:val="00D33B2A"/>
    <w:rsid w:val="00D33DA4"/>
    <w:rsid w:val="00D33DC6"/>
    <w:rsid w:val="00D33E16"/>
    <w:rsid w:val="00D34A5F"/>
    <w:rsid w:val="00D35EB2"/>
    <w:rsid w:val="00D40B12"/>
    <w:rsid w:val="00D40D9C"/>
    <w:rsid w:val="00D41057"/>
    <w:rsid w:val="00D41D7C"/>
    <w:rsid w:val="00D4219B"/>
    <w:rsid w:val="00D4249C"/>
    <w:rsid w:val="00D424FE"/>
    <w:rsid w:val="00D42F14"/>
    <w:rsid w:val="00D43B64"/>
    <w:rsid w:val="00D442DF"/>
    <w:rsid w:val="00D4430E"/>
    <w:rsid w:val="00D45057"/>
    <w:rsid w:val="00D45599"/>
    <w:rsid w:val="00D471F3"/>
    <w:rsid w:val="00D47A93"/>
    <w:rsid w:val="00D5031E"/>
    <w:rsid w:val="00D505E2"/>
    <w:rsid w:val="00D52347"/>
    <w:rsid w:val="00D523DD"/>
    <w:rsid w:val="00D523F7"/>
    <w:rsid w:val="00D53C07"/>
    <w:rsid w:val="00D53C1A"/>
    <w:rsid w:val="00D53FD6"/>
    <w:rsid w:val="00D55197"/>
    <w:rsid w:val="00D553D7"/>
    <w:rsid w:val="00D56BA0"/>
    <w:rsid w:val="00D56BA4"/>
    <w:rsid w:val="00D56D6C"/>
    <w:rsid w:val="00D57374"/>
    <w:rsid w:val="00D613F4"/>
    <w:rsid w:val="00D626AF"/>
    <w:rsid w:val="00D64129"/>
    <w:rsid w:val="00D64E4D"/>
    <w:rsid w:val="00D658F2"/>
    <w:rsid w:val="00D65A22"/>
    <w:rsid w:val="00D66EF6"/>
    <w:rsid w:val="00D6750E"/>
    <w:rsid w:val="00D6767F"/>
    <w:rsid w:val="00D67C1B"/>
    <w:rsid w:val="00D7003C"/>
    <w:rsid w:val="00D70438"/>
    <w:rsid w:val="00D70712"/>
    <w:rsid w:val="00D72290"/>
    <w:rsid w:val="00D740DA"/>
    <w:rsid w:val="00D743E5"/>
    <w:rsid w:val="00D74980"/>
    <w:rsid w:val="00D75838"/>
    <w:rsid w:val="00D75C03"/>
    <w:rsid w:val="00D75D12"/>
    <w:rsid w:val="00D76420"/>
    <w:rsid w:val="00D76786"/>
    <w:rsid w:val="00D7754C"/>
    <w:rsid w:val="00D81B89"/>
    <w:rsid w:val="00D82D0C"/>
    <w:rsid w:val="00D83C85"/>
    <w:rsid w:val="00D83E39"/>
    <w:rsid w:val="00D84B0D"/>
    <w:rsid w:val="00D85139"/>
    <w:rsid w:val="00D855AC"/>
    <w:rsid w:val="00D85687"/>
    <w:rsid w:val="00D85781"/>
    <w:rsid w:val="00D85AC6"/>
    <w:rsid w:val="00D86079"/>
    <w:rsid w:val="00D87A15"/>
    <w:rsid w:val="00D90425"/>
    <w:rsid w:val="00D92360"/>
    <w:rsid w:val="00D92B33"/>
    <w:rsid w:val="00D92CE2"/>
    <w:rsid w:val="00D93DCC"/>
    <w:rsid w:val="00D95DDF"/>
    <w:rsid w:val="00D961DF"/>
    <w:rsid w:val="00D963C3"/>
    <w:rsid w:val="00D96A57"/>
    <w:rsid w:val="00D970CE"/>
    <w:rsid w:val="00D97C86"/>
    <w:rsid w:val="00D97D5F"/>
    <w:rsid w:val="00DA0682"/>
    <w:rsid w:val="00DA0690"/>
    <w:rsid w:val="00DA0F3F"/>
    <w:rsid w:val="00DA10A8"/>
    <w:rsid w:val="00DA125E"/>
    <w:rsid w:val="00DA1CE7"/>
    <w:rsid w:val="00DA1D43"/>
    <w:rsid w:val="00DA2165"/>
    <w:rsid w:val="00DA3200"/>
    <w:rsid w:val="00DA39D5"/>
    <w:rsid w:val="00DA40AE"/>
    <w:rsid w:val="00DA6472"/>
    <w:rsid w:val="00DA6540"/>
    <w:rsid w:val="00DA6959"/>
    <w:rsid w:val="00DA7318"/>
    <w:rsid w:val="00DB17CB"/>
    <w:rsid w:val="00DB1AC1"/>
    <w:rsid w:val="00DB1B4D"/>
    <w:rsid w:val="00DB2803"/>
    <w:rsid w:val="00DB3058"/>
    <w:rsid w:val="00DB3D7E"/>
    <w:rsid w:val="00DB4393"/>
    <w:rsid w:val="00DB4EAD"/>
    <w:rsid w:val="00DB57E5"/>
    <w:rsid w:val="00DB67DC"/>
    <w:rsid w:val="00DB6C26"/>
    <w:rsid w:val="00DC06D1"/>
    <w:rsid w:val="00DC2440"/>
    <w:rsid w:val="00DC3F00"/>
    <w:rsid w:val="00DC5358"/>
    <w:rsid w:val="00DC5F26"/>
    <w:rsid w:val="00DC6020"/>
    <w:rsid w:val="00DC6C8E"/>
    <w:rsid w:val="00DC6DD6"/>
    <w:rsid w:val="00DD00FF"/>
    <w:rsid w:val="00DD0AEB"/>
    <w:rsid w:val="00DD118C"/>
    <w:rsid w:val="00DD1960"/>
    <w:rsid w:val="00DD3932"/>
    <w:rsid w:val="00DD3ED8"/>
    <w:rsid w:val="00DD4184"/>
    <w:rsid w:val="00DD5465"/>
    <w:rsid w:val="00DD6155"/>
    <w:rsid w:val="00DD7598"/>
    <w:rsid w:val="00DD7FD0"/>
    <w:rsid w:val="00DE0710"/>
    <w:rsid w:val="00DE1A0F"/>
    <w:rsid w:val="00DE2B10"/>
    <w:rsid w:val="00DE335A"/>
    <w:rsid w:val="00DE3F2C"/>
    <w:rsid w:val="00DE48C2"/>
    <w:rsid w:val="00DE4999"/>
    <w:rsid w:val="00DE4B52"/>
    <w:rsid w:val="00DE4D2A"/>
    <w:rsid w:val="00DE4D5F"/>
    <w:rsid w:val="00DE5421"/>
    <w:rsid w:val="00DE57D7"/>
    <w:rsid w:val="00DE5890"/>
    <w:rsid w:val="00DE6D21"/>
    <w:rsid w:val="00DF1385"/>
    <w:rsid w:val="00DF25BA"/>
    <w:rsid w:val="00DF34BC"/>
    <w:rsid w:val="00DF4C4E"/>
    <w:rsid w:val="00DF5485"/>
    <w:rsid w:val="00DF59A6"/>
    <w:rsid w:val="00DF6A55"/>
    <w:rsid w:val="00DF6BF3"/>
    <w:rsid w:val="00DF7AE7"/>
    <w:rsid w:val="00E003CE"/>
    <w:rsid w:val="00E0097E"/>
    <w:rsid w:val="00E00C99"/>
    <w:rsid w:val="00E00D2E"/>
    <w:rsid w:val="00E01823"/>
    <w:rsid w:val="00E02C60"/>
    <w:rsid w:val="00E0345E"/>
    <w:rsid w:val="00E04C08"/>
    <w:rsid w:val="00E0720B"/>
    <w:rsid w:val="00E12BCE"/>
    <w:rsid w:val="00E12E4C"/>
    <w:rsid w:val="00E13710"/>
    <w:rsid w:val="00E138DF"/>
    <w:rsid w:val="00E14B86"/>
    <w:rsid w:val="00E15C45"/>
    <w:rsid w:val="00E15EA4"/>
    <w:rsid w:val="00E163B1"/>
    <w:rsid w:val="00E17847"/>
    <w:rsid w:val="00E17AD9"/>
    <w:rsid w:val="00E17B30"/>
    <w:rsid w:val="00E17FD6"/>
    <w:rsid w:val="00E20F39"/>
    <w:rsid w:val="00E215EC"/>
    <w:rsid w:val="00E21A93"/>
    <w:rsid w:val="00E220C1"/>
    <w:rsid w:val="00E24127"/>
    <w:rsid w:val="00E24AD2"/>
    <w:rsid w:val="00E25005"/>
    <w:rsid w:val="00E26A9E"/>
    <w:rsid w:val="00E279D5"/>
    <w:rsid w:val="00E30733"/>
    <w:rsid w:val="00E314D5"/>
    <w:rsid w:val="00E3165D"/>
    <w:rsid w:val="00E32239"/>
    <w:rsid w:val="00E3287C"/>
    <w:rsid w:val="00E33F0C"/>
    <w:rsid w:val="00E340A0"/>
    <w:rsid w:val="00E35C96"/>
    <w:rsid w:val="00E366EC"/>
    <w:rsid w:val="00E411FB"/>
    <w:rsid w:val="00E425E9"/>
    <w:rsid w:val="00E42BD8"/>
    <w:rsid w:val="00E45269"/>
    <w:rsid w:val="00E46576"/>
    <w:rsid w:val="00E4668E"/>
    <w:rsid w:val="00E504D5"/>
    <w:rsid w:val="00E50605"/>
    <w:rsid w:val="00E50ABB"/>
    <w:rsid w:val="00E50E1F"/>
    <w:rsid w:val="00E50E2D"/>
    <w:rsid w:val="00E50E7B"/>
    <w:rsid w:val="00E53FC0"/>
    <w:rsid w:val="00E540EF"/>
    <w:rsid w:val="00E5423D"/>
    <w:rsid w:val="00E54C04"/>
    <w:rsid w:val="00E559B7"/>
    <w:rsid w:val="00E560E1"/>
    <w:rsid w:val="00E6070D"/>
    <w:rsid w:val="00E60D27"/>
    <w:rsid w:val="00E61A0D"/>
    <w:rsid w:val="00E6319C"/>
    <w:rsid w:val="00E644C3"/>
    <w:rsid w:val="00E659DB"/>
    <w:rsid w:val="00E65B98"/>
    <w:rsid w:val="00E669C1"/>
    <w:rsid w:val="00E67989"/>
    <w:rsid w:val="00E71128"/>
    <w:rsid w:val="00E72AF9"/>
    <w:rsid w:val="00E73151"/>
    <w:rsid w:val="00E748DF"/>
    <w:rsid w:val="00E74A59"/>
    <w:rsid w:val="00E7645E"/>
    <w:rsid w:val="00E76874"/>
    <w:rsid w:val="00E769AB"/>
    <w:rsid w:val="00E773A5"/>
    <w:rsid w:val="00E77A9D"/>
    <w:rsid w:val="00E77C18"/>
    <w:rsid w:val="00E77D58"/>
    <w:rsid w:val="00E803F4"/>
    <w:rsid w:val="00E80844"/>
    <w:rsid w:val="00E80D08"/>
    <w:rsid w:val="00E80F1A"/>
    <w:rsid w:val="00E810EE"/>
    <w:rsid w:val="00E817B5"/>
    <w:rsid w:val="00E81C36"/>
    <w:rsid w:val="00E82644"/>
    <w:rsid w:val="00E82A57"/>
    <w:rsid w:val="00E82A8D"/>
    <w:rsid w:val="00E8374C"/>
    <w:rsid w:val="00E8560F"/>
    <w:rsid w:val="00E85FE1"/>
    <w:rsid w:val="00E87027"/>
    <w:rsid w:val="00E8783C"/>
    <w:rsid w:val="00E87E01"/>
    <w:rsid w:val="00E90646"/>
    <w:rsid w:val="00E91730"/>
    <w:rsid w:val="00E9253E"/>
    <w:rsid w:val="00E92B0E"/>
    <w:rsid w:val="00E92E1A"/>
    <w:rsid w:val="00E93401"/>
    <w:rsid w:val="00E93B97"/>
    <w:rsid w:val="00E93FA3"/>
    <w:rsid w:val="00E95F15"/>
    <w:rsid w:val="00E97C95"/>
    <w:rsid w:val="00EA0340"/>
    <w:rsid w:val="00EA09B1"/>
    <w:rsid w:val="00EA0C8E"/>
    <w:rsid w:val="00EA10C8"/>
    <w:rsid w:val="00EA1F64"/>
    <w:rsid w:val="00EA25E7"/>
    <w:rsid w:val="00EA2958"/>
    <w:rsid w:val="00EA2BCE"/>
    <w:rsid w:val="00EA2C50"/>
    <w:rsid w:val="00EA3E7F"/>
    <w:rsid w:val="00EA508B"/>
    <w:rsid w:val="00EA633D"/>
    <w:rsid w:val="00EA66BD"/>
    <w:rsid w:val="00EB0010"/>
    <w:rsid w:val="00EB061E"/>
    <w:rsid w:val="00EB108A"/>
    <w:rsid w:val="00EB1440"/>
    <w:rsid w:val="00EB2557"/>
    <w:rsid w:val="00EB2A6B"/>
    <w:rsid w:val="00EB35A9"/>
    <w:rsid w:val="00EB42E6"/>
    <w:rsid w:val="00EB63BD"/>
    <w:rsid w:val="00EB6849"/>
    <w:rsid w:val="00EB78FE"/>
    <w:rsid w:val="00EB7965"/>
    <w:rsid w:val="00EC023C"/>
    <w:rsid w:val="00EC10C5"/>
    <w:rsid w:val="00EC1E22"/>
    <w:rsid w:val="00EC2C3B"/>
    <w:rsid w:val="00EC3489"/>
    <w:rsid w:val="00EC41A9"/>
    <w:rsid w:val="00EC46BF"/>
    <w:rsid w:val="00EC4714"/>
    <w:rsid w:val="00EC54EF"/>
    <w:rsid w:val="00EC57A3"/>
    <w:rsid w:val="00ED01E6"/>
    <w:rsid w:val="00ED0AF0"/>
    <w:rsid w:val="00ED1094"/>
    <w:rsid w:val="00ED196E"/>
    <w:rsid w:val="00ED26ED"/>
    <w:rsid w:val="00ED307D"/>
    <w:rsid w:val="00ED34B8"/>
    <w:rsid w:val="00ED40D1"/>
    <w:rsid w:val="00ED4967"/>
    <w:rsid w:val="00ED5E7A"/>
    <w:rsid w:val="00ED68AB"/>
    <w:rsid w:val="00ED6ADE"/>
    <w:rsid w:val="00ED7064"/>
    <w:rsid w:val="00EE0571"/>
    <w:rsid w:val="00EE07DF"/>
    <w:rsid w:val="00EE0B75"/>
    <w:rsid w:val="00EE0FBA"/>
    <w:rsid w:val="00EE1FB2"/>
    <w:rsid w:val="00EE2460"/>
    <w:rsid w:val="00EE2C47"/>
    <w:rsid w:val="00EE3BE1"/>
    <w:rsid w:val="00EE3C2D"/>
    <w:rsid w:val="00EE4B36"/>
    <w:rsid w:val="00EE50E4"/>
    <w:rsid w:val="00EE551C"/>
    <w:rsid w:val="00EE5586"/>
    <w:rsid w:val="00EF06D1"/>
    <w:rsid w:val="00EF1647"/>
    <w:rsid w:val="00EF19C7"/>
    <w:rsid w:val="00EF2DD0"/>
    <w:rsid w:val="00EF37F8"/>
    <w:rsid w:val="00EF38C7"/>
    <w:rsid w:val="00EF390E"/>
    <w:rsid w:val="00EF4A51"/>
    <w:rsid w:val="00EF4FA8"/>
    <w:rsid w:val="00EF6987"/>
    <w:rsid w:val="00EF6CFA"/>
    <w:rsid w:val="00F0030F"/>
    <w:rsid w:val="00F0071C"/>
    <w:rsid w:val="00F009FF"/>
    <w:rsid w:val="00F01643"/>
    <w:rsid w:val="00F02D02"/>
    <w:rsid w:val="00F04839"/>
    <w:rsid w:val="00F04BF7"/>
    <w:rsid w:val="00F0567C"/>
    <w:rsid w:val="00F06262"/>
    <w:rsid w:val="00F06434"/>
    <w:rsid w:val="00F06A92"/>
    <w:rsid w:val="00F0701E"/>
    <w:rsid w:val="00F1116E"/>
    <w:rsid w:val="00F11762"/>
    <w:rsid w:val="00F117E1"/>
    <w:rsid w:val="00F11DE2"/>
    <w:rsid w:val="00F123FD"/>
    <w:rsid w:val="00F125C1"/>
    <w:rsid w:val="00F130B4"/>
    <w:rsid w:val="00F1423B"/>
    <w:rsid w:val="00F14302"/>
    <w:rsid w:val="00F14DE4"/>
    <w:rsid w:val="00F15035"/>
    <w:rsid w:val="00F15245"/>
    <w:rsid w:val="00F16D2B"/>
    <w:rsid w:val="00F171BD"/>
    <w:rsid w:val="00F173FC"/>
    <w:rsid w:val="00F17A06"/>
    <w:rsid w:val="00F21036"/>
    <w:rsid w:val="00F220A3"/>
    <w:rsid w:val="00F233A4"/>
    <w:rsid w:val="00F23A69"/>
    <w:rsid w:val="00F261F0"/>
    <w:rsid w:val="00F2752F"/>
    <w:rsid w:val="00F277EE"/>
    <w:rsid w:val="00F27D53"/>
    <w:rsid w:val="00F27F95"/>
    <w:rsid w:val="00F300D9"/>
    <w:rsid w:val="00F325A8"/>
    <w:rsid w:val="00F36496"/>
    <w:rsid w:val="00F36BA5"/>
    <w:rsid w:val="00F371E6"/>
    <w:rsid w:val="00F37CBD"/>
    <w:rsid w:val="00F42FB4"/>
    <w:rsid w:val="00F43DD8"/>
    <w:rsid w:val="00F446E7"/>
    <w:rsid w:val="00F45914"/>
    <w:rsid w:val="00F46743"/>
    <w:rsid w:val="00F471A0"/>
    <w:rsid w:val="00F515B3"/>
    <w:rsid w:val="00F522BD"/>
    <w:rsid w:val="00F5267B"/>
    <w:rsid w:val="00F537F9"/>
    <w:rsid w:val="00F538AD"/>
    <w:rsid w:val="00F54682"/>
    <w:rsid w:val="00F55695"/>
    <w:rsid w:val="00F561AD"/>
    <w:rsid w:val="00F56A6E"/>
    <w:rsid w:val="00F56AC7"/>
    <w:rsid w:val="00F57581"/>
    <w:rsid w:val="00F57E0B"/>
    <w:rsid w:val="00F57FA2"/>
    <w:rsid w:val="00F60BB4"/>
    <w:rsid w:val="00F61445"/>
    <w:rsid w:val="00F61CE0"/>
    <w:rsid w:val="00F62652"/>
    <w:rsid w:val="00F62F2E"/>
    <w:rsid w:val="00F62F39"/>
    <w:rsid w:val="00F6377A"/>
    <w:rsid w:val="00F65ADF"/>
    <w:rsid w:val="00F666BA"/>
    <w:rsid w:val="00F66FAA"/>
    <w:rsid w:val="00F675DB"/>
    <w:rsid w:val="00F70825"/>
    <w:rsid w:val="00F70B71"/>
    <w:rsid w:val="00F71654"/>
    <w:rsid w:val="00F720A9"/>
    <w:rsid w:val="00F72203"/>
    <w:rsid w:val="00F73579"/>
    <w:rsid w:val="00F74829"/>
    <w:rsid w:val="00F77119"/>
    <w:rsid w:val="00F77448"/>
    <w:rsid w:val="00F77C19"/>
    <w:rsid w:val="00F8023C"/>
    <w:rsid w:val="00F80860"/>
    <w:rsid w:val="00F809C9"/>
    <w:rsid w:val="00F80BBE"/>
    <w:rsid w:val="00F81882"/>
    <w:rsid w:val="00F81FAF"/>
    <w:rsid w:val="00F824D5"/>
    <w:rsid w:val="00F83439"/>
    <w:rsid w:val="00F83495"/>
    <w:rsid w:val="00F84C85"/>
    <w:rsid w:val="00F8558B"/>
    <w:rsid w:val="00F859B8"/>
    <w:rsid w:val="00F85E32"/>
    <w:rsid w:val="00F873AB"/>
    <w:rsid w:val="00F87EF1"/>
    <w:rsid w:val="00F90B2F"/>
    <w:rsid w:val="00F90D3C"/>
    <w:rsid w:val="00F90F11"/>
    <w:rsid w:val="00F9154A"/>
    <w:rsid w:val="00F92930"/>
    <w:rsid w:val="00F92DCF"/>
    <w:rsid w:val="00F9475C"/>
    <w:rsid w:val="00F95DFB"/>
    <w:rsid w:val="00F9613B"/>
    <w:rsid w:val="00F964AF"/>
    <w:rsid w:val="00F9655A"/>
    <w:rsid w:val="00F977D6"/>
    <w:rsid w:val="00F97D18"/>
    <w:rsid w:val="00FA01AB"/>
    <w:rsid w:val="00FA378E"/>
    <w:rsid w:val="00FA3F9B"/>
    <w:rsid w:val="00FA42B1"/>
    <w:rsid w:val="00FA48E3"/>
    <w:rsid w:val="00FA5588"/>
    <w:rsid w:val="00FA6850"/>
    <w:rsid w:val="00FA758F"/>
    <w:rsid w:val="00FA7EA6"/>
    <w:rsid w:val="00FB080E"/>
    <w:rsid w:val="00FB1016"/>
    <w:rsid w:val="00FB126B"/>
    <w:rsid w:val="00FB1C80"/>
    <w:rsid w:val="00FB26E5"/>
    <w:rsid w:val="00FB2BB7"/>
    <w:rsid w:val="00FB3736"/>
    <w:rsid w:val="00FB4458"/>
    <w:rsid w:val="00FB451C"/>
    <w:rsid w:val="00FB53D0"/>
    <w:rsid w:val="00FB5700"/>
    <w:rsid w:val="00FB755F"/>
    <w:rsid w:val="00FC00BE"/>
    <w:rsid w:val="00FC08D1"/>
    <w:rsid w:val="00FC193D"/>
    <w:rsid w:val="00FC2263"/>
    <w:rsid w:val="00FC3A4D"/>
    <w:rsid w:val="00FC492A"/>
    <w:rsid w:val="00FC4C30"/>
    <w:rsid w:val="00FC52DE"/>
    <w:rsid w:val="00FC5395"/>
    <w:rsid w:val="00FD4AFD"/>
    <w:rsid w:val="00FD5748"/>
    <w:rsid w:val="00FD6946"/>
    <w:rsid w:val="00FD7A17"/>
    <w:rsid w:val="00FE05AD"/>
    <w:rsid w:val="00FE0B3A"/>
    <w:rsid w:val="00FE42E4"/>
    <w:rsid w:val="00FE5746"/>
    <w:rsid w:val="00FE5B76"/>
    <w:rsid w:val="00FE5BCE"/>
    <w:rsid w:val="00FF0148"/>
    <w:rsid w:val="00FF06D3"/>
    <w:rsid w:val="00FF612E"/>
    <w:rsid w:val="00FF6CED"/>
    <w:rsid w:val="00FF6D32"/>
    <w:rsid w:val="00FF71D1"/>
    <w:rsid w:val="01551ABD"/>
    <w:rsid w:val="015B33DB"/>
    <w:rsid w:val="01642AFE"/>
    <w:rsid w:val="017954DA"/>
    <w:rsid w:val="01C35782"/>
    <w:rsid w:val="04B211D5"/>
    <w:rsid w:val="04E470A0"/>
    <w:rsid w:val="058969A8"/>
    <w:rsid w:val="05C96DD7"/>
    <w:rsid w:val="06370A79"/>
    <w:rsid w:val="064D26E6"/>
    <w:rsid w:val="075E0BFA"/>
    <w:rsid w:val="07647F13"/>
    <w:rsid w:val="081D5AAE"/>
    <w:rsid w:val="086456CA"/>
    <w:rsid w:val="097B47C4"/>
    <w:rsid w:val="09B86A1E"/>
    <w:rsid w:val="09E36DF7"/>
    <w:rsid w:val="0A392AF6"/>
    <w:rsid w:val="0B1957C1"/>
    <w:rsid w:val="0B1B531E"/>
    <w:rsid w:val="0BFB5AC1"/>
    <w:rsid w:val="0C3104F9"/>
    <w:rsid w:val="0C6A25C3"/>
    <w:rsid w:val="0E033BCA"/>
    <w:rsid w:val="0EB57CAC"/>
    <w:rsid w:val="0EC8234D"/>
    <w:rsid w:val="0F3746F2"/>
    <w:rsid w:val="0F667AB1"/>
    <w:rsid w:val="0FE76FBA"/>
    <w:rsid w:val="10B04957"/>
    <w:rsid w:val="10F7282C"/>
    <w:rsid w:val="1209667C"/>
    <w:rsid w:val="120A7037"/>
    <w:rsid w:val="12320AD3"/>
    <w:rsid w:val="127E44FB"/>
    <w:rsid w:val="15623247"/>
    <w:rsid w:val="16032ECF"/>
    <w:rsid w:val="175C6B1C"/>
    <w:rsid w:val="17E113C3"/>
    <w:rsid w:val="18076A1D"/>
    <w:rsid w:val="18616F2E"/>
    <w:rsid w:val="1A14189E"/>
    <w:rsid w:val="1A4801E9"/>
    <w:rsid w:val="1B0073DE"/>
    <w:rsid w:val="1B8A1904"/>
    <w:rsid w:val="1CD12471"/>
    <w:rsid w:val="1DD7628E"/>
    <w:rsid w:val="1F6063A1"/>
    <w:rsid w:val="203159E0"/>
    <w:rsid w:val="208E3DCF"/>
    <w:rsid w:val="20CB6068"/>
    <w:rsid w:val="21436B21"/>
    <w:rsid w:val="21FA4E4B"/>
    <w:rsid w:val="22B23BEB"/>
    <w:rsid w:val="25D53A18"/>
    <w:rsid w:val="26115FA6"/>
    <w:rsid w:val="264168B0"/>
    <w:rsid w:val="26C82FAB"/>
    <w:rsid w:val="27923E06"/>
    <w:rsid w:val="27E57AC7"/>
    <w:rsid w:val="28921260"/>
    <w:rsid w:val="29B64F80"/>
    <w:rsid w:val="2A422990"/>
    <w:rsid w:val="2BFA1226"/>
    <w:rsid w:val="2C9254B0"/>
    <w:rsid w:val="2CA06BC3"/>
    <w:rsid w:val="2DB6565E"/>
    <w:rsid w:val="2EAD6C37"/>
    <w:rsid w:val="2EDF3BEF"/>
    <w:rsid w:val="2F552934"/>
    <w:rsid w:val="30515BF1"/>
    <w:rsid w:val="30906277"/>
    <w:rsid w:val="31AA504A"/>
    <w:rsid w:val="32155178"/>
    <w:rsid w:val="323E744C"/>
    <w:rsid w:val="32AD76C7"/>
    <w:rsid w:val="334C4CA4"/>
    <w:rsid w:val="340A6510"/>
    <w:rsid w:val="345E5F48"/>
    <w:rsid w:val="34931F59"/>
    <w:rsid w:val="351D0231"/>
    <w:rsid w:val="35505B62"/>
    <w:rsid w:val="35CD6D50"/>
    <w:rsid w:val="367418D1"/>
    <w:rsid w:val="36A46BDA"/>
    <w:rsid w:val="36EB4E76"/>
    <w:rsid w:val="37B84BC4"/>
    <w:rsid w:val="38881374"/>
    <w:rsid w:val="38DE4BE7"/>
    <w:rsid w:val="3BA605FF"/>
    <w:rsid w:val="3D597CEE"/>
    <w:rsid w:val="3DC60D99"/>
    <w:rsid w:val="3E132010"/>
    <w:rsid w:val="3EA60C8D"/>
    <w:rsid w:val="3EDF7208"/>
    <w:rsid w:val="3EF9403E"/>
    <w:rsid w:val="3F386DA4"/>
    <w:rsid w:val="40B8190A"/>
    <w:rsid w:val="40D24FBA"/>
    <w:rsid w:val="426E08C6"/>
    <w:rsid w:val="42993ED1"/>
    <w:rsid w:val="431F47BC"/>
    <w:rsid w:val="437F6A60"/>
    <w:rsid w:val="450327FF"/>
    <w:rsid w:val="45720460"/>
    <w:rsid w:val="48B07C17"/>
    <w:rsid w:val="4A485C57"/>
    <w:rsid w:val="4A7C565A"/>
    <w:rsid w:val="4B343EC3"/>
    <w:rsid w:val="4BBE1B96"/>
    <w:rsid w:val="4C200629"/>
    <w:rsid w:val="4E5914D0"/>
    <w:rsid w:val="4E803FF7"/>
    <w:rsid w:val="4F1900A3"/>
    <w:rsid w:val="4F6F0BC1"/>
    <w:rsid w:val="4F912F88"/>
    <w:rsid w:val="51701658"/>
    <w:rsid w:val="528B6A65"/>
    <w:rsid w:val="531C6536"/>
    <w:rsid w:val="538B51C2"/>
    <w:rsid w:val="54222332"/>
    <w:rsid w:val="54FE5A7F"/>
    <w:rsid w:val="564F2794"/>
    <w:rsid w:val="568A59AE"/>
    <w:rsid w:val="56BA1830"/>
    <w:rsid w:val="57161735"/>
    <w:rsid w:val="577F60DC"/>
    <w:rsid w:val="57E34578"/>
    <w:rsid w:val="598C4950"/>
    <w:rsid w:val="599F2E79"/>
    <w:rsid w:val="5B116351"/>
    <w:rsid w:val="5E10335D"/>
    <w:rsid w:val="5E82661B"/>
    <w:rsid w:val="5F1B5515"/>
    <w:rsid w:val="5F5B3D80"/>
    <w:rsid w:val="5F952C60"/>
    <w:rsid w:val="5F960335"/>
    <w:rsid w:val="5FC62A47"/>
    <w:rsid w:val="601838B7"/>
    <w:rsid w:val="613A1697"/>
    <w:rsid w:val="621663F6"/>
    <w:rsid w:val="624060C2"/>
    <w:rsid w:val="6247417E"/>
    <w:rsid w:val="62532F18"/>
    <w:rsid w:val="62912322"/>
    <w:rsid w:val="63F7767D"/>
    <w:rsid w:val="63FF4C22"/>
    <w:rsid w:val="646F64E2"/>
    <w:rsid w:val="65E87C14"/>
    <w:rsid w:val="65FB005C"/>
    <w:rsid w:val="65FB4A32"/>
    <w:rsid w:val="667444A2"/>
    <w:rsid w:val="66BB03FB"/>
    <w:rsid w:val="68AA7C5D"/>
    <w:rsid w:val="6B333AEC"/>
    <w:rsid w:val="6C2F7597"/>
    <w:rsid w:val="6CD55784"/>
    <w:rsid w:val="6CF1660B"/>
    <w:rsid w:val="6D9C5427"/>
    <w:rsid w:val="6EF527F5"/>
    <w:rsid w:val="6FC648E6"/>
    <w:rsid w:val="704F2288"/>
    <w:rsid w:val="705369FD"/>
    <w:rsid w:val="70995AAD"/>
    <w:rsid w:val="72CB252B"/>
    <w:rsid w:val="72D8059C"/>
    <w:rsid w:val="735F4566"/>
    <w:rsid w:val="74B60794"/>
    <w:rsid w:val="78DE5EE6"/>
    <w:rsid w:val="7AD973D3"/>
    <w:rsid w:val="7BED24E4"/>
    <w:rsid w:val="7DBE2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name="index 1"/>
    <w:lsdException w:qFormat="1" w:uiPriority="0" w:name="index 2"/>
    <w:lsdException w:qFormat="1" w:uiPriority="0" w:name="index 3"/>
    <w:lsdException w:uiPriority="99" w:name="index 4"/>
    <w:lsdException w:uiPriority="99" w:name="index 5"/>
    <w:lsdException w:uiPriority="99" w:name="index 6"/>
    <w:lsdException w:uiPriority="99" w:name="index 7"/>
    <w:lsdException w:uiPriority="99"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0" w:semiHidden="0" w:name="footer"/>
    <w:lsdException w:qFormat="1" w:unhideWhenUsed="0" w:uiPriority="0" w:semiHidden="0" w:name="index heading"/>
    <w:lsdException w:qFormat="1" w:unhideWhenUsed="0" w:uiPriority="0" w:semiHidden="0" w:name="caption"/>
    <w:lsdException w:qFormat="1" w:uiPriority="0" w:name="table of figures"/>
    <w:lsdException w:uiPriority="99" w:name="envelope address"/>
    <w:lsdException w:qFormat="1" w:uiPriority="0" w:name="envelope return"/>
    <w:lsdException w:qFormat="1" w:unhideWhenUsed="0" w:uiPriority="0" w:name="footnote reference"/>
    <w:lsdException w:qFormat="1" w:unhideWhenUsed="0" w:uiPriority="0" w:semiHidden="0" w:name="annotation reference"/>
    <w:lsdException w:qFormat="1" w:unhideWhenUsed="0" w:uiPriority="99" w:semiHidden="0" w:name="line number"/>
    <w:lsdException w:qFormat="1" w:unhideWhenUsed="0" w:uiPriority="0" w:semiHidden="0" w:name="page number"/>
    <w:lsdException w:qFormat="1" w:unhideWhenUsed="0" w:uiPriority="0" w:semiHidden="0" w:name="endnote reference"/>
    <w:lsdException w:qFormat="1" w:unhideWhenUsed="0" w:uiPriority="0" w:name="endnote text"/>
    <w:lsdException w:qFormat="1" w:uiPriority="0" w:name="table of authorities"/>
    <w:lsdException w:uiPriority="99" w:name="macro"/>
    <w:lsdException w:qFormat="1" w:unhideWhenUsed="0" w:uiPriority="0" w:semiHidden="0" w:name="toa heading"/>
    <w:lsdException w:qFormat="1" w:unhideWhenUsed="0" w:uiPriority="0" w:semiHidden="0" w:name="List"/>
    <w:lsdException w:qFormat="1" w:uiPriority="0" w:semiHidden="0" w:name="List Bullet"/>
    <w:lsdException w:qFormat="1" w:unhideWhenUsed="0" w:uiPriority="0" w:semiHidden="0" w:name="List Number"/>
    <w:lsdException w:qFormat="1" w:uiPriority="0" w:semiHidden="0" w:name="List 2"/>
    <w:lsdException w:qFormat="1" w:uiPriority="0" w:semiHidden="0" w:name="List 3"/>
    <w:lsdException w:qFormat="1" w:uiPriority="0" w:name="List 4"/>
    <w:lsdException w:uiPriority="99" w:name="List 5"/>
    <w:lsdException w:qFormat="1" w:uiPriority="0" w:semiHidden="0" w:name="List Bullet 2"/>
    <w:lsdException w:qFormat="1" w:uiPriority="0" w:semiHidden="0" w:name="List Bullet 3"/>
    <w:lsdException w:qFormat="1" w:uiPriority="0" w:semiHidden="0" w:name="List Bullet 4"/>
    <w:lsdException w:qFormat="1" w:uiPriority="0" w:semiHidden="0" w:name="List Bullet 5"/>
    <w:lsdException w:qFormat="1"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iPriority="99" w:semiHidden="0" w:name="Body Text Indent"/>
    <w:lsdException w:uiPriority="99" w:name="List Continue"/>
    <w:lsdException w:qFormat="1" w:uiPriority="0" w:semiHidden="0" w:name="List Continue 2"/>
    <w:lsdException w:qFormat="1" w:uiPriority="0" w:semiHidden="0" w:name="List Continue 3"/>
    <w:lsdException w:uiPriority="99" w:name="List Continue 4"/>
    <w:lsdException w:uiPriority="99" w:name="List Continue 5"/>
    <w:lsdException w:qFormat="1" w:uiPriority="0" w:semiHidden="0"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qFormat="1" w:uiPriority="0" w:semiHidden="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iPriority="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Calibri" w:cs="Times New Roman"/>
      <w:sz w:val="28"/>
      <w:szCs w:val="28"/>
      <w:lang w:val="en-US" w:eastAsia="en-US" w:bidi="ar-SA"/>
    </w:rPr>
  </w:style>
  <w:style w:type="paragraph" w:styleId="2">
    <w:name w:val="heading 1"/>
    <w:basedOn w:val="1"/>
    <w:next w:val="1"/>
    <w:link w:val="85"/>
    <w:qFormat/>
    <w:uiPriority w:val="0"/>
    <w:pPr>
      <w:keepNext/>
      <w:spacing w:before="240" w:after="60"/>
      <w:outlineLvl w:val="0"/>
    </w:pPr>
    <w:rPr>
      <w:rFonts w:ascii="Calibri Light" w:hAnsi="Calibri Light" w:eastAsia="Times New Roman"/>
      <w:b/>
      <w:bCs/>
      <w:kern w:val="32"/>
      <w:sz w:val="32"/>
      <w:szCs w:val="32"/>
    </w:rPr>
  </w:style>
  <w:style w:type="paragraph" w:styleId="3">
    <w:name w:val="heading 2"/>
    <w:basedOn w:val="1"/>
    <w:next w:val="1"/>
    <w:link w:val="105"/>
    <w:qFormat/>
    <w:uiPriority w:val="0"/>
    <w:pPr>
      <w:pBdr>
        <w:bottom w:val="single" w:color="C0C0C0" w:sz="24" w:space="3"/>
      </w:pBdr>
      <w:suppressAutoHyphens/>
      <w:spacing w:after="240" w:line="240" w:lineRule="auto"/>
      <w:jc w:val="center"/>
      <w:outlineLvl w:val="1"/>
    </w:pPr>
    <w:rPr>
      <w:rFonts w:ascii="Times New Roman Bold" w:hAnsi="Times New Roman Bold" w:eastAsia="Times New Roman"/>
      <w:b/>
      <w:szCs w:val="20"/>
      <w:lang w:val="zh-CN" w:eastAsia="zh-CN"/>
    </w:rPr>
  </w:style>
  <w:style w:type="paragraph" w:styleId="4">
    <w:name w:val="heading 3"/>
    <w:basedOn w:val="1"/>
    <w:next w:val="1"/>
    <w:link w:val="87"/>
    <w:unhideWhenUsed/>
    <w:qFormat/>
    <w:uiPriority w:val="0"/>
    <w:pPr>
      <w:keepNext/>
      <w:spacing w:before="240" w:after="60"/>
      <w:outlineLvl w:val="2"/>
    </w:pPr>
    <w:rPr>
      <w:rFonts w:ascii="Calibri Light" w:hAnsi="Calibri Light" w:eastAsia="Times New Roman"/>
      <w:b/>
      <w:bCs/>
      <w:sz w:val="26"/>
      <w:szCs w:val="26"/>
    </w:rPr>
  </w:style>
  <w:style w:type="paragraph" w:styleId="5">
    <w:name w:val="heading 4"/>
    <w:basedOn w:val="1"/>
    <w:next w:val="1"/>
    <w:link w:val="81"/>
    <w:unhideWhenUsed/>
    <w:qFormat/>
    <w:uiPriority w:val="0"/>
    <w:pPr>
      <w:keepNext/>
      <w:keepLines/>
      <w:spacing w:before="200" w:after="0"/>
      <w:outlineLvl w:val="3"/>
    </w:pPr>
    <w:rPr>
      <w:rFonts w:ascii="Cambria" w:hAnsi="Cambria" w:eastAsia="Times New Roman"/>
      <w:b/>
      <w:bCs/>
      <w:i/>
      <w:iCs/>
      <w:color w:val="4F81BD"/>
      <w:lang w:val="zh-CN" w:eastAsia="zh-CN"/>
    </w:rPr>
  </w:style>
  <w:style w:type="paragraph" w:styleId="6">
    <w:name w:val="heading 5"/>
    <w:basedOn w:val="1"/>
    <w:next w:val="1"/>
    <w:link w:val="106"/>
    <w:qFormat/>
    <w:uiPriority w:val="0"/>
    <w:pPr>
      <w:keepNext/>
      <w:spacing w:after="0" w:line="240" w:lineRule="auto"/>
      <w:jc w:val="center"/>
      <w:outlineLvl w:val="4"/>
    </w:pPr>
    <w:rPr>
      <w:rFonts w:ascii="Arial" w:hAnsi="Arial" w:eastAsia="Times New Roman"/>
      <w:sz w:val="24"/>
      <w:szCs w:val="20"/>
      <w:u w:val="single"/>
      <w:lang w:val="zh-CN" w:eastAsia="zh-CN"/>
    </w:rPr>
  </w:style>
  <w:style w:type="paragraph" w:styleId="7">
    <w:name w:val="heading 6"/>
    <w:basedOn w:val="1"/>
    <w:next w:val="1"/>
    <w:link w:val="107"/>
    <w:qFormat/>
    <w:uiPriority w:val="0"/>
    <w:pPr>
      <w:keepNext/>
      <w:keepLines/>
      <w:suppressAutoHyphens/>
      <w:spacing w:after="0" w:line="240" w:lineRule="auto"/>
      <w:ind w:right="-72"/>
      <w:jc w:val="center"/>
      <w:outlineLvl w:val="5"/>
    </w:pPr>
    <w:rPr>
      <w:rFonts w:eastAsia="Times New Roman"/>
      <w:b/>
      <w:szCs w:val="20"/>
      <w:lang w:val="zh-CN" w:eastAsia="zh-CN"/>
    </w:rPr>
  </w:style>
  <w:style w:type="paragraph" w:styleId="8">
    <w:name w:val="heading 7"/>
    <w:basedOn w:val="1"/>
    <w:next w:val="1"/>
    <w:link w:val="108"/>
    <w:qFormat/>
    <w:uiPriority w:val="0"/>
    <w:pPr>
      <w:keepNext/>
      <w:spacing w:after="0" w:line="240" w:lineRule="auto"/>
      <w:jc w:val="center"/>
      <w:outlineLvl w:val="6"/>
    </w:pPr>
    <w:rPr>
      <w:rFonts w:eastAsia="Times New Roman"/>
      <w:b/>
      <w:sz w:val="72"/>
      <w:szCs w:val="20"/>
      <w:lang w:val="zh-CN" w:eastAsia="zh-CN"/>
    </w:rPr>
  </w:style>
  <w:style w:type="paragraph" w:styleId="9">
    <w:name w:val="heading 8"/>
    <w:basedOn w:val="1"/>
    <w:next w:val="1"/>
    <w:link w:val="109"/>
    <w:qFormat/>
    <w:uiPriority w:val="0"/>
    <w:pPr>
      <w:keepNext/>
      <w:spacing w:after="0" w:line="240" w:lineRule="auto"/>
      <w:jc w:val="center"/>
      <w:outlineLvl w:val="7"/>
    </w:pPr>
    <w:rPr>
      <w:rFonts w:eastAsia="Times New Roman"/>
      <w:b/>
      <w:sz w:val="56"/>
      <w:szCs w:val="20"/>
      <w:lang w:val="zh-CN" w:eastAsia="zh-CN"/>
    </w:rPr>
  </w:style>
  <w:style w:type="paragraph" w:styleId="10">
    <w:name w:val="heading 9"/>
    <w:basedOn w:val="1"/>
    <w:next w:val="1"/>
    <w:link w:val="110"/>
    <w:qFormat/>
    <w:uiPriority w:val="0"/>
    <w:pPr>
      <w:numPr>
        <w:ilvl w:val="8"/>
        <w:numId w:val="1"/>
      </w:numPr>
      <w:spacing w:before="240" w:after="60" w:line="240" w:lineRule="auto"/>
      <w:jc w:val="both"/>
      <w:outlineLvl w:val="8"/>
    </w:pPr>
    <w:rPr>
      <w:rFonts w:ascii="Arial" w:hAnsi="Arial" w:eastAsia="Times New Roman"/>
      <w:b/>
      <w:i/>
      <w:sz w:val="18"/>
      <w:szCs w:val="20"/>
      <w:lang w:eastAsia="zh-CN"/>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84"/>
    <w:unhideWhenUsed/>
    <w:qFormat/>
    <w:uiPriority w:val="99"/>
    <w:pPr>
      <w:spacing w:after="0" w:line="240" w:lineRule="auto"/>
    </w:pPr>
    <w:rPr>
      <w:rFonts w:ascii="Tahoma" w:hAnsi="Tahoma"/>
      <w:sz w:val="16"/>
      <w:szCs w:val="16"/>
      <w:lang w:val="zh-CN" w:eastAsia="zh-CN"/>
    </w:rPr>
  </w:style>
  <w:style w:type="paragraph" w:styleId="14">
    <w:name w:val="Block Text"/>
    <w:basedOn w:val="1"/>
    <w:qFormat/>
    <w:uiPriority w:val="0"/>
    <w:pPr>
      <w:tabs>
        <w:tab w:val="left" w:pos="1080"/>
      </w:tabs>
      <w:suppressAutoHyphens/>
      <w:spacing w:after="200" w:line="240" w:lineRule="auto"/>
      <w:ind w:left="547" w:right="-72" w:hanging="547"/>
      <w:jc w:val="both"/>
    </w:pPr>
    <w:rPr>
      <w:rFonts w:eastAsia="Times New Roman"/>
      <w:sz w:val="24"/>
      <w:szCs w:val="20"/>
    </w:rPr>
  </w:style>
  <w:style w:type="paragraph" w:styleId="15">
    <w:name w:val="Body Text"/>
    <w:basedOn w:val="1"/>
    <w:link w:val="102"/>
    <w:unhideWhenUsed/>
    <w:qFormat/>
    <w:uiPriority w:val="0"/>
    <w:pPr>
      <w:spacing w:after="120"/>
    </w:pPr>
  </w:style>
  <w:style w:type="paragraph" w:styleId="16">
    <w:name w:val="Body Text 2"/>
    <w:basedOn w:val="1"/>
    <w:link w:val="166"/>
    <w:qFormat/>
    <w:uiPriority w:val="0"/>
    <w:pPr>
      <w:suppressAutoHyphens/>
      <w:spacing w:after="0" w:line="240" w:lineRule="auto"/>
      <w:jc w:val="both"/>
    </w:pPr>
    <w:rPr>
      <w:rFonts w:eastAsia="Times New Roman"/>
      <w:i/>
      <w:sz w:val="24"/>
      <w:szCs w:val="20"/>
      <w:lang w:val="zh-CN" w:eastAsia="zh-CN"/>
    </w:rPr>
  </w:style>
  <w:style w:type="paragraph" w:styleId="17">
    <w:name w:val="Body Text 3"/>
    <w:basedOn w:val="1"/>
    <w:link w:val="99"/>
    <w:unhideWhenUsed/>
    <w:qFormat/>
    <w:uiPriority w:val="0"/>
    <w:pPr>
      <w:spacing w:after="120"/>
    </w:pPr>
    <w:rPr>
      <w:sz w:val="16"/>
      <w:szCs w:val="16"/>
    </w:rPr>
  </w:style>
  <w:style w:type="paragraph" w:styleId="18">
    <w:name w:val="Body Text Indent"/>
    <w:basedOn w:val="1"/>
    <w:link w:val="104"/>
    <w:unhideWhenUsed/>
    <w:qFormat/>
    <w:uiPriority w:val="99"/>
    <w:pPr>
      <w:spacing w:after="120"/>
      <w:ind w:left="360"/>
    </w:pPr>
  </w:style>
  <w:style w:type="paragraph" w:styleId="19">
    <w:name w:val="Body Text Indent 2"/>
    <w:basedOn w:val="1"/>
    <w:link w:val="88"/>
    <w:qFormat/>
    <w:uiPriority w:val="0"/>
    <w:pPr>
      <w:tabs>
        <w:tab w:val="left" w:pos="720"/>
      </w:tabs>
      <w:spacing w:after="0" w:line="240" w:lineRule="auto"/>
      <w:ind w:left="720" w:hanging="720"/>
    </w:pPr>
    <w:rPr>
      <w:rFonts w:eastAsia="Times New Roman"/>
      <w:sz w:val="24"/>
      <w:szCs w:val="20"/>
      <w:lang w:val="zh-CN" w:eastAsia="zh-CN"/>
    </w:rPr>
  </w:style>
  <w:style w:type="paragraph" w:styleId="20">
    <w:name w:val="Body Text Indent 3"/>
    <w:basedOn w:val="1"/>
    <w:link w:val="188"/>
    <w:qFormat/>
    <w:uiPriority w:val="0"/>
    <w:pPr>
      <w:spacing w:before="120" w:after="0" w:line="240" w:lineRule="auto"/>
      <w:ind w:left="1440" w:hanging="1440"/>
      <w:jc w:val="both"/>
    </w:pPr>
    <w:rPr>
      <w:rFonts w:eastAsia="Times New Roman"/>
      <w:b/>
      <w:sz w:val="24"/>
      <w:szCs w:val="20"/>
      <w:lang w:val="zh-CN" w:eastAsia="zh-CN"/>
    </w:rPr>
  </w:style>
  <w:style w:type="paragraph" w:styleId="21">
    <w:name w:val="caption"/>
    <w:basedOn w:val="1"/>
    <w:next w:val="1"/>
    <w:qFormat/>
    <w:uiPriority w:val="0"/>
    <w:pPr>
      <w:spacing w:after="0" w:line="240" w:lineRule="auto"/>
      <w:jc w:val="both"/>
    </w:pPr>
    <w:rPr>
      <w:rFonts w:ascii="Courier New" w:hAnsi="Courier New" w:eastAsia="Times New Roman"/>
      <w:sz w:val="24"/>
      <w:szCs w:val="20"/>
    </w:rPr>
  </w:style>
  <w:style w:type="character" w:styleId="22">
    <w:name w:val="annotation reference"/>
    <w:qFormat/>
    <w:uiPriority w:val="0"/>
    <w:rPr>
      <w:sz w:val="16"/>
    </w:rPr>
  </w:style>
  <w:style w:type="paragraph" w:styleId="23">
    <w:name w:val="annotation text"/>
    <w:basedOn w:val="1"/>
    <w:link w:val="90"/>
    <w:qFormat/>
    <w:uiPriority w:val="0"/>
    <w:pPr>
      <w:spacing w:after="0" w:line="240" w:lineRule="auto"/>
    </w:pPr>
    <w:rPr>
      <w:rFonts w:eastAsia="Times New Roman"/>
      <w:sz w:val="20"/>
      <w:szCs w:val="20"/>
      <w:lang w:val="zh-CN" w:eastAsia="zh-CN"/>
    </w:rPr>
  </w:style>
  <w:style w:type="paragraph" w:styleId="24">
    <w:name w:val="annotation subject"/>
    <w:basedOn w:val="23"/>
    <w:next w:val="23"/>
    <w:link w:val="223"/>
    <w:qFormat/>
    <w:uiPriority w:val="0"/>
    <w:pPr>
      <w:jc w:val="both"/>
    </w:pPr>
    <w:rPr>
      <w:b/>
      <w:bCs/>
    </w:rPr>
  </w:style>
  <w:style w:type="paragraph" w:styleId="25">
    <w:name w:val="Date"/>
    <w:basedOn w:val="1"/>
    <w:next w:val="1"/>
    <w:link w:val="320"/>
    <w:qFormat/>
    <w:uiPriority w:val="0"/>
    <w:pPr>
      <w:spacing w:after="0" w:line="240" w:lineRule="auto"/>
    </w:pPr>
    <w:rPr>
      <w:rFonts w:ascii=".VnTime" w:hAnsi=".VnTime" w:eastAsia="Times New Roman"/>
      <w:color w:val="000000"/>
      <w:szCs w:val="20"/>
    </w:rPr>
  </w:style>
  <w:style w:type="paragraph" w:styleId="26">
    <w:name w:val="Document Map"/>
    <w:basedOn w:val="1"/>
    <w:link w:val="256"/>
    <w:qFormat/>
    <w:uiPriority w:val="0"/>
    <w:pPr>
      <w:shd w:val="clear" w:color="auto" w:fill="000080"/>
      <w:spacing w:after="0" w:line="240" w:lineRule="auto"/>
    </w:pPr>
    <w:rPr>
      <w:rFonts w:ascii="Tahoma" w:hAnsi="Tahoma" w:eastAsia="Times New Roman"/>
      <w:sz w:val="24"/>
      <w:szCs w:val="20"/>
      <w:lang w:val="zh-CN" w:eastAsia="zh-CN"/>
    </w:rPr>
  </w:style>
  <w:style w:type="character" w:styleId="27">
    <w:name w:val="endnote reference"/>
    <w:qFormat/>
    <w:uiPriority w:val="0"/>
    <w:rPr>
      <w:rFonts w:ascii="CG Times" w:hAnsi="CG Times"/>
      <w:sz w:val="22"/>
      <w:vertAlign w:val="superscript"/>
      <w:lang w:val="en-US"/>
    </w:rPr>
  </w:style>
  <w:style w:type="paragraph" w:styleId="28">
    <w:name w:val="endnote text"/>
    <w:basedOn w:val="1"/>
    <w:link w:val="164"/>
    <w:semiHidden/>
    <w:qFormat/>
    <w:uiPriority w:val="0"/>
    <w:pPr>
      <w:tabs>
        <w:tab w:val="left" w:pos="-720"/>
      </w:tabs>
      <w:suppressAutoHyphens/>
      <w:spacing w:after="0" w:line="240" w:lineRule="auto"/>
    </w:pPr>
    <w:rPr>
      <w:rFonts w:eastAsia="Times New Roman"/>
      <w:sz w:val="20"/>
      <w:szCs w:val="20"/>
    </w:rPr>
  </w:style>
  <w:style w:type="paragraph" w:styleId="29">
    <w:name w:val="envelope return"/>
    <w:basedOn w:val="1"/>
    <w:semiHidden/>
    <w:unhideWhenUsed/>
    <w:qFormat/>
    <w:uiPriority w:val="0"/>
    <w:pPr>
      <w:spacing w:after="0" w:line="240" w:lineRule="auto"/>
    </w:pPr>
    <w:rPr>
      <w:rFonts w:ascii="Avalon" w:hAnsi="Avalon" w:eastAsia="Times New Roman"/>
      <w:sz w:val="24"/>
      <w:szCs w:val="20"/>
      <w:lang w:val="de-DE"/>
    </w:rPr>
  </w:style>
  <w:style w:type="character" w:styleId="30">
    <w:name w:val="FollowedHyperlink"/>
    <w:qFormat/>
    <w:uiPriority w:val="0"/>
    <w:rPr>
      <w:color w:val="606420"/>
      <w:u w:val="single"/>
    </w:rPr>
  </w:style>
  <w:style w:type="paragraph" w:styleId="31">
    <w:name w:val="footer"/>
    <w:basedOn w:val="1"/>
    <w:link w:val="83"/>
    <w:unhideWhenUsed/>
    <w:qFormat/>
    <w:uiPriority w:val="0"/>
    <w:pPr>
      <w:tabs>
        <w:tab w:val="center" w:pos="4680"/>
        <w:tab w:val="right" w:pos="9360"/>
      </w:tabs>
      <w:spacing w:after="0" w:line="240" w:lineRule="auto"/>
    </w:pPr>
    <w:rPr>
      <w:lang w:val="zh-CN" w:eastAsia="zh-CN"/>
    </w:rPr>
  </w:style>
  <w:style w:type="character" w:styleId="32">
    <w:name w:val="footnote reference"/>
    <w:semiHidden/>
    <w:qFormat/>
    <w:uiPriority w:val="0"/>
    <w:rPr>
      <w:vertAlign w:val="superscript"/>
    </w:rPr>
  </w:style>
  <w:style w:type="paragraph" w:styleId="33">
    <w:name w:val="footnote text"/>
    <w:basedOn w:val="1"/>
    <w:link w:val="101"/>
    <w:qFormat/>
    <w:uiPriority w:val="0"/>
    <w:pPr>
      <w:tabs>
        <w:tab w:val="left" w:pos="360"/>
      </w:tabs>
      <w:spacing w:after="0" w:line="240" w:lineRule="auto"/>
      <w:ind w:left="360" w:hanging="360"/>
      <w:jc w:val="both"/>
    </w:pPr>
    <w:rPr>
      <w:rFonts w:eastAsia="Times New Roman"/>
      <w:sz w:val="20"/>
      <w:szCs w:val="20"/>
      <w:lang w:val="zh-CN" w:eastAsia="zh-CN"/>
    </w:rPr>
  </w:style>
  <w:style w:type="paragraph" w:styleId="34">
    <w:name w:val="header"/>
    <w:basedOn w:val="1"/>
    <w:link w:val="82"/>
    <w:unhideWhenUsed/>
    <w:qFormat/>
    <w:uiPriority w:val="0"/>
    <w:pPr>
      <w:tabs>
        <w:tab w:val="center" w:pos="4680"/>
        <w:tab w:val="right" w:pos="9360"/>
      </w:tabs>
      <w:spacing w:after="0" w:line="240" w:lineRule="auto"/>
    </w:pPr>
    <w:rPr>
      <w:lang w:val="zh-CN" w:eastAsia="zh-CN"/>
    </w:rPr>
  </w:style>
  <w:style w:type="paragraph" w:styleId="35">
    <w:name w:val="HTML Preformatted"/>
    <w:basedOn w:val="1"/>
    <w:link w:val="32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rPr>
  </w:style>
  <w:style w:type="character" w:styleId="36">
    <w:name w:val="Hyperlink"/>
    <w:qFormat/>
    <w:uiPriority w:val="0"/>
    <w:rPr>
      <w:color w:val="0000FF"/>
      <w:u w:val="single"/>
    </w:rPr>
  </w:style>
  <w:style w:type="paragraph" w:styleId="37">
    <w:name w:val="index 1"/>
    <w:basedOn w:val="1"/>
    <w:next w:val="1"/>
    <w:autoRedefine/>
    <w:semiHidden/>
    <w:unhideWhenUsed/>
    <w:qFormat/>
    <w:uiPriority w:val="0"/>
    <w:pPr>
      <w:spacing w:after="0" w:line="240" w:lineRule="auto"/>
      <w:ind w:left="280" w:hanging="280"/>
    </w:pPr>
  </w:style>
  <w:style w:type="paragraph" w:styleId="38">
    <w:name w:val="index 2"/>
    <w:basedOn w:val="1"/>
    <w:next w:val="1"/>
    <w:autoRedefine/>
    <w:semiHidden/>
    <w:unhideWhenUsed/>
    <w:qFormat/>
    <w:uiPriority w:val="0"/>
    <w:pPr>
      <w:tabs>
        <w:tab w:val="left" w:leader="dot" w:pos="9000"/>
        <w:tab w:val="right" w:pos="9360"/>
      </w:tabs>
      <w:suppressAutoHyphens/>
      <w:spacing w:after="0" w:line="240" w:lineRule="auto"/>
      <w:ind w:left="720"/>
    </w:pPr>
    <w:rPr>
      <w:rFonts w:eastAsia="Times New Roman"/>
      <w:sz w:val="24"/>
      <w:szCs w:val="20"/>
      <w:lang w:val="en-GB"/>
    </w:rPr>
  </w:style>
  <w:style w:type="paragraph" w:styleId="39">
    <w:name w:val="index 3"/>
    <w:basedOn w:val="1"/>
    <w:next w:val="1"/>
    <w:autoRedefine/>
    <w:semiHidden/>
    <w:unhideWhenUsed/>
    <w:qFormat/>
    <w:uiPriority w:val="0"/>
    <w:pPr>
      <w:spacing w:after="0" w:line="240" w:lineRule="auto"/>
      <w:ind w:left="780" w:hanging="260"/>
    </w:pPr>
    <w:rPr>
      <w:rFonts w:eastAsia="Times New Roman"/>
      <w:sz w:val="26"/>
      <w:szCs w:val="20"/>
      <w:lang w:val="en-GB"/>
    </w:rPr>
  </w:style>
  <w:style w:type="paragraph" w:styleId="40">
    <w:name w:val="index 9"/>
    <w:basedOn w:val="1"/>
    <w:next w:val="1"/>
    <w:qFormat/>
    <w:uiPriority w:val="0"/>
    <w:pPr>
      <w:tabs>
        <w:tab w:val="right" w:pos="4140"/>
      </w:tabs>
      <w:spacing w:after="0" w:line="240" w:lineRule="auto"/>
      <w:ind w:left="2160" w:hanging="240"/>
    </w:pPr>
    <w:rPr>
      <w:rFonts w:eastAsia="Times New Roman"/>
      <w:sz w:val="20"/>
      <w:szCs w:val="20"/>
    </w:rPr>
  </w:style>
  <w:style w:type="paragraph" w:styleId="41">
    <w:name w:val="index heading"/>
    <w:basedOn w:val="1"/>
    <w:next w:val="37"/>
    <w:qFormat/>
    <w:uiPriority w:val="0"/>
    <w:pPr>
      <w:spacing w:after="0" w:line="240" w:lineRule="auto"/>
    </w:pPr>
    <w:rPr>
      <w:rFonts w:eastAsia="Times New Roman"/>
      <w:sz w:val="20"/>
      <w:szCs w:val="20"/>
    </w:rPr>
  </w:style>
  <w:style w:type="character" w:styleId="42">
    <w:name w:val="line number"/>
    <w:basedOn w:val="11"/>
    <w:qFormat/>
    <w:uiPriority w:val="99"/>
  </w:style>
  <w:style w:type="paragraph" w:styleId="43">
    <w:name w:val="List"/>
    <w:basedOn w:val="1"/>
    <w:qFormat/>
    <w:uiPriority w:val="0"/>
    <w:pPr>
      <w:spacing w:before="120" w:after="120" w:line="240" w:lineRule="auto"/>
      <w:ind w:left="1440"/>
      <w:jc w:val="both"/>
    </w:pPr>
    <w:rPr>
      <w:rFonts w:eastAsia="Times New Roman"/>
      <w:sz w:val="24"/>
      <w:szCs w:val="20"/>
    </w:rPr>
  </w:style>
  <w:style w:type="paragraph" w:styleId="44">
    <w:name w:val="List 2"/>
    <w:basedOn w:val="1"/>
    <w:unhideWhenUsed/>
    <w:qFormat/>
    <w:uiPriority w:val="0"/>
    <w:pPr>
      <w:spacing w:after="0" w:line="240" w:lineRule="auto"/>
      <w:ind w:left="720" w:hanging="360"/>
    </w:pPr>
    <w:rPr>
      <w:rFonts w:eastAsia="Times New Roman"/>
      <w:sz w:val="24"/>
      <w:szCs w:val="24"/>
    </w:rPr>
  </w:style>
  <w:style w:type="paragraph" w:styleId="45">
    <w:name w:val="List 3"/>
    <w:basedOn w:val="1"/>
    <w:unhideWhenUsed/>
    <w:qFormat/>
    <w:uiPriority w:val="0"/>
    <w:pPr>
      <w:spacing w:after="0" w:line="240" w:lineRule="auto"/>
      <w:ind w:left="1080" w:hanging="360"/>
    </w:pPr>
    <w:rPr>
      <w:rFonts w:eastAsia="Times New Roman"/>
      <w:sz w:val="24"/>
      <w:szCs w:val="24"/>
    </w:rPr>
  </w:style>
  <w:style w:type="paragraph" w:styleId="46">
    <w:name w:val="List 4"/>
    <w:basedOn w:val="1"/>
    <w:semiHidden/>
    <w:unhideWhenUsed/>
    <w:qFormat/>
    <w:uiPriority w:val="0"/>
    <w:pPr>
      <w:snapToGrid w:val="0"/>
      <w:spacing w:after="0" w:line="240" w:lineRule="auto"/>
      <w:ind w:left="1132" w:hanging="283"/>
    </w:pPr>
    <w:rPr>
      <w:rFonts w:ascii="VNTime" w:hAnsi="VNTime" w:eastAsia="Times New Roman"/>
      <w:sz w:val="26"/>
      <w:szCs w:val="20"/>
      <w:lang w:val="en-GB"/>
    </w:rPr>
  </w:style>
  <w:style w:type="paragraph" w:styleId="47">
    <w:name w:val="List Bullet"/>
    <w:basedOn w:val="1"/>
    <w:autoRedefine/>
    <w:unhideWhenUsed/>
    <w:qFormat/>
    <w:uiPriority w:val="0"/>
    <w:pPr>
      <w:tabs>
        <w:tab w:val="left" w:pos="360"/>
      </w:tabs>
      <w:spacing w:after="0" w:line="240" w:lineRule="auto"/>
      <w:ind w:left="360" w:hanging="360"/>
    </w:pPr>
    <w:rPr>
      <w:rFonts w:eastAsia="Times New Roman"/>
      <w:sz w:val="20"/>
      <w:szCs w:val="20"/>
    </w:rPr>
  </w:style>
  <w:style w:type="paragraph" w:styleId="48">
    <w:name w:val="List Bullet 2"/>
    <w:basedOn w:val="1"/>
    <w:autoRedefine/>
    <w:unhideWhenUsed/>
    <w:qFormat/>
    <w:uiPriority w:val="0"/>
    <w:pPr>
      <w:tabs>
        <w:tab w:val="left" w:pos="720"/>
      </w:tabs>
      <w:spacing w:after="0" w:line="240" w:lineRule="auto"/>
      <w:ind w:left="720" w:hanging="360"/>
    </w:pPr>
    <w:rPr>
      <w:rFonts w:eastAsia="Times New Roman"/>
      <w:sz w:val="20"/>
      <w:szCs w:val="20"/>
    </w:rPr>
  </w:style>
  <w:style w:type="paragraph" w:styleId="49">
    <w:name w:val="List Bullet 3"/>
    <w:basedOn w:val="1"/>
    <w:autoRedefine/>
    <w:unhideWhenUsed/>
    <w:qFormat/>
    <w:uiPriority w:val="0"/>
    <w:pPr>
      <w:tabs>
        <w:tab w:val="left" w:pos="1080"/>
      </w:tabs>
      <w:spacing w:after="0" w:line="240" w:lineRule="auto"/>
      <w:ind w:left="1080" w:hanging="360"/>
    </w:pPr>
    <w:rPr>
      <w:rFonts w:eastAsia="Times New Roman"/>
      <w:sz w:val="20"/>
      <w:szCs w:val="20"/>
    </w:rPr>
  </w:style>
  <w:style w:type="paragraph" w:styleId="50">
    <w:name w:val="List Bullet 4"/>
    <w:basedOn w:val="1"/>
    <w:autoRedefine/>
    <w:unhideWhenUsed/>
    <w:qFormat/>
    <w:uiPriority w:val="0"/>
    <w:pPr>
      <w:tabs>
        <w:tab w:val="left" w:pos="1440"/>
      </w:tabs>
      <w:spacing w:after="0" w:line="240" w:lineRule="auto"/>
      <w:ind w:left="1440" w:hanging="360"/>
    </w:pPr>
    <w:rPr>
      <w:rFonts w:eastAsia="Times New Roman"/>
      <w:sz w:val="20"/>
      <w:szCs w:val="20"/>
    </w:rPr>
  </w:style>
  <w:style w:type="paragraph" w:styleId="51">
    <w:name w:val="List Bullet 5"/>
    <w:basedOn w:val="1"/>
    <w:autoRedefine/>
    <w:unhideWhenUsed/>
    <w:qFormat/>
    <w:uiPriority w:val="0"/>
    <w:pPr>
      <w:tabs>
        <w:tab w:val="left" w:pos="1800"/>
      </w:tabs>
      <w:spacing w:after="0" w:line="240" w:lineRule="auto"/>
      <w:ind w:left="1800" w:hanging="360"/>
    </w:pPr>
    <w:rPr>
      <w:rFonts w:eastAsia="Times New Roman"/>
      <w:sz w:val="20"/>
      <w:szCs w:val="20"/>
    </w:rPr>
  </w:style>
  <w:style w:type="paragraph" w:styleId="52">
    <w:name w:val="List Continue 2"/>
    <w:basedOn w:val="1"/>
    <w:unhideWhenUsed/>
    <w:qFormat/>
    <w:uiPriority w:val="0"/>
    <w:pPr>
      <w:spacing w:after="120" w:line="240" w:lineRule="auto"/>
      <w:ind w:left="720"/>
    </w:pPr>
    <w:rPr>
      <w:rFonts w:eastAsia="Times New Roman"/>
      <w:sz w:val="24"/>
      <w:szCs w:val="24"/>
    </w:rPr>
  </w:style>
  <w:style w:type="paragraph" w:styleId="53">
    <w:name w:val="List Continue 3"/>
    <w:basedOn w:val="1"/>
    <w:unhideWhenUsed/>
    <w:qFormat/>
    <w:uiPriority w:val="0"/>
    <w:pPr>
      <w:spacing w:after="120" w:line="240" w:lineRule="auto"/>
      <w:ind w:left="1080"/>
    </w:pPr>
    <w:rPr>
      <w:rFonts w:eastAsia="Times New Roman"/>
      <w:sz w:val="24"/>
      <w:szCs w:val="24"/>
    </w:rPr>
  </w:style>
  <w:style w:type="paragraph" w:styleId="54">
    <w:name w:val="List Number"/>
    <w:basedOn w:val="1"/>
    <w:qFormat/>
    <w:uiPriority w:val="0"/>
    <w:pPr>
      <w:tabs>
        <w:tab w:val="left" w:pos="360"/>
      </w:tabs>
      <w:spacing w:after="0" w:line="240" w:lineRule="auto"/>
      <w:ind w:left="360" w:hanging="360"/>
      <w:jc w:val="both"/>
    </w:pPr>
    <w:rPr>
      <w:rFonts w:eastAsia="Times New Roman"/>
      <w:sz w:val="24"/>
      <w:szCs w:val="20"/>
    </w:rPr>
  </w:style>
  <w:style w:type="paragraph" w:styleId="55">
    <w:name w:val="List Number 2"/>
    <w:basedOn w:val="1"/>
    <w:unhideWhenUsed/>
    <w:qFormat/>
    <w:uiPriority w:val="0"/>
    <w:pPr>
      <w:tabs>
        <w:tab w:val="left" w:pos="720"/>
      </w:tabs>
      <w:spacing w:after="0" w:line="240" w:lineRule="auto"/>
      <w:ind w:left="720" w:hanging="360"/>
    </w:pPr>
    <w:rPr>
      <w:rFonts w:eastAsia="Times New Roman"/>
      <w:sz w:val="20"/>
      <w:szCs w:val="20"/>
    </w:rPr>
  </w:style>
  <w:style w:type="paragraph" w:styleId="56">
    <w:name w:val="List Number 3"/>
    <w:basedOn w:val="1"/>
    <w:unhideWhenUsed/>
    <w:qFormat/>
    <w:uiPriority w:val="0"/>
    <w:pPr>
      <w:tabs>
        <w:tab w:val="left" w:pos="1080"/>
      </w:tabs>
      <w:spacing w:after="0" w:line="240" w:lineRule="auto"/>
      <w:ind w:left="1080" w:hanging="360"/>
    </w:pPr>
    <w:rPr>
      <w:rFonts w:eastAsia="Times New Roman"/>
      <w:sz w:val="20"/>
      <w:szCs w:val="20"/>
    </w:rPr>
  </w:style>
  <w:style w:type="paragraph" w:styleId="57">
    <w:name w:val="List Number 4"/>
    <w:basedOn w:val="1"/>
    <w:unhideWhenUsed/>
    <w:qFormat/>
    <w:uiPriority w:val="0"/>
    <w:pPr>
      <w:tabs>
        <w:tab w:val="left" w:pos="1440"/>
      </w:tabs>
      <w:spacing w:after="0" w:line="240" w:lineRule="auto"/>
      <w:ind w:left="1440" w:hanging="360"/>
    </w:pPr>
    <w:rPr>
      <w:rFonts w:eastAsia="Times New Roman"/>
      <w:sz w:val="20"/>
      <w:szCs w:val="20"/>
    </w:rPr>
  </w:style>
  <w:style w:type="paragraph" w:styleId="58">
    <w:name w:val="List Number 5"/>
    <w:basedOn w:val="1"/>
    <w:unhideWhenUsed/>
    <w:qFormat/>
    <w:uiPriority w:val="0"/>
    <w:pPr>
      <w:tabs>
        <w:tab w:val="left" w:pos="1800"/>
      </w:tabs>
      <w:spacing w:after="0" w:line="240" w:lineRule="auto"/>
      <w:ind w:left="1800" w:hanging="360"/>
    </w:pPr>
    <w:rPr>
      <w:rFonts w:eastAsia="Times New Roman"/>
      <w:sz w:val="20"/>
      <w:szCs w:val="20"/>
    </w:rPr>
  </w:style>
  <w:style w:type="paragraph" w:styleId="59">
    <w:name w:val="Message Header"/>
    <w:basedOn w:val="1"/>
    <w:link w:val="266"/>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line="240" w:lineRule="auto"/>
      <w:ind w:left="1080" w:hanging="1080"/>
    </w:pPr>
    <w:rPr>
      <w:rFonts w:ascii="Arial" w:hAnsi="Arial" w:eastAsia="Times New Roman"/>
      <w:sz w:val="24"/>
      <w:szCs w:val="24"/>
      <w:lang w:val="zh-CN" w:eastAsia="zh-CN"/>
    </w:rPr>
  </w:style>
  <w:style w:type="paragraph" w:styleId="60">
    <w:name w:val="Normal (Web)"/>
    <w:basedOn w:val="1"/>
    <w:qFormat/>
    <w:uiPriority w:val="99"/>
    <w:pPr>
      <w:spacing w:before="100" w:beforeAutospacing="1" w:after="100" w:afterAutospacing="1" w:line="240" w:lineRule="auto"/>
    </w:pPr>
    <w:rPr>
      <w:rFonts w:ascii="Arial Unicode MS" w:hAnsi="Arial Unicode MS" w:eastAsia="Arial Unicode MS" w:cs="Arial Unicode MS"/>
      <w:sz w:val="24"/>
      <w:szCs w:val="24"/>
    </w:rPr>
  </w:style>
  <w:style w:type="paragraph" w:styleId="61">
    <w:name w:val="Normal Indent"/>
    <w:basedOn w:val="1"/>
    <w:unhideWhenUsed/>
    <w:qFormat/>
    <w:uiPriority w:val="0"/>
    <w:pPr>
      <w:spacing w:after="0" w:line="240" w:lineRule="auto"/>
      <w:ind w:left="720"/>
    </w:pPr>
    <w:rPr>
      <w:rFonts w:eastAsia="Times New Roman"/>
      <w:sz w:val="24"/>
      <w:szCs w:val="24"/>
    </w:rPr>
  </w:style>
  <w:style w:type="paragraph" w:styleId="62">
    <w:name w:val="Note Heading"/>
    <w:basedOn w:val="1"/>
    <w:next w:val="1"/>
    <w:link w:val="267"/>
    <w:unhideWhenUsed/>
    <w:qFormat/>
    <w:uiPriority w:val="0"/>
    <w:pPr>
      <w:suppressAutoHyphens/>
      <w:overflowPunct w:val="0"/>
      <w:autoSpaceDE w:val="0"/>
      <w:autoSpaceDN w:val="0"/>
      <w:adjustRightInd w:val="0"/>
      <w:spacing w:after="0" w:line="240" w:lineRule="auto"/>
      <w:jc w:val="both"/>
    </w:pPr>
    <w:rPr>
      <w:rFonts w:eastAsia="Times New Roman"/>
      <w:sz w:val="24"/>
      <w:szCs w:val="20"/>
      <w:lang w:val="zh-CN" w:eastAsia="zh-CN"/>
    </w:rPr>
  </w:style>
  <w:style w:type="character" w:styleId="63">
    <w:name w:val="page number"/>
    <w:basedOn w:val="11"/>
    <w:qFormat/>
    <w:uiPriority w:val="0"/>
  </w:style>
  <w:style w:type="paragraph" w:styleId="64">
    <w:name w:val="Plain Text"/>
    <w:basedOn w:val="1"/>
    <w:link w:val="428"/>
    <w:semiHidden/>
    <w:unhideWhenUsed/>
    <w:qFormat/>
    <w:uiPriority w:val="0"/>
    <w:pPr>
      <w:spacing w:after="120" w:line="320" w:lineRule="exact"/>
      <w:jc w:val="both"/>
    </w:pPr>
    <w:rPr>
      <w:rFonts w:ascii="Courier New" w:hAnsi="Courier New" w:eastAsia="Times New Roman"/>
      <w:sz w:val="20"/>
      <w:szCs w:val="20"/>
      <w:lang w:val="de-DE" w:eastAsia="de-DE"/>
    </w:rPr>
  </w:style>
  <w:style w:type="paragraph" w:styleId="65">
    <w:name w:val="Subtitle"/>
    <w:basedOn w:val="1"/>
    <w:link w:val="100"/>
    <w:qFormat/>
    <w:uiPriority w:val="0"/>
    <w:pPr>
      <w:spacing w:after="0" w:line="240" w:lineRule="auto"/>
      <w:jc w:val="center"/>
    </w:pPr>
    <w:rPr>
      <w:rFonts w:eastAsia="Times New Roman"/>
      <w:b/>
      <w:sz w:val="44"/>
      <w:szCs w:val="20"/>
      <w:lang w:val="zh-CN" w:eastAsia="zh-CN"/>
    </w:rPr>
  </w:style>
  <w:style w:type="table" w:styleId="66">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7">
    <w:name w:val="table of authorities"/>
    <w:basedOn w:val="1"/>
    <w:next w:val="1"/>
    <w:semiHidden/>
    <w:unhideWhenUsed/>
    <w:qFormat/>
    <w:uiPriority w:val="0"/>
    <w:pPr>
      <w:spacing w:after="0" w:line="240" w:lineRule="auto"/>
      <w:ind w:left="240" w:hanging="240"/>
    </w:pPr>
    <w:rPr>
      <w:rFonts w:eastAsia="Times New Roman"/>
      <w:sz w:val="24"/>
      <w:szCs w:val="20"/>
      <w:lang w:val="en-GB"/>
    </w:rPr>
  </w:style>
  <w:style w:type="paragraph" w:styleId="68">
    <w:name w:val="table of figures"/>
    <w:basedOn w:val="1"/>
    <w:next w:val="1"/>
    <w:semiHidden/>
    <w:unhideWhenUsed/>
    <w:qFormat/>
    <w:uiPriority w:val="0"/>
    <w:pPr>
      <w:spacing w:after="0" w:line="240" w:lineRule="auto"/>
      <w:ind w:left="480" w:hanging="480"/>
      <w:jc w:val="both"/>
    </w:pPr>
    <w:rPr>
      <w:rFonts w:eastAsia="Times New Roman"/>
      <w:sz w:val="24"/>
      <w:szCs w:val="20"/>
    </w:rPr>
  </w:style>
  <w:style w:type="paragraph" w:styleId="69">
    <w:name w:val="Title"/>
    <w:basedOn w:val="1"/>
    <w:link w:val="142"/>
    <w:qFormat/>
    <w:uiPriority w:val="0"/>
    <w:pPr>
      <w:spacing w:before="240" w:after="60" w:line="240" w:lineRule="auto"/>
      <w:jc w:val="center"/>
    </w:pPr>
    <w:rPr>
      <w:rFonts w:ascii="Arial" w:hAnsi="Arial" w:eastAsia="Times New Roman"/>
      <w:b/>
      <w:kern w:val="28"/>
      <w:sz w:val="32"/>
      <w:szCs w:val="20"/>
      <w:lang w:val="zh-CN" w:eastAsia="zh-CN"/>
    </w:rPr>
  </w:style>
  <w:style w:type="paragraph" w:styleId="70">
    <w:name w:val="toa heading"/>
    <w:basedOn w:val="1"/>
    <w:next w:val="1"/>
    <w:qFormat/>
    <w:uiPriority w:val="0"/>
    <w:pPr>
      <w:tabs>
        <w:tab w:val="left" w:pos="9000"/>
        <w:tab w:val="right" w:pos="9360"/>
      </w:tabs>
      <w:suppressAutoHyphens/>
      <w:spacing w:after="0" w:line="240" w:lineRule="auto"/>
      <w:jc w:val="both"/>
    </w:pPr>
    <w:rPr>
      <w:rFonts w:eastAsia="Times New Roman"/>
      <w:sz w:val="24"/>
      <w:szCs w:val="20"/>
    </w:rPr>
  </w:style>
  <w:style w:type="paragraph" w:styleId="71">
    <w:name w:val="toc 1"/>
    <w:basedOn w:val="1"/>
    <w:next w:val="1"/>
    <w:qFormat/>
    <w:uiPriority w:val="39"/>
    <w:pPr>
      <w:tabs>
        <w:tab w:val="right" w:leader="dot" w:pos="9000"/>
      </w:tabs>
      <w:suppressAutoHyphens/>
      <w:spacing w:before="240" w:after="0" w:line="240" w:lineRule="auto"/>
      <w:ind w:left="720" w:right="720" w:hanging="720"/>
      <w:jc w:val="both"/>
    </w:pPr>
    <w:rPr>
      <w:rFonts w:eastAsia="Times New Roman"/>
      <w:b/>
      <w:sz w:val="24"/>
      <w:szCs w:val="20"/>
    </w:rPr>
  </w:style>
  <w:style w:type="paragraph" w:styleId="72">
    <w:name w:val="toc 2"/>
    <w:basedOn w:val="1"/>
    <w:next w:val="1"/>
    <w:qFormat/>
    <w:uiPriority w:val="39"/>
    <w:pPr>
      <w:tabs>
        <w:tab w:val="right" w:leader="dot" w:pos="9000"/>
      </w:tabs>
      <w:suppressAutoHyphens/>
      <w:spacing w:after="0" w:line="240" w:lineRule="auto"/>
      <w:ind w:left="1440" w:hanging="720"/>
      <w:jc w:val="both"/>
    </w:pPr>
    <w:rPr>
      <w:rFonts w:eastAsia="Times New Roman"/>
      <w:sz w:val="24"/>
      <w:szCs w:val="20"/>
    </w:rPr>
  </w:style>
  <w:style w:type="paragraph" w:styleId="73">
    <w:name w:val="toc 3"/>
    <w:basedOn w:val="1"/>
    <w:next w:val="1"/>
    <w:qFormat/>
    <w:uiPriority w:val="39"/>
    <w:pPr>
      <w:tabs>
        <w:tab w:val="right" w:leader="dot" w:pos="9000"/>
      </w:tabs>
      <w:suppressAutoHyphens/>
      <w:spacing w:after="0" w:line="240" w:lineRule="auto"/>
      <w:ind w:left="1440" w:hanging="720"/>
      <w:jc w:val="both"/>
    </w:pPr>
    <w:rPr>
      <w:rFonts w:eastAsia="Times New Roman"/>
      <w:i/>
      <w:sz w:val="24"/>
      <w:szCs w:val="20"/>
    </w:rPr>
  </w:style>
  <w:style w:type="paragraph" w:styleId="74">
    <w:name w:val="toc 4"/>
    <w:basedOn w:val="1"/>
    <w:next w:val="1"/>
    <w:qFormat/>
    <w:uiPriority w:val="39"/>
    <w:pPr>
      <w:tabs>
        <w:tab w:val="left" w:leader="dot" w:pos="8640"/>
        <w:tab w:val="right" w:pos="9000"/>
      </w:tabs>
      <w:suppressAutoHyphens/>
      <w:spacing w:after="0" w:line="240" w:lineRule="auto"/>
      <w:ind w:left="2880" w:right="720" w:hanging="720"/>
      <w:jc w:val="both"/>
    </w:pPr>
    <w:rPr>
      <w:rFonts w:eastAsia="Times New Roman"/>
      <w:sz w:val="24"/>
      <w:szCs w:val="20"/>
    </w:rPr>
  </w:style>
  <w:style w:type="paragraph" w:styleId="75">
    <w:name w:val="toc 5"/>
    <w:basedOn w:val="1"/>
    <w:next w:val="1"/>
    <w:qFormat/>
    <w:uiPriority w:val="39"/>
    <w:pPr>
      <w:tabs>
        <w:tab w:val="left" w:leader="dot" w:pos="8640"/>
        <w:tab w:val="right" w:pos="9000"/>
      </w:tabs>
      <w:suppressAutoHyphens/>
      <w:spacing w:after="0" w:line="240" w:lineRule="auto"/>
      <w:ind w:left="3600" w:right="720" w:hanging="720"/>
      <w:jc w:val="both"/>
    </w:pPr>
    <w:rPr>
      <w:rFonts w:eastAsia="Times New Roman"/>
      <w:sz w:val="24"/>
      <w:szCs w:val="20"/>
    </w:rPr>
  </w:style>
  <w:style w:type="paragraph" w:styleId="76">
    <w:name w:val="toc 6"/>
    <w:basedOn w:val="1"/>
    <w:next w:val="1"/>
    <w:qFormat/>
    <w:uiPriority w:val="39"/>
    <w:pPr>
      <w:tabs>
        <w:tab w:val="left" w:pos="8640"/>
        <w:tab w:val="right" w:pos="9000"/>
      </w:tabs>
      <w:suppressAutoHyphens/>
      <w:spacing w:after="0" w:line="240" w:lineRule="auto"/>
      <w:ind w:left="720" w:hanging="720"/>
      <w:jc w:val="both"/>
    </w:pPr>
    <w:rPr>
      <w:rFonts w:eastAsia="Times New Roman"/>
      <w:sz w:val="24"/>
      <w:szCs w:val="20"/>
    </w:rPr>
  </w:style>
  <w:style w:type="paragraph" w:styleId="77">
    <w:name w:val="toc 7"/>
    <w:basedOn w:val="1"/>
    <w:next w:val="1"/>
    <w:qFormat/>
    <w:uiPriority w:val="39"/>
    <w:pPr>
      <w:suppressAutoHyphens/>
      <w:spacing w:after="0" w:line="240" w:lineRule="auto"/>
      <w:ind w:left="720" w:hanging="720"/>
      <w:jc w:val="both"/>
    </w:pPr>
    <w:rPr>
      <w:rFonts w:eastAsia="Times New Roman"/>
      <w:sz w:val="24"/>
      <w:szCs w:val="20"/>
    </w:rPr>
  </w:style>
  <w:style w:type="paragraph" w:styleId="78">
    <w:name w:val="toc 8"/>
    <w:basedOn w:val="1"/>
    <w:next w:val="1"/>
    <w:qFormat/>
    <w:uiPriority w:val="39"/>
    <w:pPr>
      <w:tabs>
        <w:tab w:val="left" w:pos="8640"/>
        <w:tab w:val="right" w:pos="9000"/>
      </w:tabs>
      <w:suppressAutoHyphens/>
      <w:spacing w:after="0" w:line="240" w:lineRule="auto"/>
      <w:ind w:left="720" w:hanging="720"/>
      <w:jc w:val="both"/>
    </w:pPr>
    <w:rPr>
      <w:rFonts w:eastAsia="Times New Roman"/>
      <w:sz w:val="24"/>
      <w:szCs w:val="20"/>
    </w:rPr>
  </w:style>
  <w:style w:type="paragraph" w:styleId="79">
    <w:name w:val="toc 9"/>
    <w:basedOn w:val="1"/>
    <w:next w:val="1"/>
    <w:qFormat/>
    <w:uiPriority w:val="39"/>
    <w:pPr>
      <w:tabs>
        <w:tab w:val="left" w:leader="dot" w:pos="8640"/>
        <w:tab w:val="right" w:pos="9000"/>
      </w:tabs>
      <w:suppressAutoHyphens/>
      <w:spacing w:after="0" w:line="240" w:lineRule="auto"/>
      <w:ind w:left="720" w:hanging="720"/>
      <w:jc w:val="both"/>
    </w:pPr>
    <w:rPr>
      <w:rFonts w:eastAsia="Times New Roman"/>
      <w:sz w:val="24"/>
      <w:szCs w:val="20"/>
    </w:rPr>
  </w:style>
  <w:style w:type="paragraph" w:customStyle="1" w:styleId="80">
    <w:name w:val="TOC Number1"/>
    <w:basedOn w:val="5"/>
    <w:autoRedefine/>
    <w:qFormat/>
    <w:uiPriority w:val="0"/>
    <w:pPr>
      <w:keepNext w:val="0"/>
      <w:keepLines w:val="0"/>
      <w:suppressAutoHyphens/>
      <w:spacing w:before="0" w:after="120" w:line="240" w:lineRule="auto"/>
      <w:ind w:right="18"/>
      <w:jc w:val="both"/>
      <w:outlineLvl w:val="9"/>
    </w:pPr>
    <w:rPr>
      <w:rFonts w:ascii="Times New Roman" w:hAnsi="Times New Roman"/>
      <w:i w:val="0"/>
      <w:iCs w:val="0"/>
      <w:color w:val="auto"/>
    </w:rPr>
  </w:style>
  <w:style w:type="character" w:customStyle="1" w:styleId="81">
    <w:name w:val="Heading 4 Char"/>
    <w:link w:val="5"/>
    <w:qFormat/>
    <w:uiPriority w:val="0"/>
    <w:rPr>
      <w:rFonts w:ascii="Cambria" w:hAnsi="Cambria" w:eastAsia="Times New Roman" w:cs="Times New Roman"/>
      <w:b/>
      <w:bCs/>
      <w:i/>
      <w:iCs/>
      <w:color w:val="4F81BD"/>
      <w:sz w:val="28"/>
      <w:szCs w:val="28"/>
    </w:rPr>
  </w:style>
  <w:style w:type="character" w:customStyle="1" w:styleId="82">
    <w:name w:val="Header Char"/>
    <w:link w:val="34"/>
    <w:qFormat/>
    <w:uiPriority w:val="0"/>
    <w:rPr>
      <w:rFonts w:cs="Times New Roman"/>
      <w:sz w:val="28"/>
      <w:szCs w:val="28"/>
    </w:rPr>
  </w:style>
  <w:style w:type="character" w:customStyle="1" w:styleId="83">
    <w:name w:val="Footer Char"/>
    <w:link w:val="31"/>
    <w:qFormat/>
    <w:uiPriority w:val="0"/>
    <w:rPr>
      <w:rFonts w:cs="Times New Roman"/>
      <w:sz w:val="28"/>
      <w:szCs w:val="28"/>
    </w:rPr>
  </w:style>
  <w:style w:type="character" w:customStyle="1" w:styleId="84">
    <w:name w:val="Balloon Text Char"/>
    <w:link w:val="13"/>
    <w:qFormat/>
    <w:uiPriority w:val="99"/>
    <w:rPr>
      <w:rFonts w:ascii="Tahoma" w:hAnsi="Tahoma" w:cs="Tahoma"/>
      <w:sz w:val="16"/>
      <w:szCs w:val="16"/>
    </w:rPr>
  </w:style>
  <w:style w:type="character" w:customStyle="1" w:styleId="85">
    <w:name w:val="Heading 1 Char"/>
    <w:link w:val="2"/>
    <w:qFormat/>
    <w:uiPriority w:val="0"/>
    <w:rPr>
      <w:rFonts w:ascii="Calibri Light" w:hAnsi="Calibri Light" w:eastAsia="Times New Roman" w:cs="Times New Roman"/>
      <w:b/>
      <w:bCs/>
      <w:kern w:val="32"/>
      <w:sz w:val="32"/>
      <w:szCs w:val="32"/>
    </w:rPr>
  </w:style>
  <w:style w:type="paragraph" w:customStyle="1" w:styleId="86">
    <w:name w:val="Sub-Clause Text"/>
    <w:basedOn w:val="1"/>
    <w:qFormat/>
    <w:uiPriority w:val="0"/>
    <w:pPr>
      <w:spacing w:before="120" w:after="120" w:line="240" w:lineRule="auto"/>
      <w:jc w:val="both"/>
    </w:pPr>
    <w:rPr>
      <w:rFonts w:eastAsia="Times New Roman"/>
      <w:spacing w:val="-4"/>
      <w:sz w:val="24"/>
      <w:szCs w:val="20"/>
    </w:rPr>
  </w:style>
  <w:style w:type="character" w:customStyle="1" w:styleId="87">
    <w:name w:val="Heading 3 Char"/>
    <w:link w:val="4"/>
    <w:qFormat/>
    <w:uiPriority w:val="0"/>
    <w:rPr>
      <w:rFonts w:ascii="Calibri Light" w:hAnsi="Calibri Light" w:eastAsia="Times New Roman" w:cs="Times New Roman"/>
      <w:b/>
      <w:bCs/>
      <w:sz w:val="26"/>
      <w:szCs w:val="26"/>
    </w:rPr>
  </w:style>
  <w:style w:type="character" w:customStyle="1" w:styleId="88">
    <w:name w:val="Body Text Indent 2 Char"/>
    <w:link w:val="19"/>
    <w:qFormat/>
    <w:uiPriority w:val="0"/>
    <w:rPr>
      <w:rFonts w:eastAsia="Times New Roman"/>
      <w:sz w:val="24"/>
      <w:lang w:val="zh-CN" w:eastAsia="zh-CN"/>
    </w:rPr>
  </w:style>
  <w:style w:type="paragraph" w:customStyle="1" w:styleId="89">
    <w:name w:val="P3 Header1-Clauses"/>
    <w:basedOn w:val="1"/>
    <w:qFormat/>
    <w:uiPriority w:val="0"/>
    <w:pPr>
      <w:tabs>
        <w:tab w:val="left" w:pos="864"/>
        <w:tab w:val="left" w:pos="972"/>
      </w:tabs>
      <w:spacing w:after="200" w:line="240" w:lineRule="auto"/>
      <w:ind w:left="432" w:firstLine="144"/>
      <w:jc w:val="both"/>
    </w:pPr>
    <w:rPr>
      <w:rFonts w:eastAsia="Times New Roman"/>
      <w:sz w:val="24"/>
      <w:szCs w:val="20"/>
    </w:rPr>
  </w:style>
  <w:style w:type="character" w:customStyle="1" w:styleId="90">
    <w:name w:val="Comment Text Char"/>
    <w:link w:val="23"/>
    <w:qFormat/>
    <w:uiPriority w:val="0"/>
    <w:rPr>
      <w:rFonts w:eastAsia="Times New Roman"/>
      <w:lang w:val="zh-CN" w:eastAsia="zh-CN"/>
    </w:rPr>
  </w:style>
  <w:style w:type="paragraph" w:customStyle="1" w:styleId="91">
    <w:name w:val="Sec1-Clauses"/>
    <w:basedOn w:val="1"/>
    <w:qFormat/>
    <w:uiPriority w:val="0"/>
    <w:pPr>
      <w:tabs>
        <w:tab w:val="left" w:pos="360"/>
      </w:tabs>
      <w:spacing w:before="120" w:after="120" w:line="240" w:lineRule="auto"/>
      <w:ind w:left="360" w:hanging="360"/>
    </w:pPr>
    <w:rPr>
      <w:rFonts w:eastAsia="Times New Roman"/>
      <w:b/>
      <w:sz w:val="24"/>
      <w:szCs w:val="20"/>
    </w:rPr>
  </w:style>
  <w:style w:type="paragraph" w:customStyle="1" w:styleId="92">
    <w:name w:val="Style Header 2 - SubClauses + After:  6 pt"/>
    <w:basedOn w:val="1"/>
    <w:qFormat/>
    <w:uiPriority w:val="0"/>
    <w:pPr>
      <w:tabs>
        <w:tab w:val="left" w:pos="504"/>
      </w:tabs>
      <w:spacing w:after="200" w:line="240" w:lineRule="auto"/>
      <w:ind w:left="504" w:hanging="504"/>
      <w:jc w:val="both"/>
    </w:pPr>
    <w:rPr>
      <w:rFonts w:eastAsia="Times New Roman"/>
      <w:sz w:val="24"/>
      <w:szCs w:val="24"/>
      <w:lang w:eastAsia="zh-CN"/>
    </w:rPr>
  </w:style>
  <w:style w:type="character" w:customStyle="1" w:styleId="93">
    <w:name w:val="Style Header 2 - SubClauses + Italic Char"/>
    <w:qFormat/>
    <w:uiPriority w:val="0"/>
    <w:rPr>
      <w:rFonts w:hint="default" w:ascii="Arial" w:hAnsi="Arial" w:cs="Arial"/>
      <w:i/>
      <w:iCs/>
      <w:sz w:val="24"/>
      <w:szCs w:val="24"/>
      <w:lang w:val="en-US" w:eastAsia="en-US" w:bidi="ar-SA"/>
    </w:rPr>
  </w:style>
  <w:style w:type="character" w:customStyle="1" w:styleId="94">
    <w:name w:val="hps"/>
    <w:qFormat/>
    <w:uiPriority w:val="0"/>
  </w:style>
  <w:style w:type="character" w:customStyle="1" w:styleId="95">
    <w:name w:val="short_text"/>
    <w:qFormat/>
    <w:uiPriority w:val="0"/>
  </w:style>
  <w:style w:type="paragraph" w:customStyle="1" w:styleId="96">
    <w:name w:val="3"/>
    <w:basedOn w:val="4"/>
    <w:qFormat/>
    <w:uiPriority w:val="0"/>
    <w:pPr>
      <w:keepNext w:val="0"/>
      <w:widowControl w:val="0"/>
      <w:tabs>
        <w:tab w:val="left" w:pos="851"/>
      </w:tabs>
      <w:overflowPunct w:val="0"/>
      <w:autoSpaceDE w:val="0"/>
      <w:autoSpaceDN w:val="0"/>
      <w:adjustRightInd w:val="0"/>
      <w:spacing w:before="120" w:after="0" w:line="240" w:lineRule="auto"/>
      <w:ind w:firstLine="567"/>
      <w:jc w:val="both"/>
      <w:textAlignment w:val="baseline"/>
    </w:pPr>
    <w:rPr>
      <w:rFonts w:ascii="Times New Roman" w:hAnsi="Times New Roman" w:eastAsia="Calibri"/>
      <w:bCs w:val="0"/>
      <w:lang w:val="vi-VN" w:eastAsia="zh-CN"/>
    </w:rPr>
  </w:style>
  <w:style w:type="paragraph" w:styleId="97">
    <w:name w:val="List Paragraph"/>
    <w:basedOn w:val="1"/>
    <w:link w:val="332"/>
    <w:qFormat/>
    <w:uiPriority w:val="34"/>
    <w:pPr>
      <w:spacing w:after="0" w:line="240" w:lineRule="auto"/>
      <w:ind w:left="720"/>
      <w:contextualSpacing/>
      <w:jc w:val="both"/>
    </w:pPr>
    <w:rPr>
      <w:rFonts w:eastAsia="Times New Roman"/>
      <w:sz w:val="24"/>
      <w:szCs w:val="20"/>
    </w:rPr>
  </w:style>
  <w:style w:type="character" w:customStyle="1" w:styleId="98">
    <w:name w:val="apple-converted-space"/>
    <w:basedOn w:val="11"/>
    <w:qFormat/>
    <w:uiPriority w:val="0"/>
  </w:style>
  <w:style w:type="character" w:customStyle="1" w:styleId="99">
    <w:name w:val="Body Text 3 Char"/>
    <w:link w:val="17"/>
    <w:qFormat/>
    <w:uiPriority w:val="0"/>
    <w:rPr>
      <w:sz w:val="16"/>
      <w:szCs w:val="16"/>
    </w:rPr>
  </w:style>
  <w:style w:type="character" w:customStyle="1" w:styleId="100">
    <w:name w:val="Subtitle Char"/>
    <w:link w:val="65"/>
    <w:qFormat/>
    <w:uiPriority w:val="0"/>
    <w:rPr>
      <w:rFonts w:eastAsia="Times New Roman"/>
      <w:b/>
      <w:sz w:val="44"/>
      <w:lang w:val="zh-CN" w:eastAsia="zh-CN"/>
    </w:rPr>
  </w:style>
  <w:style w:type="character" w:customStyle="1" w:styleId="101">
    <w:name w:val="Footnote Text Char"/>
    <w:link w:val="33"/>
    <w:qFormat/>
    <w:uiPriority w:val="0"/>
    <w:rPr>
      <w:rFonts w:eastAsia="Times New Roman"/>
      <w:lang w:val="zh-CN" w:eastAsia="zh-CN"/>
    </w:rPr>
  </w:style>
  <w:style w:type="character" w:customStyle="1" w:styleId="102">
    <w:name w:val="Body Text Char"/>
    <w:link w:val="15"/>
    <w:qFormat/>
    <w:uiPriority w:val="0"/>
    <w:rPr>
      <w:sz w:val="28"/>
      <w:szCs w:val="28"/>
    </w:rPr>
  </w:style>
  <w:style w:type="paragraph" w:customStyle="1" w:styleId="103">
    <w:name w:val="Style 11"/>
    <w:basedOn w:val="1"/>
    <w:qFormat/>
    <w:uiPriority w:val="0"/>
    <w:pPr>
      <w:widowControl w:val="0"/>
      <w:autoSpaceDE w:val="0"/>
      <w:autoSpaceDN w:val="0"/>
      <w:spacing w:after="0" w:line="384" w:lineRule="atLeast"/>
    </w:pPr>
    <w:rPr>
      <w:rFonts w:eastAsia="Times New Roman"/>
      <w:sz w:val="24"/>
      <w:szCs w:val="24"/>
    </w:rPr>
  </w:style>
  <w:style w:type="character" w:customStyle="1" w:styleId="104">
    <w:name w:val="Body Text Indent Char"/>
    <w:link w:val="18"/>
    <w:qFormat/>
    <w:uiPriority w:val="99"/>
    <w:rPr>
      <w:sz w:val="28"/>
      <w:szCs w:val="28"/>
    </w:rPr>
  </w:style>
  <w:style w:type="character" w:customStyle="1" w:styleId="105">
    <w:name w:val="Heading 2 Char"/>
    <w:link w:val="3"/>
    <w:qFormat/>
    <w:uiPriority w:val="0"/>
    <w:rPr>
      <w:rFonts w:ascii="Times New Roman Bold" w:hAnsi="Times New Roman Bold" w:eastAsia="Times New Roman"/>
      <w:b/>
      <w:sz w:val="28"/>
      <w:lang w:val="zh-CN" w:eastAsia="zh-CN"/>
    </w:rPr>
  </w:style>
  <w:style w:type="character" w:customStyle="1" w:styleId="106">
    <w:name w:val="Heading 5 Char"/>
    <w:link w:val="6"/>
    <w:qFormat/>
    <w:uiPriority w:val="0"/>
    <w:rPr>
      <w:rFonts w:ascii="Arial" w:hAnsi="Arial" w:eastAsia="Times New Roman"/>
      <w:sz w:val="24"/>
      <w:u w:val="single"/>
      <w:lang w:val="zh-CN" w:eastAsia="zh-CN"/>
    </w:rPr>
  </w:style>
  <w:style w:type="character" w:customStyle="1" w:styleId="107">
    <w:name w:val="Heading 6 Char"/>
    <w:link w:val="7"/>
    <w:qFormat/>
    <w:uiPriority w:val="0"/>
    <w:rPr>
      <w:rFonts w:eastAsia="Times New Roman"/>
      <w:b/>
      <w:sz w:val="28"/>
      <w:lang w:val="zh-CN" w:eastAsia="zh-CN"/>
    </w:rPr>
  </w:style>
  <w:style w:type="character" w:customStyle="1" w:styleId="108">
    <w:name w:val="Heading 7 Char"/>
    <w:link w:val="8"/>
    <w:qFormat/>
    <w:uiPriority w:val="0"/>
    <w:rPr>
      <w:rFonts w:eastAsia="Times New Roman"/>
      <w:b/>
      <w:sz w:val="72"/>
      <w:lang w:val="zh-CN" w:eastAsia="zh-CN"/>
    </w:rPr>
  </w:style>
  <w:style w:type="character" w:customStyle="1" w:styleId="109">
    <w:name w:val="Heading 8 Char"/>
    <w:link w:val="9"/>
    <w:qFormat/>
    <w:uiPriority w:val="0"/>
    <w:rPr>
      <w:rFonts w:eastAsia="Times New Roman"/>
      <w:b/>
      <w:sz w:val="56"/>
      <w:lang w:val="zh-CN" w:eastAsia="zh-CN"/>
    </w:rPr>
  </w:style>
  <w:style w:type="character" w:customStyle="1" w:styleId="110">
    <w:name w:val="Heading 9 Char"/>
    <w:link w:val="10"/>
    <w:qFormat/>
    <w:uiPriority w:val="0"/>
    <w:rPr>
      <w:rFonts w:ascii="Arial" w:hAnsi="Arial" w:eastAsia="Times New Roman"/>
      <w:b/>
      <w:i/>
      <w:sz w:val="18"/>
      <w:lang w:eastAsia="zh-CN"/>
    </w:rPr>
  </w:style>
  <w:style w:type="character" w:customStyle="1" w:styleId="111">
    <w:name w:val="Heading 3 Char1"/>
    <w:qFormat/>
    <w:uiPriority w:val="0"/>
    <w:rPr>
      <w:rFonts w:eastAsia="Times New Roman" w:cs="Times New Roman"/>
      <w:b/>
      <w:sz w:val="28"/>
      <w:szCs w:val="20"/>
    </w:rPr>
  </w:style>
  <w:style w:type="character" w:customStyle="1" w:styleId="112">
    <w:name w:val="Bibliogrphy"/>
    <w:basedOn w:val="11"/>
    <w:qFormat/>
    <w:uiPriority w:val="0"/>
  </w:style>
  <w:style w:type="character" w:customStyle="1" w:styleId="113">
    <w:name w:val="Doc Init"/>
    <w:basedOn w:val="11"/>
    <w:qFormat/>
    <w:uiPriority w:val="0"/>
  </w:style>
  <w:style w:type="paragraph" w:customStyle="1" w:styleId="114">
    <w:name w:val="Document 1"/>
    <w:qFormat/>
    <w:uiPriority w:val="0"/>
    <w:pPr>
      <w:keepNext/>
      <w:keepLines/>
      <w:tabs>
        <w:tab w:val="left" w:pos="-720"/>
      </w:tabs>
      <w:suppressAutoHyphens/>
    </w:pPr>
    <w:rPr>
      <w:rFonts w:ascii="Times" w:hAnsi="Times" w:eastAsia="Times New Roman" w:cs="Times New Roman"/>
      <w:sz w:val="24"/>
      <w:lang w:val="en-US" w:eastAsia="en-US" w:bidi="ar-SA"/>
    </w:rPr>
  </w:style>
  <w:style w:type="character" w:customStyle="1" w:styleId="115">
    <w:name w:val="Document 2"/>
    <w:qFormat/>
    <w:uiPriority w:val="0"/>
    <w:rPr>
      <w:rFonts w:ascii="Times" w:hAnsi="Times"/>
      <w:sz w:val="24"/>
      <w:lang w:val="en-US"/>
    </w:rPr>
  </w:style>
  <w:style w:type="character" w:customStyle="1" w:styleId="116">
    <w:name w:val="Document 3"/>
    <w:qFormat/>
    <w:uiPriority w:val="0"/>
    <w:rPr>
      <w:rFonts w:ascii="Times" w:hAnsi="Times"/>
      <w:sz w:val="24"/>
      <w:lang w:val="en-US"/>
    </w:rPr>
  </w:style>
  <w:style w:type="character" w:customStyle="1" w:styleId="117">
    <w:name w:val="Document 4"/>
    <w:qFormat/>
    <w:uiPriority w:val="0"/>
    <w:rPr>
      <w:b/>
      <w:i/>
      <w:sz w:val="24"/>
    </w:rPr>
  </w:style>
  <w:style w:type="character" w:customStyle="1" w:styleId="118">
    <w:name w:val="Document 5"/>
    <w:basedOn w:val="11"/>
    <w:qFormat/>
    <w:uiPriority w:val="0"/>
  </w:style>
  <w:style w:type="character" w:customStyle="1" w:styleId="119">
    <w:name w:val="Document 6"/>
    <w:basedOn w:val="11"/>
    <w:qFormat/>
    <w:uiPriority w:val="0"/>
  </w:style>
  <w:style w:type="character" w:customStyle="1" w:styleId="120">
    <w:name w:val="Document 7"/>
    <w:basedOn w:val="11"/>
    <w:qFormat/>
    <w:uiPriority w:val="0"/>
  </w:style>
  <w:style w:type="character" w:customStyle="1" w:styleId="121">
    <w:name w:val="Document 8"/>
    <w:basedOn w:val="11"/>
    <w:qFormat/>
    <w:uiPriority w:val="0"/>
  </w:style>
  <w:style w:type="character" w:customStyle="1" w:styleId="122">
    <w:name w:val="Tech Init"/>
    <w:qFormat/>
    <w:uiPriority w:val="0"/>
    <w:rPr>
      <w:rFonts w:ascii="Times" w:hAnsi="Times"/>
      <w:sz w:val="24"/>
      <w:lang w:val="en-US"/>
    </w:rPr>
  </w:style>
  <w:style w:type="character" w:customStyle="1" w:styleId="123">
    <w:name w:val="Technical 1"/>
    <w:qFormat/>
    <w:uiPriority w:val="0"/>
    <w:rPr>
      <w:rFonts w:ascii="Times" w:hAnsi="Times"/>
      <w:sz w:val="24"/>
      <w:lang w:val="en-US"/>
    </w:rPr>
  </w:style>
  <w:style w:type="character" w:customStyle="1" w:styleId="124">
    <w:name w:val="Technical 2"/>
    <w:qFormat/>
    <w:uiPriority w:val="0"/>
    <w:rPr>
      <w:rFonts w:ascii="Times" w:hAnsi="Times"/>
      <w:sz w:val="24"/>
      <w:lang w:val="en-US"/>
    </w:rPr>
  </w:style>
  <w:style w:type="character" w:customStyle="1" w:styleId="125">
    <w:name w:val="Technical 3"/>
    <w:qFormat/>
    <w:uiPriority w:val="0"/>
    <w:rPr>
      <w:rFonts w:ascii="Times" w:hAnsi="Times"/>
      <w:sz w:val="24"/>
      <w:lang w:val="en-US"/>
    </w:rPr>
  </w:style>
  <w:style w:type="paragraph" w:customStyle="1" w:styleId="126">
    <w:name w:val="Technical 4"/>
    <w:qFormat/>
    <w:uiPriority w:val="0"/>
    <w:pPr>
      <w:tabs>
        <w:tab w:val="left" w:pos="-720"/>
      </w:tabs>
      <w:suppressAutoHyphens/>
    </w:pPr>
    <w:rPr>
      <w:rFonts w:ascii="Times" w:hAnsi="Times" w:eastAsia="Times New Roman" w:cs="Times New Roman"/>
      <w:b/>
      <w:sz w:val="24"/>
      <w:lang w:val="en-US" w:eastAsia="en-US" w:bidi="ar-SA"/>
    </w:rPr>
  </w:style>
  <w:style w:type="paragraph" w:customStyle="1" w:styleId="127">
    <w:name w:val="Technical 5"/>
    <w:qFormat/>
    <w:uiPriority w:val="0"/>
    <w:pPr>
      <w:tabs>
        <w:tab w:val="left" w:pos="-720"/>
      </w:tabs>
      <w:suppressAutoHyphens/>
      <w:ind w:firstLine="720"/>
    </w:pPr>
    <w:rPr>
      <w:rFonts w:ascii="Times" w:hAnsi="Times" w:eastAsia="Times New Roman" w:cs="Times New Roman"/>
      <w:b/>
      <w:sz w:val="24"/>
      <w:lang w:val="en-US" w:eastAsia="en-US" w:bidi="ar-SA"/>
    </w:rPr>
  </w:style>
  <w:style w:type="paragraph" w:customStyle="1" w:styleId="128">
    <w:name w:val="Technical 6"/>
    <w:qFormat/>
    <w:uiPriority w:val="0"/>
    <w:pPr>
      <w:tabs>
        <w:tab w:val="left" w:pos="-720"/>
      </w:tabs>
      <w:suppressAutoHyphens/>
      <w:ind w:firstLine="720"/>
    </w:pPr>
    <w:rPr>
      <w:rFonts w:ascii="Times" w:hAnsi="Times" w:eastAsia="Times New Roman" w:cs="Times New Roman"/>
      <w:b/>
      <w:sz w:val="24"/>
      <w:lang w:val="en-US" w:eastAsia="en-US" w:bidi="ar-SA"/>
    </w:rPr>
  </w:style>
  <w:style w:type="paragraph" w:customStyle="1" w:styleId="129">
    <w:name w:val="Technical 7"/>
    <w:qFormat/>
    <w:uiPriority w:val="0"/>
    <w:pPr>
      <w:tabs>
        <w:tab w:val="left" w:pos="-720"/>
      </w:tabs>
      <w:suppressAutoHyphens/>
      <w:ind w:firstLine="720"/>
    </w:pPr>
    <w:rPr>
      <w:rFonts w:ascii="Times" w:hAnsi="Times" w:eastAsia="Times New Roman" w:cs="Times New Roman"/>
      <w:b/>
      <w:sz w:val="24"/>
      <w:lang w:val="en-US" w:eastAsia="en-US" w:bidi="ar-SA"/>
    </w:rPr>
  </w:style>
  <w:style w:type="paragraph" w:customStyle="1" w:styleId="130">
    <w:name w:val="Technical 8"/>
    <w:qFormat/>
    <w:uiPriority w:val="0"/>
    <w:pPr>
      <w:tabs>
        <w:tab w:val="left" w:pos="-720"/>
      </w:tabs>
      <w:suppressAutoHyphens/>
      <w:ind w:firstLine="720"/>
    </w:pPr>
    <w:rPr>
      <w:rFonts w:ascii="Times" w:hAnsi="Times" w:eastAsia="Times New Roman" w:cs="Times New Roman"/>
      <w:b/>
      <w:sz w:val="24"/>
      <w:lang w:val="en-US" w:eastAsia="en-US" w:bidi="ar-SA"/>
    </w:rPr>
  </w:style>
  <w:style w:type="paragraph" w:customStyle="1" w:styleId="131">
    <w:name w:val="Pleading"/>
    <w:qFormat/>
    <w:uiPriority w:val="0"/>
    <w:pPr>
      <w:tabs>
        <w:tab w:val="left" w:pos="-720"/>
      </w:tabs>
      <w:suppressAutoHyphens/>
      <w:spacing w:line="240" w:lineRule="exact"/>
    </w:pPr>
    <w:rPr>
      <w:rFonts w:ascii="Times" w:hAnsi="Times" w:eastAsia="Times New Roman" w:cs="Times New Roman"/>
      <w:sz w:val="24"/>
      <w:lang w:val="en-US" w:eastAsia="en-US" w:bidi="ar-SA"/>
    </w:rPr>
  </w:style>
  <w:style w:type="paragraph" w:customStyle="1" w:styleId="132">
    <w:name w:val="Right Par 1"/>
    <w:qFormat/>
    <w:uiPriority w:val="0"/>
    <w:pPr>
      <w:tabs>
        <w:tab w:val="left" w:pos="-720"/>
        <w:tab w:val="left" w:pos="0"/>
        <w:tab w:val="decimal" w:pos="720"/>
      </w:tabs>
      <w:suppressAutoHyphens/>
      <w:ind w:firstLine="720"/>
    </w:pPr>
    <w:rPr>
      <w:rFonts w:ascii="Times" w:hAnsi="Times" w:eastAsia="Times New Roman" w:cs="Times New Roman"/>
      <w:sz w:val="24"/>
      <w:lang w:val="en-US" w:eastAsia="en-US" w:bidi="ar-SA"/>
    </w:rPr>
  </w:style>
  <w:style w:type="paragraph" w:customStyle="1" w:styleId="133">
    <w:name w:val="Right Par 2"/>
    <w:qFormat/>
    <w:uiPriority w:val="0"/>
    <w:pPr>
      <w:tabs>
        <w:tab w:val="left" w:pos="-720"/>
        <w:tab w:val="left" w:pos="0"/>
        <w:tab w:val="left" w:pos="720"/>
        <w:tab w:val="decimal" w:pos="1440"/>
      </w:tabs>
      <w:suppressAutoHyphens/>
      <w:ind w:firstLine="1440"/>
    </w:pPr>
    <w:rPr>
      <w:rFonts w:ascii="Times" w:hAnsi="Times" w:eastAsia="Times New Roman" w:cs="Times New Roman"/>
      <w:sz w:val="24"/>
      <w:lang w:val="en-US" w:eastAsia="en-US" w:bidi="ar-SA"/>
    </w:rPr>
  </w:style>
  <w:style w:type="paragraph" w:customStyle="1" w:styleId="134">
    <w:name w:val="Right Par 3"/>
    <w:qFormat/>
    <w:uiPriority w:val="0"/>
    <w:pPr>
      <w:tabs>
        <w:tab w:val="left" w:pos="-720"/>
        <w:tab w:val="left" w:pos="0"/>
        <w:tab w:val="left" w:pos="720"/>
        <w:tab w:val="left" w:pos="1440"/>
        <w:tab w:val="decimal" w:pos="2160"/>
      </w:tabs>
      <w:suppressAutoHyphens/>
      <w:ind w:firstLine="2160"/>
    </w:pPr>
    <w:rPr>
      <w:rFonts w:ascii="Times" w:hAnsi="Times" w:eastAsia="Times New Roman" w:cs="Times New Roman"/>
      <w:sz w:val="24"/>
      <w:lang w:val="en-US" w:eastAsia="en-US" w:bidi="ar-SA"/>
    </w:rPr>
  </w:style>
  <w:style w:type="paragraph" w:customStyle="1" w:styleId="135">
    <w:name w:val="Right Par 4"/>
    <w:qFormat/>
    <w:uiPriority w:val="0"/>
    <w:pPr>
      <w:tabs>
        <w:tab w:val="left" w:pos="-720"/>
        <w:tab w:val="left" w:pos="0"/>
        <w:tab w:val="left" w:pos="720"/>
        <w:tab w:val="left" w:pos="1440"/>
        <w:tab w:val="left" w:pos="2160"/>
        <w:tab w:val="decimal" w:pos="2880"/>
      </w:tabs>
      <w:suppressAutoHyphens/>
      <w:ind w:firstLine="2880"/>
    </w:pPr>
    <w:rPr>
      <w:rFonts w:ascii="Times" w:hAnsi="Times" w:eastAsia="Times New Roman" w:cs="Times New Roman"/>
      <w:sz w:val="24"/>
      <w:lang w:val="en-US" w:eastAsia="en-US" w:bidi="ar-SA"/>
    </w:rPr>
  </w:style>
  <w:style w:type="paragraph" w:customStyle="1" w:styleId="136">
    <w:name w:val="Right Par 5"/>
    <w:qFormat/>
    <w:uiPriority w:val="0"/>
    <w:pPr>
      <w:tabs>
        <w:tab w:val="left" w:pos="-720"/>
        <w:tab w:val="left" w:pos="0"/>
        <w:tab w:val="left" w:pos="720"/>
        <w:tab w:val="left" w:pos="1440"/>
        <w:tab w:val="left" w:pos="2160"/>
        <w:tab w:val="left" w:pos="2880"/>
        <w:tab w:val="decimal" w:pos="3600"/>
      </w:tabs>
      <w:suppressAutoHyphens/>
      <w:ind w:firstLine="3600"/>
    </w:pPr>
    <w:rPr>
      <w:rFonts w:ascii="Times" w:hAnsi="Times" w:eastAsia="Times New Roman" w:cs="Times New Roman"/>
      <w:sz w:val="24"/>
      <w:lang w:val="en-US" w:eastAsia="en-US" w:bidi="ar-SA"/>
    </w:rPr>
  </w:style>
  <w:style w:type="paragraph" w:customStyle="1" w:styleId="137">
    <w:name w:val="Right Par 6"/>
    <w:qFormat/>
    <w:uiPriority w:val="0"/>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eastAsia="Times New Roman" w:cs="Times New Roman"/>
      <w:sz w:val="24"/>
      <w:lang w:val="en-US" w:eastAsia="en-US" w:bidi="ar-SA"/>
    </w:rPr>
  </w:style>
  <w:style w:type="paragraph" w:customStyle="1" w:styleId="138">
    <w:name w:val="Right Par 7"/>
    <w:qFormat/>
    <w:uiPriority w:val="0"/>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eastAsia="Times New Roman" w:cs="Times New Roman"/>
      <w:sz w:val="24"/>
      <w:lang w:val="en-US" w:eastAsia="en-US" w:bidi="ar-SA"/>
    </w:rPr>
  </w:style>
  <w:style w:type="paragraph" w:customStyle="1" w:styleId="139">
    <w:name w:val="Right Par 8"/>
    <w:qFormat/>
    <w:uiPriority w:val="0"/>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eastAsia="Times New Roman" w:cs="Times New Roman"/>
      <w:sz w:val="24"/>
      <w:lang w:val="en-US" w:eastAsia="en-US" w:bidi="ar-SA"/>
    </w:rPr>
  </w:style>
  <w:style w:type="character" w:customStyle="1" w:styleId="140">
    <w:name w:val="_Equation Caption"/>
    <w:qFormat/>
    <w:uiPriority w:val="0"/>
  </w:style>
  <w:style w:type="character" w:customStyle="1" w:styleId="141">
    <w:name w:val="vl.pg.no."/>
    <w:qFormat/>
    <w:uiPriority w:val="0"/>
    <w:rPr>
      <w:rFonts w:ascii="Times" w:hAnsi="Times"/>
      <w:b/>
      <w:sz w:val="20"/>
      <w:lang w:val="en-US"/>
    </w:rPr>
  </w:style>
  <w:style w:type="character" w:customStyle="1" w:styleId="142">
    <w:name w:val="Title Char"/>
    <w:link w:val="69"/>
    <w:qFormat/>
    <w:uiPriority w:val="0"/>
    <w:rPr>
      <w:rFonts w:ascii="Arial" w:hAnsi="Arial" w:eastAsia="Times New Roman"/>
      <w:b/>
      <w:kern w:val="28"/>
      <w:sz w:val="32"/>
      <w:lang w:val="zh-CN" w:eastAsia="zh-CN"/>
    </w:rPr>
  </w:style>
  <w:style w:type="character" w:customStyle="1" w:styleId="143">
    <w:name w:val="footnote"/>
    <w:qFormat/>
    <w:uiPriority w:val="0"/>
    <w:rPr>
      <w:rFonts w:ascii="Book Antiqua" w:hAnsi="Book Antiqua"/>
      <w:sz w:val="24"/>
      <w:lang w:val="en-US"/>
    </w:rPr>
  </w:style>
  <w:style w:type="paragraph" w:customStyle="1" w:styleId="144">
    <w:name w:val="Head 2.1"/>
    <w:basedOn w:val="1"/>
    <w:qFormat/>
    <w:uiPriority w:val="0"/>
    <w:pPr>
      <w:keepNext/>
      <w:pBdr>
        <w:bottom w:val="single" w:color="auto" w:sz="24" w:space="3"/>
      </w:pBdr>
      <w:suppressAutoHyphens/>
      <w:spacing w:before="480" w:after="240" w:line="240" w:lineRule="auto"/>
      <w:jc w:val="center"/>
    </w:pPr>
    <w:rPr>
      <w:rFonts w:ascii="Times New Roman Bold" w:hAnsi="Times New Roman Bold" w:eastAsia="Times New Roman"/>
      <w:b/>
      <w:smallCaps/>
      <w:sz w:val="32"/>
      <w:szCs w:val="20"/>
    </w:rPr>
  </w:style>
  <w:style w:type="paragraph" w:customStyle="1" w:styleId="145">
    <w:name w:val="Head 2.2"/>
    <w:basedOn w:val="1"/>
    <w:qFormat/>
    <w:uiPriority w:val="0"/>
    <w:pPr>
      <w:tabs>
        <w:tab w:val="left" w:pos="360"/>
      </w:tabs>
      <w:suppressAutoHyphens/>
      <w:spacing w:after="240" w:line="240" w:lineRule="auto"/>
      <w:ind w:left="360" w:hanging="360"/>
    </w:pPr>
    <w:rPr>
      <w:rFonts w:eastAsia="Times New Roman"/>
      <w:b/>
      <w:sz w:val="24"/>
      <w:szCs w:val="20"/>
    </w:rPr>
  </w:style>
  <w:style w:type="character" w:customStyle="1" w:styleId="146">
    <w:name w:val="insert2"/>
    <w:qFormat/>
    <w:uiPriority w:val="0"/>
    <w:rPr>
      <w:rFonts w:ascii="Arial" w:hAnsi="Arial"/>
      <w:i/>
      <w:sz w:val="24"/>
      <w:lang w:val="en-US"/>
    </w:rPr>
  </w:style>
  <w:style w:type="character" w:customStyle="1" w:styleId="147">
    <w:name w:val="reference"/>
    <w:qFormat/>
    <w:uiPriority w:val="0"/>
    <w:rPr>
      <w:rFonts w:ascii="Book Antiqua" w:hAnsi="Book Antiqua"/>
      <w:i/>
      <w:sz w:val="24"/>
      <w:lang w:val="en-US"/>
    </w:rPr>
  </w:style>
  <w:style w:type="paragraph" w:customStyle="1" w:styleId="148">
    <w:name w:val="Heading rb2"/>
    <w:basedOn w:val="1"/>
    <w:qFormat/>
    <w:uiPriority w:val="0"/>
    <w:pPr>
      <w:tabs>
        <w:tab w:val="left" w:pos="-851"/>
        <w:tab w:val="right" w:pos="-567"/>
        <w:tab w:val="right" w:pos="2127"/>
        <w:tab w:val="right" w:pos="2694"/>
        <w:tab w:val="left" w:pos="2977"/>
        <w:tab w:val="right" w:pos="10348"/>
      </w:tabs>
      <w:spacing w:after="0" w:line="400" w:lineRule="exact"/>
      <w:ind w:right="-28"/>
    </w:pPr>
    <w:rPr>
      <w:rFonts w:ascii="Arial" w:hAnsi="Arial" w:eastAsia="Times New Roman"/>
      <w:b/>
      <w:spacing w:val="6"/>
      <w:sz w:val="26"/>
      <w:szCs w:val="20"/>
    </w:rPr>
  </w:style>
  <w:style w:type="paragraph" w:customStyle="1" w:styleId="149">
    <w:name w:val="Head fid1"/>
    <w:basedOn w:val="150"/>
    <w:qFormat/>
    <w:uiPriority w:val="0"/>
  </w:style>
  <w:style w:type="paragraph" w:customStyle="1" w:styleId="150">
    <w:name w:val="Head 2"/>
    <w:basedOn w:val="1"/>
    <w:autoRedefine/>
    <w:qFormat/>
    <w:uiPriority w:val="0"/>
    <w:pPr>
      <w:spacing w:before="120" w:after="120" w:line="240" w:lineRule="auto"/>
      <w:jc w:val="both"/>
    </w:pPr>
    <w:rPr>
      <w:rFonts w:eastAsia="Times New Roman"/>
      <w:b/>
      <w:sz w:val="24"/>
      <w:szCs w:val="20"/>
      <w:lang w:val="en-GB"/>
    </w:rPr>
  </w:style>
  <w:style w:type="paragraph" w:customStyle="1" w:styleId="151">
    <w:name w:val="explanatory_clause"/>
    <w:basedOn w:val="1"/>
    <w:qFormat/>
    <w:uiPriority w:val="0"/>
    <w:pPr>
      <w:suppressAutoHyphens/>
      <w:spacing w:after="240" w:line="240" w:lineRule="auto"/>
      <w:ind w:left="738" w:right="-14" w:hanging="738"/>
    </w:pPr>
    <w:rPr>
      <w:rFonts w:ascii="Arial" w:hAnsi="Arial" w:eastAsia="Times New Roman"/>
      <w:sz w:val="22"/>
      <w:szCs w:val="20"/>
    </w:rPr>
  </w:style>
  <w:style w:type="paragraph" w:customStyle="1" w:styleId="152">
    <w:name w:val="explanatory_notes"/>
    <w:basedOn w:val="1"/>
    <w:qFormat/>
    <w:uiPriority w:val="0"/>
    <w:pPr>
      <w:suppressAutoHyphens/>
      <w:spacing w:after="240" w:line="360" w:lineRule="exact"/>
      <w:jc w:val="both"/>
    </w:pPr>
    <w:rPr>
      <w:rFonts w:ascii="Arial" w:hAnsi="Arial" w:eastAsia="Times New Roman"/>
      <w:sz w:val="24"/>
      <w:szCs w:val="20"/>
    </w:rPr>
  </w:style>
  <w:style w:type="paragraph" w:customStyle="1" w:styleId="153">
    <w:name w:val="Head 2.2b"/>
    <w:basedOn w:val="1"/>
    <w:qFormat/>
    <w:uiPriority w:val="0"/>
    <w:pPr>
      <w:suppressAutoHyphens/>
      <w:spacing w:after="240" w:line="240" w:lineRule="auto"/>
      <w:ind w:left="360" w:hanging="360"/>
    </w:pPr>
    <w:rPr>
      <w:rFonts w:ascii="Tms Rmn" w:hAnsi="Tms Rmn" w:eastAsia="Times New Roman"/>
      <w:b/>
      <w:sz w:val="24"/>
      <w:szCs w:val="20"/>
    </w:rPr>
  </w:style>
  <w:style w:type="paragraph" w:customStyle="1" w:styleId="154">
    <w:name w:val="Head 3.1"/>
    <w:basedOn w:val="144"/>
    <w:qFormat/>
    <w:uiPriority w:val="0"/>
  </w:style>
  <w:style w:type="paragraph" w:customStyle="1" w:styleId="155">
    <w:name w:val="Head 4.1"/>
    <w:basedOn w:val="144"/>
    <w:qFormat/>
    <w:uiPriority w:val="0"/>
  </w:style>
  <w:style w:type="paragraph" w:customStyle="1" w:styleId="156">
    <w:name w:val="Head 4.2"/>
    <w:basedOn w:val="1"/>
    <w:qFormat/>
    <w:uiPriority w:val="0"/>
    <w:pPr>
      <w:suppressAutoHyphens/>
      <w:spacing w:after="240" w:line="240" w:lineRule="auto"/>
      <w:ind w:left="360" w:hanging="360"/>
    </w:pPr>
    <w:rPr>
      <w:rFonts w:eastAsia="Times New Roman"/>
      <w:b/>
      <w:sz w:val="24"/>
      <w:szCs w:val="20"/>
    </w:rPr>
  </w:style>
  <w:style w:type="paragraph" w:customStyle="1" w:styleId="157">
    <w:name w:val="Head 5.1"/>
    <w:basedOn w:val="144"/>
    <w:qFormat/>
    <w:uiPriority w:val="0"/>
    <w:pPr>
      <w:spacing w:after="0"/>
    </w:pPr>
  </w:style>
  <w:style w:type="paragraph" w:customStyle="1" w:styleId="158">
    <w:name w:val="Head 5.2"/>
    <w:basedOn w:val="1"/>
    <w:qFormat/>
    <w:uiPriority w:val="0"/>
    <w:pPr>
      <w:keepNext/>
      <w:suppressAutoHyphens/>
      <w:spacing w:before="480" w:after="240" w:line="240" w:lineRule="auto"/>
      <w:ind w:left="547" w:hanging="547"/>
      <w:jc w:val="center"/>
    </w:pPr>
    <w:rPr>
      <w:rFonts w:eastAsia="Times New Roman"/>
      <w:b/>
      <w:sz w:val="24"/>
      <w:szCs w:val="20"/>
    </w:rPr>
  </w:style>
  <w:style w:type="paragraph" w:customStyle="1" w:styleId="159">
    <w:name w:val="Head 6.1"/>
    <w:basedOn w:val="157"/>
    <w:qFormat/>
    <w:uiPriority w:val="0"/>
    <w:pPr>
      <w:pBdr>
        <w:bottom w:val="none" w:color="auto" w:sz="0" w:space="0"/>
      </w:pBdr>
      <w:spacing w:before="0" w:after="240"/>
    </w:pPr>
    <w:rPr>
      <w:caps/>
    </w:rPr>
  </w:style>
  <w:style w:type="paragraph" w:customStyle="1" w:styleId="160">
    <w:name w:val="Head 7.1"/>
    <w:basedOn w:val="144"/>
    <w:qFormat/>
    <w:uiPriority w:val="0"/>
  </w:style>
  <w:style w:type="paragraph" w:customStyle="1" w:styleId="161">
    <w:name w:val="Head 7.2"/>
    <w:basedOn w:val="1"/>
    <w:qFormat/>
    <w:uiPriority w:val="0"/>
    <w:pPr>
      <w:suppressAutoHyphens/>
      <w:spacing w:after="240" w:line="240" w:lineRule="auto"/>
      <w:ind w:left="720" w:hanging="720"/>
    </w:pPr>
    <w:rPr>
      <w:rFonts w:ascii="Times New Roman Bold" w:hAnsi="Times New Roman Bold" w:eastAsia="Times New Roman"/>
      <w:b/>
      <w:szCs w:val="20"/>
    </w:rPr>
  </w:style>
  <w:style w:type="paragraph" w:customStyle="1" w:styleId="162">
    <w:name w:val="Head 8.1"/>
    <w:basedOn w:val="2"/>
    <w:qFormat/>
    <w:uiPriority w:val="0"/>
    <w:pPr>
      <w:keepNext w:val="0"/>
      <w:suppressAutoHyphens/>
      <w:spacing w:before="480" w:after="240" w:line="240" w:lineRule="auto"/>
      <w:jc w:val="center"/>
      <w:outlineLvl w:val="9"/>
    </w:pPr>
    <w:rPr>
      <w:rFonts w:ascii="Times New Roman Bold" w:hAnsi="Times New Roman Bold"/>
      <w:bCs w:val="0"/>
      <w:kern w:val="0"/>
      <w:szCs w:val="20"/>
      <w:lang w:val="zh-CN" w:eastAsia="zh-CN"/>
    </w:rPr>
  </w:style>
  <w:style w:type="paragraph" w:customStyle="1" w:styleId="163">
    <w:name w:val="Head 8.2"/>
    <w:basedOn w:val="162"/>
    <w:qFormat/>
    <w:uiPriority w:val="0"/>
    <w:rPr>
      <w:smallCaps/>
      <w:sz w:val="28"/>
    </w:rPr>
  </w:style>
  <w:style w:type="character" w:customStyle="1" w:styleId="164">
    <w:name w:val="Endnote Text Char"/>
    <w:link w:val="28"/>
    <w:semiHidden/>
    <w:qFormat/>
    <w:uiPriority w:val="0"/>
    <w:rPr>
      <w:rFonts w:eastAsia="Times New Roman"/>
    </w:rPr>
  </w:style>
  <w:style w:type="character" w:customStyle="1" w:styleId="165">
    <w:name w:val="Endnote Text Char1"/>
    <w:basedOn w:val="11"/>
    <w:semiHidden/>
    <w:qFormat/>
    <w:uiPriority w:val="99"/>
  </w:style>
  <w:style w:type="character" w:customStyle="1" w:styleId="166">
    <w:name w:val="Body Text 2 Char"/>
    <w:link w:val="16"/>
    <w:qFormat/>
    <w:uiPriority w:val="0"/>
    <w:rPr>
      <w:rFonts w:eastAsia="Times New Roman"/>
      <w:i/>
      <w:sz w:val="24"/>
      <w:lang w:val="zh-CN" w:eastAsia="zh-CN"/>
    </w:rPr>
  </w:style>
  <w:style w:type="paragraph" w:customStyle="1" w:styleId="167">
    <w:name w:val="Subtitle 2"/>
    <w:basedOn w:val="31"/>
    <w:autoRedefine/>
    <w:qFormat/>
    <w:uiPriority w:val="0"/>
    <w:pPr>
      <w:widowControl w:val="0"/>
      <w:tabs>
        <w:tab w:val="right" w:leader="underscore" w:pos="9504"/>
        <w:tab w:val="clear" w:pos="4680"/>
        <w:tab w:val="clear" w:pos="9360"/>
      </w:tabs>
      <w:spacing w:before="120" w:after="120" w:line="264" w:lineRule="auto"/>
      <w:ind w:firstLine="29"/>
      <w:jc w:val="both"/>
      <w:outlineLvl w:val="1"/>
    </w:pPr>
    <w:rPr>
      <w:rFonts w:eastAsia="Times New Roman"/>
    </w:rPr>
  </w:style>
  <w:style w:type="paragraph" w:customStyle="1" w:styleId="168">
    <w:name w:val="(i)"/>
    <w:basedOn w:val="1"/>
    <w:link w:val="169"/>
    <w:qFormat/>
    <w:uiPriority w:val="0"/>
    <w:pPr>
      <w:suppressAutoHyphens/>
      <w:spacing w:after="0" w:line="240" w:lineRule="auto"/>
      <w:jc w:val="both"/>
    </w:pPr>
    <w:rPr>
      <w:rFonts w:ascii="Tms Rmn" w:hAnsi="Tms Rmn" w:eastAsia="Times New Roman"/>
      <w:sz w:val="24"/>
      <w:szCs w:val="20"/>
      <w:lang w:val="zh-CN" w:eastAsia="zh-CN"/>
    </w:rPr>
  </w:style>
  <w:style w:type="character" w:customStyle="1" w:styleId="169">
    <w:name w:val="(i) Char"/>
    <w:link w:val="168"/>
    <w:qFormat/>
    <w:locked/>
    <w:uiPriority w:val="0"/>
    <w:rPr>
      <w:rFonts w:ascii="Tms Rmn" w:hAnsi="Tms Rmn" w:eastAsia="Times New Roman"/>
      <w:sz w:val="24"/>
      <w:lang w:val="zh-CN" w:eastAsia="zh-CN"/>
    </w:rPr>
  </w:style>
  <w:style w:type="paragraph" w:customStyle="1" w:styleId="170">
    <w:name w:val="2AutoList1"/>
    <w:basedOn w:val="1"/>
    <w:qFormat/>
    <w:uiPriority w:val="0"/>
    <w:pPr>
      <w:tabs>
        <w:tab w:val="left" w:pos="504"/>
      </w:tabs>
      <w:spacing w:after="0" w:line="240" w:lineRule="auto"/>
      <w:ind w:left="504" w:hanging="504"/>
      <w:jc w:val="both"/>
    </w:pPr>
    <w:rPr>
      <w:rFonts w:eastAsia="Times New Roman"/>
      <w:sz w:val="24"/>
      <w:szCs w:val="20"/>
    </w:rPr>
  </w:style>
  <w:style w:type="paragraph" w:customStyle="1" w:styleId="171">
    <w:name w:val="Header 1 - Clauses"/>
    <w:basedOn w:val="1"/>
    <w:qFormat/>
    <w:uiPriority w:val="0"/>
    <w:pPr>
      <w:spacing w:after="200" w:line="240" w:lineRule="auto"/>
    </w:pPr>
    <w:rPr>
      <w:rFonts w:eastAsia="Times New Roman"/>
      <w:b/>
      <w:sz w:val="24"/>
      <w:szCs w:val="20"/>
    </w:rPr>
  </w:style>
  <w:style w:type="paragraph" w:customStyle="1" w:styleId="172">
    <w:name w:val="Header 2 - SubClauses"/>
    <w:basedOn w:val="1"/>
    <w:link w:val="173"/>
    <w:autoRedefine/>
    <w:qFormat/>
    <w:uiPriority w:val="0"/>
    <w:pPr>
      <w:widowControl w:val="0"/>
      <w:numPr>
        <w:ilvl w:val="1"/>
        <w:numId w:val="2"/>
      </w:numPr>
      <w:shd w:val="clear" w:color="auto" w:fill="FFFFFF"/>
      <w:tabs>
        <w:tab w:val="left" w:pos="619"/>
      </w:tabs>
      <w:spacing w:before="40" w:after="40" w:line="240" w:lineRule="auto"/>
      <w:jc w:val="both"/>
    </w:pPr>
    <w:rPr>
      <w:rFonts w:eastAsia="Times New Roman"/>
      <w:color w:val="000000" w:themeColor="text1"/>
      <w:spacing w:val="3"/>
      <w:sz w:val="26"/>
      <w:szCs w:val="26"/>
      <w:shd w:val="clear" w:color="auto" w:fill="FFFFFF"/>
      <w:lang w:eastAsia="zh-CN"/>
      <w14:textFill>
        <w14:solidFill>
          <w14:schemeClr w14:val="tx1"/>
        </w14:solidFill>
      </w14:textFill>
    </w:rPr>
  </w:style>
  <w:style w:type="character" w:customStyle="1" w:styleId="173">
    <w:name w:val="Header 2 - SubClauses Char Char"/>
    <w:link w:val="172"/>
    <w:qFormat/>
    <w:uiPriority w:val="0"/>
    <w:rPr>
      <w:rFonts w:eastAsia="Times New Roman"/>
      <w:color w:val="000000" w:themeColor="text1"/>
      <w:spacing w:val="3"/>
      <w:sz w:val="26"/>
      <w:szCs w:val="26"/>
      <w:shd w:val="clear" w:color="auto" w:fill="FFFFFF"/>
      <w:lang w:eastAsia="zh-CN"/>
      <w14:textFill>
        <w14:solidFill>
          <w14:schemeClr w14:val="tx1"/>
        </w14:solidFill>
      </w14:textFill>
    </w:rPr>
  </w:style>
  <w:style w:type="paragraph" w:customStyle="1" w:styleId="174">
    <w:name w:val="Outline3"/>
    <w:basedOn w:val="1"/>
    <w:qFormat/>
    <w:uiPriority w:val="0"/>
    <w:pPr>
      <w:tabs>
        <w:tab w:val="left" w:pos="1728"/>
      </w:tabs>
      <w:spacing w:before="240" w:after="0" w:line="240" w:lineRule="auto"/>
      <w:ind w:left="1728" w:hanging="432"/>
    </w:pPr>
    <w:rPr>
      <w:rFonts w:eastAsia="Times New Roman"/>
      <w:kern w:val="28"/>
      <w:sz w:val="24"/>
      <w:szCs w:val="20"/>
    </w:rPr>
  </w:style>
  <w:style w:type="paragraph" w:customStyle="1" w:styleId="175">
    <w:name w:val="Outline4"/>
    <w:basedOn w:val="1"/>
    <w:autoRedefine/>
    <w:qFormat/>
    <w:uiPriority w:val="0"/>
    <w:pPr>
      <w:tabs>
        <w:tab w:val="left" w:pos="2160"/>
      </w:tabs>
      <w:spacing w:after="0" w:line="240" w:lineRule="auto"/>
      <w:ind w:firstLine="567"/>
      <w:jc w:val="both"/>
    </w:pPr>
    <w:rPr>
      <w:rFonts w:eastAsia="Times New Roman"/>
      <w:kern w:val="28"/>
      <w:sz w:val="24"/>
      <w:szCs w:val="20"/>
    </w:rPr>
  </w:style>
  <w:style w:type="paragraph" w:customStyle="1" w:styleId="176">
    <w:name w:val="Outline i)"/>
    <w:basedOn w:val="1"/>
    <w:qFormat/>
    <w:uiPriority w:val="0"/>
    <w:pPr>
      <w:tabs>
        <w:tab w:val="left" w:pos="1782"/>
      </w:tabs>
      <w:spacing w:before="120" w:after="0" w:line="240" w:lineRule="auto"/>
      <w:ind w:left="1782" w:hanging="792"/>
    </w:pPr>
    <w:rPr>
      <w:rFonts w:eastAsia="Times New Roman"/>
      <w:sz w:val="24"/>
      <w:szCs w:val="20"/>
    </w:rPr>
  </w:style>
  <w:style w:type="paragraph" w:customStyle="1" w:styleId="177">
    <w:name w:val="Outline"/>
    <w:basedOn w:val="1"/>
    <w:qFormat/>
    <w:uiPriority w:val="0"/>
    <w:pPr>
      <w:spacing w:before="240" w:after="0" w:line="240" w:lineRule="auto"/>
    </w:pPr>
    <w:rPr>
      <w:rFonts w:eastAsia="Times New Roman"/>
      <w:kern w:val="28"/>
      <w:sz w:val="24"/>
      <w:szCs w:val="20"/>
    </w:rPr>
  </w:style>
  <w:style w:type="paragraph" w:customStyle="1" w:styleId="178">
    <w:name w:val="BankNormal"/>
    <w:basedOn w:val="1"/>
    <w:qFormat/>
    <w:uiPriority w:val="0"/>
    <w:pPr>
      <w:spacing w:after="240" w:line="240" w:lineRule="auto"/>
    </w:pPr>
    <w:rPr>
      <w:rFonts w:eastAsia="Times New Roman"/>
      <w:sz w:val="24"/>
      <w:szCs w:val="20"/>
    </w:rPr>
  </w:style>
  <w:style w:type="paragraph" w:customStyle="1" w:styleId="179">
    <w:name w:val="Section V. Header"/>
    <w:basedOn w:val="1"/>
    <w:qFormat/>
    <w:uiPriority w:val="99"/>
    <w:pPr>
      <w:spacing w:after="0" w:line="240" w:lineRule="auto"/>
      <w:jc w:val="center"/>
    </w:pPr>
    <w:rPr>
      <w:rFonts w:eastAsia="Times New Roman"/>
      <w:b/>
      <w:sz w:val="36"/>
      <w:szCs w:val="20"/>
    </w:rPr>
  </w:style>
  <w:style w:type="character" w:customStyle="1" w:styleId="180">
    <w:name w:val="Table"/>
    <w:qFormat/>
    <w:uiPriority w:val="0"/>
    <w:rPr>
      <w:rFonts w:ascii="Arial" w:hAnsi="Arial"/>
      <w:sz w:val="20"/>
    </w:rPr>
  </w:style>
  <w:style w:type="paragraph" w:customStyle="1" w:styleId="181">
    <w:name w:val="Section VII Header2"/>
    <w:basedOn w:val="2"/>
    <w:autoRedefine/>
    <w:qFormat/>
    <w:uiPriority w:val="0"/>
    <w:pPr>
      <w:spacing w:before="0" w:after="200" w:line="240" w:lineRule="auto"/>
      <w:jc w:val="center"/>
    </w:pPr>
    <w:rPr>
      <w:rFonts w:ascii="Times New Roman" w:hAnsi="Times New Roman"/>
      <w:i/>
      <w:kern w:val="28"/>
      <w:sz w:val="20"/>
      <w:szCs w:val="20"/>
      <w:lang w:val="zh-CN" w:eastAsia="zh-CN"/>
    </w:rPr>
  </w:style>
  <w:style w:type="paragraph" w:customStyle="1" w:styleId="182">
    <w:name w:val="ClauseSub_Para"/>
    <w:qFormat/>
    <w:uiPriority w:val="0"/>
    <w:pPr>
      <w:spacing w:before="60" w:after="60"/>
      <w:ind w:left="2268"/>
    </w:pPr>
    <w:rPr>
      <w:rFonts w:ascii="Times New Roman" w:hAnsi="Times New Roman" w:eastAsia="Times New Roman" w:cs="Times New Roman"/>
      <w:sz w:val="22"/>
      <w:szCs w:val="22"/>
      <w:lang w:val="en-GB" w:eastAsia="en-US" w:bidi="ar-SA"/>
    </w:rPr>
  </w:style>
  <w:style w:type="paragraph" w:customStyle="1" w:styleId="183">
    <w:name w:val="ClauseSub_List"/>
    <w:qFormat/>
    <w:uiPriority w:val="0"/>
    <w:pPr>
      <w:tabs>
        <w:tab w:val="left" w:pos="576"/>
      </w:tabs>
      <w:suppressAutoHyphens/>
      <w:ind w:left="576" w:hanging="576"/>
    </w:pPr>
    <w:rPr>
      <w:rFonts w:ascii="Times New Roman" w:hAnsi="Times New Roman" w:eastAsia="Times New Roman" w:cs="Times New Roman"/>
      <w:sz w:val="22"/>
      <w:szCs w:val="22"/>
      <w:lang w:val="en-GB" w:eastAsia="en-US" w:bidi="ar-SA"/>
    </w:rPr>
  </w:style>
  <w:style w:type="paragraph" w:customStyle="1" w:styleId="184">
    <w:name w:val="ClauseSub_List_SubList"/>
    <w:qFormat/>
    <w:uiPriority w:val="0"/>
    <w:pPr>
      <w:tabs>
        <w:tab w:val="left" w:pos="1800"/>
      </w:tabs>
      <w:ind w:left="1800" w:hanging="360"/>
    </w:pPr>
    <w:rPr>
      <w:rFonts w:ascii="Times New Roman" w:hAnsi="Times New Roman" w:eastAsia="Times New Roman" w:cs="Times New Roman"/>
      <w:sz w:val="22"/>
      <w:szCs w:val="22"/>
      <w:lang w:val="en-GB" w:eastAsia="en-US" w:bidi="ar-SA"/>
    </w:rPr>
  </w:style>
  <w:style w:type="paragraph" w:customStyle="1" w:styleId="185">
    <w:name w:val="ClauseSub_ParaIndent"/>
    <w:basedOn w:val="182"/>
    <w:qFormat/>
    <w:uiPriority w:val="0"/>
    <w:pPr>
      <w:ind w:left="2835"/>
    </w:pPr>
  </w:style>
  <w:style w:type="paragraph" w:customStyle="1" w:styleId="186">
    <w:name w:val="Section X Header 3"/>
    <w:basedOn w:val="2"/>
    <w:autoRedefine/>
    <w:qFormat/>
    <w:uiPriority w:val="0"/>
    <w:pPr>
      <w:spacing w:before="0" w:after="0" w:line="240" w:lineRule="auto"/>
      <w:jc w:val="center"/>
    </w:pPr>
    <w:rPr>
      <w:rFonts w:ascii="Times New Roman" w:hAnsi="Times New Roman"/>
      <w:bCs w:val="0"/>
      <w:kern w:val="0"/>
      <w:sz w:val="44"/>
      <w:szCs w:val="20"/>
      <w:lang w:val="zh-CN" w:eastAsia="zh-CN"/>
    </w:rPr>
  </w:style>
  <w:style w:type="paragraph" w:customStyle="1" w:styleId="187">
    <w:name w:val="Part 1"/>
    <w:basedOn w:val="1"/>
    <w:autoRedefine/>
    <w:qFormat/>
    <w:uiPriority w:val="0"/>
    <w:pPr>
      <w:spacing w:before="240" w:after="240" w:line="240" w:lineRule="auto"/>
      <w:jc w:val="center"/>
    </w:pPr>
    <w:rPr>
      <w:rFonts w:eastAsia="Times New Roman"/>
      <w:b/>
      <w:sz w:val="48"/>
      <w:szCs w:val="20"/>
    </w:rPr>
  </w:style>
  <w:style w:type="character" w:customStyle="1" w:styleId="188">
    <w:name w:val="Body Text Indent 3 Char"/>
    <w:link w:val="20"/>
    <w:qFormat/>
    <w:uiPriority w:val="0"/>
    <w:rPr>
      <w:rFonts w:eastAsia="Times New Roman"/>
      <w:b/>
      <w:sz w:val="24"/>
      <w:lang w:val="zh-CN" w:eastAsia="zh-CN"/>
    </w:rPr>
  </w:style>
  <w:style w:type="paragraph" w:customStyle="1" w:styleId="189">
    <w:name w:val="FIDIC__SectionBegin"/>
    <w:basedOn w:val="1"/>
    <w:next w:val="190"/>
    <w:qFormat/>
    <w:uiPriority w:val="0"/>
    <w:pPr>
      <w:widowControl w:val="0"/>
      <w:autoSpaceDE w:val="0"/>
      <w:autoSpaceDN w:val="0"/>
      <w:adjustRightInd w:val="0"/>
      <w:spacing w:after="0" w:line="240" w:lineRule="exact"/>
    </w:pPr>
    <w:rPr>
      <w:rFonts w:ascii="Arial" w:hAnsi="Arial" w:eastAsia="Times New Roman" w:cs="Arial"/>
      <w:b/>
      <w:bCs/>
      <w:color w:val="0000CC"/>
      <w:sz w:val="20"/>
      <w:szCs w:val="20"/>
      <w:lang w:eastAsia="fr-FR"/>
    </w:rPr>
  </w:style>
  <w:style w:type="paragraph" w:customStyle="1" w:styleId="190">
    <w:name w:val="FIDIC__SectionName"/>
    <w:basedOn w:val="191"/>
    <w:next w:val="191"/>
    <w:qFormat/>
    <w:uiPriority w:val="0"/>
    <w:pPr>
      <w:spacing w:before="100" w:after="300"/>
    </w:pPr>
    <w:rPr>
      <w:sz w:val="30"/>
      <w:szCs w:val="30"/>
    </w:rPr>
  </w:style>
  <w:style w:type="paragraph" w:customStyle="1" w:styleId="191">
    <w:name w:val="FIDIC_ClauseSubName"/>
    <w:basedOn w:val="192"/>
    <w:qFormat/>
    <w:uiPriority w:val="0"/>
    <w:pPr>
      <w:spacing w:before="240" w:line="240" w:lineRule="exact"/>
    </w:pPr>
    <w:rPr>
      <w:sz w:val="24"/>
      <w:szCs w:val="24"/>
    </w:rPr>
  </w:style>
  <w:style w:type="paragraph" w:customStyle="1" w:styleId="192">
    <w:name w:val="FIDIC__CoverTitle"/>
    <w:basedOn w:val="1"/>
    <w:qFormat/>
    <w:uiPriority w:val="0"/>
    <w:pPr>
      <w:spacing w:after="240" w:line="240" w:lineRule="auto"/>
    </w:pPr>
    <w:rPr>
      <w:rFonts w:ascii="Arial" w:hAnsi="Arial" w:eastAsia="Times New Roman" w:cs="Arial"/>
      <w:color w:val="0000CC"/>
      <w:spacing w:val="-5"/>
      <w:sz w:val="40"/>
      <w:szCs w:val="40"/>
      <w:lang w:val="en-GB"/>
    </w:rPr>
  </w:style>
  <w:style w:type="paragraph" w:customStyle="1" w:styleId="193">
    <w:name w:val="FIDIC_ClauseName"/>
    <w:basedOn w:val="191"/>
    <w:next w:val="191"/>
    <w:qFormat/>
    <w:uiPriority w:val="0"/>
    <w:rPr>
      <w:sz w:val="28"/>
      <w:szCs w:val="28"/>
    </w:rPr>
  </w:style>
  <w:style w:type="paragraph" w:customStyle="1" w:styleId="194">
    <w:name w:val="FIDIC_ClauseSubSubPara"/>
    <w:basedOn w:val="191"/>
    <w:qFormat/>
    <w:uiPriority w:val="0"/>
    <w:pPr>
      <w:spacing w:before="100" w:after="100" w:line="220" w:lineRule="exact"/>
    </w:pPr>
    <w:rPr>
      <w:sz w:val="20"/>
      <w:szCs w:val="20"/>
      <w:lang w:val="en-US"/>
    </w:rPr>
  </w:style>
  <w:style w:type="paragraph" w:customStyle="1" w:styleId="195">
    <w:name w:val="FIDIC_ClauseSubSubName"/>
    <w:basedOn w:val="191"/>
    <w:next w:val="194"/>
    <w:qFormat/>
    <w:uiPriority w:val="0"/>
    <w:pPr>
      <w:spacing w:before="120" w:after="120"/>
    </w:pPr>
    <w:rPr>
      <w:rFonts w:ascii="Helvetica Neue" w:hAnsi="Helvetica Neue" w:cs="Times New Roman"/>
      <w:sz w:val="20"/>
      <w:szCs w:val="20"/>
      <w:lang w:val="en-US"/>
    </w:rPr>
  </w:style>
  <w:style w:type="paragraph" w:customStyle="1" w:styleId="196">
    <w:name w:val="FIDIC__SectionEnd"/>
    <w:basedOn w:val="1"/>
    <w:next w:val="190"/>
    <w:qFormat/>
    <w:uiPriority w:val="0"/>
    <w:pPr>
      <w:widowControl w:val="0"/>
      <w:autoSpaceDE w:val="0"/>
      <w:autoSpaceDN w:val="0"/>
      <w:adjustRightInd w:val="0"/>
      <w:spacing w:after="0" w:line="240" w:lineRule="exact"/>
    </w:pPr>
    <w:rPr>
      <w:rFonts w:ascii="Arial" w:hAnsi="Arial" w:eastAsia="Times New Roman" w:cs="Arial"/>
      <w:b/>
      <w:bCs/>
      <w:color w:val="0000CC"/>
      <w:sz w:val="20"/>
      <w:szCs w:val="20"/>
      <w:lang w:eastAsia="fr-FR"/>
    </w:rPr>
  </w:style>
  <w:style w:type="paragraph" w:customStyle="1" w:styleId="197">
    <w:name w:val="sec7-SubClause"/>
    <w:basedOn w:val="171"/>
    <w:qFormat/>
    <w:uiPriority w:val="0"/>
    <w:pPr>
      <w:tabs>
        <w:tab w:val="left" w:pos="573"/>
      </w:tabs>
      <w:spacing w:after="0"/>
      <w:ind w:left="576" w:hanging="576"/>
    </w:pPr>
    <w:rPr>
      <w:bCs/>
      <w:szCs w:val="24"/>
    </w:rPr>
  </w:style>
  <w:style w:type="paragraph" w:customStyle="1" w:styleId="198">
    <w:name w:val="Sec7-Clauses"/>
    <w:basedOn w:val="171"/>
    <w:qFormat/>
    <w:uiPriority w:val="0"/>
    <w:pPr>
      <w:spacing w:after="0"/>
    </w:pPr>
    <w:rPr>
      <w:bCs/>
      <w:szCs w:val="24"/>
    </w:rPr>
  </w:style>
  <w:style w:type="paragraph" w:customStyle="1" w:styleId="199">
    <w:name w:val="sec7-header1"/>
    <w:basedOn w:val="191"/>
    <w:qFormat/>
    <w:uiPriority w:val="0"/>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200">
    <w:name w:val="Section VI Header"/>
    <w:basedOn w:val="179"/>
    <w:qFormat/>
    <w:uiPriority w:val="0"/>
  </w:style>
  <w:style w:type="paragraph" w:customStyle="1" w:styleId="201">
    <w:name w:val="Section IX Header"/>
    <w:basedOn w:val="179"/>
    <w:qFormat/>
    <w:uiPriority w:val="0"/>
  </w:style>
  <w:style w:type="paragraph" w:customStyle="1" w:styleId="202">
    <w:name w:val="Parts"/>
    <w:basedOn w:val="2"/>
    <w:qFormat/>
    <w:uiPriority w:val="0"/>
    <w:pPr>
      <w:keepNext w:val="0"/>
      <w:suppressAutoHyphens/>
      <w:spacing w:before="480" w:after="240" w:line="240" w:lineRule="auto"/>
      <w:jc w:val="center"/>
    </w:pPr>
    <w:rPr>
      <w:rFonts w:ascii="Times New Roman Bold" w:hAnsi="Times New Roman Bold"/>
      <w:bCs w:val="0"/>
      <w:smallCaps/>
      <w:kern w:val="0"/>
      <w:sz w:val="56"/>
      <w:szCs w:val="20"/>
      <w:lang w:val="zh-CN" w:eastAsia="zh-CN"/>
    </w:rPr>
  </w:style>
  <w:style w:type="paragraph" w:customStyle="1" w:styleId="203">
    <w:name w:val="Style Header 1 - Clauses + Left:  0&quot; Hanging:  0.3&quot; After:  0 pt"/>
    <w:basedOn w:val="171"/>
    <w:qFormat/>
    <w:uiPriority w:val="0"/>
    <w:pPr>
      <w:tabs>
        <w:tab w:val="left" w:pos="342"/>
      </w:tabs>
      <w:spacing w:after="0"/>
      <w:ind w:left="342" w:hanging="360"/>
    </w:pPr>
    <w:rPr>
      <w:bCs/>
    </w:rPr>
  </w:style>
  <w:style w:type="paragraph" w:customStyle="1" w:styleId="204">
    <w:name w:val="Style Header 2 - SubClauses + Bold"/>
    <w:basedOn w:val="172"/>
    <w:link w:val="205"/>
    <w:autoRedefine/>
    <w:qFormat/>
    <w:uiPriority w:val="0"/>
    <w:rPr>
      <w:b/>
      <w:bCs/>
    </w:rPr>
  </w:style>
  <w:style w:type="character" w:customStyle="1" w:styleId="205">
    <w:name w:val="Style Header 2 - SubClauses + Bold Char"/>
    <w:link w:val="204"/>
    <w:qFormat/>
    <w:uiPriority w:val="0"/>
    <w:rPr>
      <w:rFonts w:eastAsia="Times New Roman"/>
      <w:b/>
      <w:bCs/>
      <w:color w:val="000000" w:themeColor="text1"/>
      <w:spacing w:val="3"/>
      <w:sz w:val="26"/>
      <w:szCs w:val="26"/>
      <w:shd w:val="clear" w:color="auto" w:fill="FFFFFF"/>
      <w:lang w:eastAsia="zh-CN"/>
      <w14:textFill>
        <w14:solidFill>
          <w14:schemeClr w14:val="tx1"/>
        </w14:solidFill>
      </w14:textFill>
    </w:rPr>
  </w:style>
  <w:style w:type="paragraph" w:customStyle="1" w:styleId="206">
    <w:name w:val="Style Header 1 - Clauses + After:  0 pt"/>
    <w:basedOn w:val="171"/>
    <w:qFormat/>
    <w:uiPriority w:val="0"/>
    <w:pPr>
      <w:jc w:val="both"/>
    </w:pPr>
    <w:rPr>
      <w:b w:val="0"/>
      <w:bCs/>
    </w:rPr>
  </w:style>
  <w:style w:type="paragraph" w:customStyle="1" w:styleId="207">
    <w:name w:val="Style Style Header 1 - Clauses + After:  0 pt + Left:  0&quot; Hanging:..."/>
    <w:basedOn w:val="206"/>
    <w:qFormat/>
    <w:uiPriority w:val="0"/>
    <w:pPr>
      <w:tabs>
        <w:tab w:val="left" w:pos="576"/>
      </w:tabs>
      <w:ind w:left="576" w:hanging="576"/>
    </w:pPr>
    <w:rPr>
      <w:bCs w:val="0"/>
    </w:rPr>
  </w:style>
  <w:style w:type="paragraph" w:customStyle="1" w:styleId="208">
    <w:name w:val="Style Style Header 1 - Clauses + After:  0 pt + Left:  0&quot; Hanging:...1"/>
    <w:basedOn w:val="206"/>
    <w:autoRedefine/>
    <w:qFormat/>
    <w:uiPriority w:val="0"/>
    <w:pPr>
      <w:tabs>
        <w:tab w:val="left" w:pos="576"/>
      </w:tabs>
      <w:spacing w:after="240"/>
      <w:ind w:left="576" w:hanging="576"/>
    </w:pPr>
    <w:rPr>
      <w:bCs w:val="0"/>
    </w:rPr>
  </w:style>
  <w:style w:type="paragraph" w:customStyle="1" w:styleId="209">
    <w:name w:val="Style P3 Header1-Clauses + After:  12 pt"/>
    <w:basedOn w:val="89"/>
    <w:qFormat/>
    <w:uiPriority w:val="0"/>
    <w:pPr>
      <w:tabs>
        <w:tab w:val="left" w:pos="1008"/>
        <w:tab w:val="clear" w:pos="864"/>
      </w:tabs>
      <w:spacing w:after="240"/>
      <w:ind w:left="1008"/>
    </w:pPr>
  </w:style>
  <w:style w:type="paragraph" w:customStyle="1" w:styleId="210">
    <w:name w:val="Style Heading 4Sub-Clause Sub-paragraphClauseSubSub_No&amp;Name + Aft..."/>
    <w:basedOn w:val="5"/>
    <w:qFormat/>
    <w:uiPriority w:val="0"/>
    <w:pPr>
      <w:keepLines w:val="0"/>
      <w:tabs>
        <w:tab w:val="left" w:pos="1512"/>
      </w:tabs>
      <w:spacing w:before="0" w:after="180" w:line="240" w:lineRule="auto"/>
      <w:ind w:left="1512" w:right="18" w:hanging="540"/>
      <w:jc w:val="both"/>
    </w:pPr>
    <w:rPr>
      <w:rFonts w:ascii="Times New Roman" w:hAnsi="Times New Roman"/>
      <w:i w:val="0"/>
      <w:iCs w:val="0"/>
      <w:color w:val="auto"/>
      <w:sz w:val="24"/>
      <w:szCs w:val="20"/>
    </w:rPr>
  </w:style>
  <w:style w:type="paragraph" w:customStyle="1" w:styleId="211">
    <w:name w:val="Section 7 heading 3"/>
    <w:basedOn w:val="4"/>
    <w:qFormat/>
    <w:uiPriority w:val="0"/>
    <w:pPr>
      <w:keepNext w:val="0"/>
      <w:suppressAutoHyphens/>
      <w:spacing w:before="0" w:after="0" w:line="240" w:lineRule="auto"/>
      <w:jc w:val="center"/>
    </w:pPr>
    <w:rPr>
      <w:rFonts w:ascii="Times New Roman" w:hAnsi="Times New Roman"/>
      <w:bCs w:val="0"/>
      <w:sz w:val="28"/>
      <w:szCs w:val="20"/>
      <w:lang w:val="zh-CN" w:eastAsia="zh-CN"/>
    </w:rPr>
  </w:style>
  <w:style w:type="paragraph" w:customStyle="1" w:styleId="212">
    <w:name w:val="Section 7 heading 4"/>
    <w:basedOn w:val="4"/>
    <w:link w:val="213"/>
    <w:qFormat/>
    <w:uiPriority w:val="0"/>
    <w:pPr>
      <w:keepNext w:val="0"/>
      <w:tabs>
        <w:tab w:val="left" w:pos="576"/>
      </w:tabs>
      <w:suppressAutoHyphens/>
      <w:spacing w:before="0" w:after="0" w:line="240" w:lineRule="auto"/>
      <w:ind w:left="576" w:hanging="576"/>
    </w:pPr>
    <w:rPr>
      <w:rFonts w:ascii="Times New Roman" w:hAnsi="Times New Roman"/>
      <w:bCs w:val="0"/>
      <w:sz w:val="24"/>
      <w:szCs w:val="20"/>
      <w:lang w:val="zh-CN" w:eastAsia="zh-CN"/>
    </w:rPr>
  </w:style>
  <w:style w:type="character" w:customStyle="1" w:styleId="213">
    <w:name w:val="Section 7 heading 4 Char"/>
    <w:link w:val="212"/>
    <w:qFormat/>
    <w:uiPriority w:val="0"/>
    <w:rPr>
      <w:rFonts w:eastAsia="Times New Roman"/>
      <w:b/>
      <w:sz w:val="24"/>
      <w:lang w:val="zh-CN" w:eastAsia="zh-CN"/>
    </w:rPr>
  </w:style>
  <w:style w:type="paragraph" w:customStyle="1" w:styleId="214">
    <w:name w:val="Section 7 heading 5"/>
    <w:basedOn w:val="4"/>
    <w:qFormat/>
    <w:uiPriority w:val="0"/>
    <w:pPr>
      <w:keepNext w:val="0"/>
      <w:suppressAutoHyphens/>
      <w:spacing w:before="0" w:after="0" w:line="240" w:lineRule="auto"/>
      <w:jc w:val="both"/>
    </w:pPr>
    <w:rPr>
      <w:rFonts w:ascii="Times New Roman" w:hAnsi="Times New Roman"/>
      <w:bCs w:val="0"/>
      <w:sz w:val="24"/>
      <w:szCs w:val="20"/>
      <w:lang w:val="zh-CN" w:eastAsia="zh-CN"/>
    </w:rPr>
  </w:style>
  <w:style w:type="paragraph" w:customStyle="1" w:styleId="215">
    <w:name w:val="Style Section 7 heading 3 + After:  10 pt"/>
    <w:basedOn w:val="211"/>
    <w:qFormat/>
    <w:uiPriority w:val="0"/>
    <w:pPr>
      <w:spacing w:after="200"/>
    </w:pPr>
    <w:rPr>
      <w:rFonts w:ascii="Times New Roman Bold" w:hAnsi="Times New Roman Bold"/>
      <w:bCs/>
      <w:szCs w:val="28"/>
    </w:rPr>
  </w:style>
  <w:style w:type="paragraph" w:customStyle="1" w:styleId="216">
    <w:name w:val="Style TOC 1 + Before:  8 pt"/>
    <w:basedOn w:val="71"/>
    <w:qFormat/>
    <w:uiPriority w:val="0"/>
    <w:pPr>
      <w:tabs>
        <w:tab w:val="right" w:pos="720"/>
      </w:tabs>
      <w:spacing w:before="160"/>
    </w:pPr>
    <w:rPr>
      <w:bCs/>
    </w:rPr>
  </w:style>
  <w:style w:type="paragraph" w:customStyle="1" w:styleId="217">
    <w:name w:val="Style ClauseSub_List + 12 pt Justified After:  10 pt"/>
    <w:basedOn w:val="183"/>
    <w:qFormat/>
    <w:uiPriority w:val="0"/>
    <w:pPr>
      <w:spacing w:after="200"/>
      <w:jc w:val="both"/>
    </w:pPr>
    <w:rPr>
      <w:sz w:val="24"/>
      <w:szCs w:val="24"/>
    </w:rPr>
  </w:style>
  <w:style w:type="paragraph" w:customStyle="1" w:styleId="218">
    <w:name w:val="UG - Sec 3 - Heading 2"/>
    <w:basedOn w:val="219"/>
    <w:qFormat/>
    <w:uiPriority w:val="0"/>
  </w:style>
  <w:style w:type="paragraph" w:customStyle="1" w:styleId="219">
    <w:name w:val="UG - Heading 2"/>
    <w:basedOn w:val="3"/>
    <w:next w:val="1"/>
    <w:qFormat/>
    <w:uiPriority w:val="0"/>
    <w:pPr>
      <w:pBdr>
        <w:bottom w:val="none" w:color="auto" w:sz="0" w:space="0"/>
      </w:pBdr>
    </w:pPr>
    <w:rPr>
      <w:sz w:val="32"/>
      <w:szCs w:val="28"/>
    </w:rPr>
  </w:style>
  <w:style w:type="paragraph" w:customStyle="1" w:styleId="220">
    <w:name w:val="titulo"/>
    <w:basedOn w:val="6"/>
    <w:qFormat/>
    <w:uiPriority w:val="0"/>
    <w:pPr>
      <w:keepNext w:val="0"/>
      <w:spacing w:after="240"/>
    </w:pPr>
    <w:rPr>
      <w:rFonts w:ascii="Times New Roman Bold" w:hAnsi="Times New Roman Bold"/>
      <w:b/>
      <w:u w:val="none"/>
    </w:rPr>
  </w:style>
  <w:style w:type="paragraph" w:customStyle="1" w:styleId="221">
    <w:name w:val="Default Paragraph Font1"/>
    <w:next w:val="1"/>
    <w:qFormat/>
    <w:uiPriority w:val="0"/>
    <w:pPr>
      <w:tabs>
        <w:tab w:val="left" w:pos="567"/>
      </w:tabs>
    </w:pPr>
    <w:rPr>
      <w:rFonts w:ascii="‚l‚r –¾’©" w:hAnsi="‚l‚r –¾’©" w:eastAsia="Times New Roman" w:cs="‚l‚r –¾’©"/>
      <w:sz w:val="21"/>
      <w:lang w:val="en-GB" w:eastAsia="en-GB" w:bidi="ar-SA"/>
    </w:rPr>
  </w:style>
  <w:style w:type="paragraph" w:customStyle="1" w:styleId="222">
    <w:name w:val="Title1"/>
    <w:basedOn w:val="1"/>
    <w:qFormat/>
    <w:uiPriority w:val="0"/>
    <w:pPr>
      <w:suppressAutoHyphens/>
      <w:spacing w:after="0" w:line="240" w:lineRule="auto"/>
    </w:pPr>
    <w:rPr>
      <w:rFonts w:ascii="Times New Roman Bold" w:hAnsi="Times New Roman Bold" w:eastAsia="Times New Roman"/>
      <w:b/>
      <w:sz w:val="36"/>
      <w:szCs w:val="20"/>
    </w:rPr>
  </w:style>
  <w:style w:type="character" w:customStyle="1" w:styleId="223">
    <w:name w:val="Comment Subject Char"/>
    <w:link w:val="24"/>
    <w:qFormat/>
    <w:uiPriority w:val="0"/>
    <w:rPr>
      <w:rFonts w:eastAsia="Times New Roman"/>
      <w:b/>
      <w:bCs/>
      <w:lang w:val="zh-CN" w:eastAsia="zh-CN"/>
    </w:rPr>
  </w:style>
  <w:style w:type="paragraph" w:customStyle="1" w:styleId="224">
    <w:name w:val="Style Section 7 heading 5 + Left Left:  0&quot; Hanging:  0.49&quot;"/>
    <w:basedOn w:val="214"/>
    <w:qFormat/>
    <w:uiPriority w:val="0"/>
    <w:pPr>
      <w:ind w:left="706" w:hanging="706"/>
      <w:jc w:val="left"/>
    </w:pPr>
    <w:rPr>
      <w:bCs/>
    </w:rPr>
  </w:style>
  <w:style w:type="paragraph" w:customStyle="1" w:styleId="225">
    <w:name w:val="Block Quotation"/>
    <w:basedOn w:val="1"/>
    <w:qFormat/>
    <w:uiPriority w:val="0"/>
    <w:pPr>
      <w:spacing w:after="0" w:line="240" w:lineRule="auto"/>
      <w:ind w:left="855" w:right="-72" w:hanging="315"/>
      <w:jc w:val="both"/>
    </w:pPr>
    <w:rPr>
      <w:rFonts w:eastAsia="Times New Roman"/>
      <w:sz w:val="24"/>
      <w:szCs w:val="20"/>
      <w:lang w:val="en-GB" w:eastAsia="fr-FR"/>
    </w:rPr>
  </w:style>
  <w:style w:type="paragraph" w:customStyle="1" w:styleId="226">
    <w:name w:val="Header 3 - Paragraph"/>
    <w:basedOn w:val="1"/>
    <w:qFormat/>
    <w:uiPriority w:val="0"/>
    <w:pPr>
      <w:tabs>
        <w:tab w:val="left" w:pos="864"/>
        <w:tab w:val="left" w:pos="1152"/>
      </w:tabs>
      <w:spacing w:after="200" w:line="240" w:lineRule="auto"/>
      <w:ind w:left="1238" w:hanging="619"/>
      <w:jc w:val="both"/>
    </w:pPr>
    <w:rPr>
      <w:rFonts w:eastAsia="Times New Roman"/>
      <w:sz w:val="24"/>
      <w:szCs w:val="20"/>
      <w:lang w:eastAsia="fr-FR"/>
    </w:rPr>
  </w:style>
  <w:style w:type="paragraph" w:customStyle="1" w:styleId="227">
    <w:name w:val="outlinebullet"/>
    <w:basedOn w:val="1"/>
    <w:qFormat/>
    <w:uiPriority w:val="0"/>
    <w:pPr>
      <w:tabs>
        <w:tab w:val="left" w:pos="720"/>
        <w:tab w:val="left" w:pos="1037"/>
        <w:tab w:val="left" w:pos="1440"/>
      </w:tabs>
      <w:spacing w:before="120" w:after="0" w:line="240" w:lineRule="auto"/>
      <w:ind w:left="1440" w:hanging="450"/>
    </w:pPr>
    <w:rPr>
      <w:rFonts w:eastAsia="Times New Roman"/>
      <w:sz w:val="24"/>
      <w:szCs w:val="20"/>
      <w:lang w:eastAsia="fr-FR"/>
    </w:rPr>
  </w:style>
  <w:style w:type="paragraph" w:customStyle="1" w:styleId="228">
    <w:name w:val="Outline1"/>
    <w:basedOn w:val="177"/>
    <w:next w:val="229"/>
    <w:qFormat/>
    <w:uiPriority w:val="0"/>
    <w:pPr>
      <w:keepNext/>
      <w:tabs>
        <w:tab w:val="left" w:pos="360"/>
        <w:tab w:val="left" w:pos="420"/>
      </w:tabs>
      <w:ind w:left="360" w:hanging="360"/>
    </w:pPr>
    <w:rPr>
      <w:lang w:eastAsia="fr-FR"/>
    </w:rPr>
  </w:style>
  <w:style w:type="paragraph" w:customStyle="1" w:styleId="229">
    <w:name w:val="Outline2"/>
    <w:basedOn w:val="1"/>
    <w:qFormat/>
    <w:uiPriority w:val="0"/>
    <w:pPr>
      <w:tabs>
        <w:tab w:val="left" w:pos="360"/>
        <w:tab w:val="left" w:pos="420"/>
        <w:tab w:val="left" w:pos="864"/>
      </w:tabs>
      <w:spacing w:before="240" w:after="0" w:line="240" w:lineRule="auto"/>
      <w:ind w:left="864" w:hanging="504"/>
    </w:pPr>
    <w:rPr>
      <w:rFonts w:eastAsia="Times New Roman"/>
      <w:kern w:val="28"/>
      <w:sz w:val="24"/>
      <w:szCs w:val="20"/>
      <w:lang w:eastAsia="fr-FR"/>
    </w:rPr>
  </w:style>
  <w:style w:type="paragraph" w:customStyle="1" w:styleId="230">
    <w:name w:val="a1 1"/>
    <w:qFormat/>
    <w:uiPriority w:val="0"/>
    <w:pPr>
      <w:widowControl w:val="0"/>
      <w:tabs>
        <w:tab w:val="left" w:pos="-720"/>
      </w:tabs>
      <w:suppressAutoHyphens/>
    </w:pPr>
    <w:rPr>
      <w:rFonts w:ascii="CG Times" w:hAnsi="CG Times" w:eastAsia="Times New Roman" w:cs="Times New Roman"/>
      <w:sz w:val="24"/>
      <w:lang w:val="en-US" w:eastAsia="en-US" w:bidi="ar-SA"/>
    </w:rPr>
  </w:style>
  <w:style w:type="paragraph" w:customStyle="1" w:styleId="231">
    <w:name w:val="REGULAR 3"/>
    <w:qFormat/>
    <w:uiPriority w:val="0"/>
    <w:pPr>
      <w:widowControl w:val="0"/>
      <w:tabs>
        <w:tab w:val="left" w:pos="0"/>
        <w:tab w:val="right" w:pos="1560"/>
        <w:tab w:val="left" w:pos="1800"/>
        <w:tab w:val="left" w:pos="2160"/>
      </w:tabs>
      <w:suppressAutoHyphens/>
    </w:pPr>
    <w:rPr>
      <w:rFonts w:ascii="CG Times" w:hAnsi="CG Times" w:eastAsia="Times New Roman" w:cs="Times New Roman"/>
      <w:sz w:val="24"/>
      <w:lang w:val="en-US" w:eastAsia="en-US" w:bidi="ar-SA"/>
    </w:rPr>
  </w:style>
  <w:style w:type="character" w:customStyle="1" w:styleId="232">
    <w:name w:val="Heading 3 Char Char"/>
    <w:qFormat/>
    <w:uiPriority w:val="0"/>
    <w:rPr>
      <w:sz w:val="24"/>
      <w:lang w:val="en-US" w:eastAsia="fr-FR" w:bidi="ar-SA"/>
    </w:rPr>
  </w:style>
  <w:style w:type="paragraph" w:customStyle="1" w:styleId="233">
    <w:name w:val="UG Header 1"/>
    <w:basedOn w:val="2"/>
    <w:next w:val="1"/>
    <w:qFormat/>
    <w:uiPriority w:val="0"/>
    <w:pPr>
      <w:keepNext w:val="0"/>
      <w:suppressAutoHyphens/>
      <w:spacing w:after="240" w:line="240" w:lineRule="auto"/>
      <w:jc w:val="center"/>
    </w:pPr>
    <w:rPr>
      <w:rFonts w:ascii="Times New Roman Bold" w:hAnsi="Times New Roman Bold"/>
      <w:bCs w:val="0"/>
      <w:kern w:val="0"/>
      <w:sz w:val="36"/>
      <w:szCs w:val="20"/>
      <w:lang w:val="zh-CN" w:eastAsia="zh-CN"/>
    </w:rPr>
  </w:style>
  <w:style w:type="paragraph" w:customStyle="1" w:styleId="234">
    <w:name w:val="UG - Sec 3 - Heading 3"/>
    <w:basedOn w:val="1"/>
    <w:qFormat/>
    <w:uiPriority w:val="0"/>
    <w:pPr>
      <w:autoSpaceDE w:val="0"/>
      <w:autoSpaceDN w:val="0"/>
      <w:adjustRightInd w:val="0"/>
      <w:spacing w:after="200" w:line="240" w:lineRule="auto"/>
    </w:pPr>
    <w:rPr>
      <w:rFonts w:eastAsia="Times New Roman" w:cs="Arial-BoldMT"/>
      <w:b/>
      <w:bCs/>
      <w:color w:val="000000"/>
      <w:sz w:val="24"/>
      <w:szCs w:val="20"/>
    </w:rPr>
  </w:style>
  <w:style w:type="paragraph" w:customStyle="1" w:styleId="235">
    <w:name w:val="UG - Sec 3b - Heading 2"/>
    <w:basedOn w:val="218"/>
    <w:qFormat/>
    <w:uiPriority w:val="0"/>
  </w:style>
  <w:style w:type="paragraph" w:customStyle="1" w:styleId="236">
    <w:name w:val="UG - Sec 3b - Heading 3"/>
    <w:basedOn w:val="234"/>
    <w:qFormat/>
    <w:uiPriority w:val="0"/>
  </w:style>
  <w:style w:type="paragraph" w:customStyle="1" w:styleId="237">
    <w:name w:val="UG - Sec 3b - Heading 4"/>
    <w:basedOn w:val="1"/>
    <w:qFormat/>
    <w:uiPriority w:val="0"/>
    <w:pPr>
      <w:autoSpaceDE w:val="0"/>
      <w:autoSpaceDN w:val="0"/>
      <w:adjustRightInd w:val="0"/>
      <w:spacing w:before="120" w:after="200" w:line="240" w:lineRule="auto"/>
      <w:ind w:left="720" w:hanging="720"/>
      <w:jc w:val="both"/>
    </w:pPr>
    <w:rPr>
      <w:rFonts w:eastAsia="Times New Roman" w:cs="Arial-BoldMT"/>
      <w:bCs/>
      <w:color w:val="000000"/>
      <w:sz w:val="24"/>
      <w:szCs w:val="20"/>
    </w:rPr>
  </w:style>
  <w:style w:type="paragraph" w:customStyle="1" w:styleId="238">
    <w:name w:val="S4-header1"/>
    <w:basedOn w:val="1"/>
    <w:qFormat/>
    <w:uiPriority w:val="0"/>
    <w:pPr>
      <w:spacing w:before="120" w:after="240" w:line="240" w:lineRule="auto"/>
      <w:jc w:val="center"/>
    </w:pPr>
    <w:rPr>
      <w:rFonts w:eastAsia="Times New Roman"/>
      <w:b/>
      <w:sz w:val="36"/>
      <w:szCs w:val="20"/>
    </w:rPr>
  </w:style>
  <w:style w:type="paragraph" w:customStyle="1" w:styleId="239">
    <w:name w:val="Section V. Heading 2"/>
    <w:basedOn w:val="179"/>
    <w:qFormat/>
    <w:uiPriority w:val="0"/>
    <w:pPr>
      <w:spacing w:before="120" w:after="200"/>
    </w:pPr>
    <w:rPr>
      <w:sz w:val="28"/>
    </w:rPr>
  </w:style>
  <w:style w:type="paragraph" w:customStyle="1" w:styleId="240">
    <w:name w:val="UG-Sec 4 - heading 3"/>
    <w:basedOn w:val="1"/>
    <w:qFormat/>
    <w:uiPriority w:val="0"/>
    <w:pPr>
      <w:spacing w:before="120" w:after="200" w:line="240" w:lineRule="auto"/>
      <w:jc w:val="center"/>
    </w:pPr>
    <w:rPr>
      <w:rFonts w:eastAsia="Times New Roman"/>
      <w:b/>
    </w:rPr>
  </w:style>
  <w:style w:type="paragraph" w:customStyle="1" w:styleId="241">
    <w:name w:val="Section 1 Header 2"/>
    <w:basedOn w:val="203"/>
    <w:qFormat/>
    <w:uiPriority w:val="0"/>
  </w:style>
  <w:style w:type="paragraph" w:customStyle="1" w:styleId="242">
    <w:name w:val="Section 1 Header 1"/>
    <w:basedOn w:val="16"/>
    <w:qFormat/>
    <w:uiPriority w:val="0"/>
    <w:pPr>
      <w:spacing w:before="120" w:after="200"/>
      <w:jc w:val="center"/>
    </w:pPr>
    <w:rPr>
      <w:b/>
      <w:bCs/>
      <w:i w:val="0"/>
      <w:iCs/>
      <w:sz w:val="28"/>
    </w:rPr>
  </w:style>
  <w:style w:type="paragraph" w:customStyle="1" w:styleId="243">
    <w:name w:val="Section 4 heading"/>
    <w:basedOn w:val="1"/>
    <w:next w:val="1"/>
    <w:qFormat/>
    <w:uiPriority w:val="0"/>
    <w:pPr>
      <w:widowControl w:val="0"/>
      <w:tabs>
        <w:tab w:val="left" w:leader="dot" w:pos="8748"/>
      </w:tabs>
      <w:autoSpaceDE w:val="0"/>
      <w:autoSpaceDN w:val="0"/>
      <w:spacing w:after="240" w:line="240" w:lineRule="auto"/>
      <w:jc w:val="center"/>
    </w:pPr>
    <w:rPr>
      <w:rFonts w:eastAsia="Times New Roman"/>
      <w:b/>
      <w:sz w:val="36"/>
      <w:szCs w:val="24"/>
    </w:rPr>
  </w:style>
  <w:style w:type="paragraph" w:customStyle="1" w:styleId="244">
    <w:name w:val="Sec3 header"/>
    <w:basedOn w:val="103"/>
    <w:qFormat/>
    <w:uiPriority w:val="0"/>
    <w:pPr>
      <w:tabs>
        <w:tab w:val="left" w:leader="dot" w:pos="8424"/>
      </w:tabs>
      <w:spacing w:before="80" w:line="240" w:lineRule="auto"/>
    </w:pPr>
    <w:rPr>
      <w:rFonts w:ascii="Arial" w:hAnsi="Arial" w:cs="Arial"/>
      <w:b/>
      <w:sz w:val="22"/>
      <w:szCs w:val="20"/>
    </w:rPr>
  </w:style>
  <w:style w:type="paragraph" w:customStyle="1" w:styleId="245">
    <w:name w:val="Style 19"/>
    <w:basedOn w:val="1"/>
    <w:qFormat/>
    <w:uiPriority w:val="0"/>
    <w:pPr>
      <w:widowControl w:val="0"/>
      <w:autoSpaceDE w:val="0"/>
      <w:autoSpaceDN w:val="0"/>
      <w:adjustRightInd w:val="0"/>
      <w:spacing w:after="0" w:line="240" w:lineRule="auto"/>
    </w:pPr>
    <w:rPr>
      <w:rFonts w:eastAsia="Times New Roman"/>
      <w:sz w:val="24"/>
      <w:szCs w:val="24"/>
    </w:rPr>
  </w:style>
  <w:style w:type="paragraph" w:customStyle="1" w:styleId="246">
    <w:name w:val="Style 17"/>
    <w:basedOn w:val="1"/>
    <w:qFormat/>
    <w:uiPriority w:val="0"/>
    <w:pPr>
      <w:widowControl w:val="0"/>
      <w:autoSpaceDE w:val="0"/>
      <w:autoSpaceDN w:val="0"/>
      <w:spacing w:after="0" w:line="264" w:lineRule="exact"/>
      <w:ind w:left="576" w:hanging="360"/>
    </w:pPr>
    <w:rPr>
      <w:rFonts w:eastAsia="Times New Roman"/>
      <w:sz w:val="24"/>
      <w:szCs w:val="24"/>
    </w:rPr>
  </w:style>
  <w:style w:type="paragraph" w:customStyle="1" w:styleId="247">
    <w:name w:val="Style 20"/>
    <w:basedOn w:val="1"/>
    <w:qFormat/>
    <w:uiPriority w:val="0"/>
    <w:pPr>
      <w:widowControl w:val="0"/>
      <w:autoSpaceDE w:val="0"/>
      <w:autoSpaceDN w:val="0"/>
      <w:spacing w:before="144" w:after="360" w:line="264" w:lineRule="exact"/>
    </w:pPr>
    <w:rPr>
      <w:rFonts w:eastAsia="Times New Roman"/>
      <w:sz w:val="24"/>
      <w:szCs w:val="24"/>
    </w:rPr>
  </w:style>
  <w:style w:type="paragraph" w:customStyle="1" w:styleId="248">
    <w:name w:val="Header1"/>
    <w:basedOn w:val="1"/>
    <w:qFormat/>
    <w:uiPriority w:val="0"/>
    <w:pPr>
      <w:widowControl w:val="0"/>
      <w:autoSpaceDE w:val="0"/>
      <w:autoSpaceDN w:val="0"/>
      <w:spacing w:before="240" w:after="480" w:line="240" w:lineRule="auto"/>
      <w:jc w:val="center"/>
    </w:pPr>
    <w:rPr>
      <w:rFonts w:eastAsia="Times New Roman"/>
      <w:b/>
      <w:bCs/>
      <w:spacing w:val="4"/>
      <w:sz w:val="44"/>
      <w:szCs w:val="46"/>
    </w:rPr>
  </w:style>
  <w:style w:type="paragraph" w:customStyle="1" w:styleId="249">
    <w:name w:val="Default"/>
    <w:qFormat/>
    <w:uiPriority w:val="0"/>
    <w:pPr>
      <w:autoSpaceDE w:val="0"/>
      <w:autoSpaceDN w:val="0"/>
      <w:adjustRightInd w:val="0"/>
    </w:pPr>
    <w:rPr>
      <w:rFonts w:ascii="Times New Roman" w:hAnsi="Times New Roman" w:eastAsia="Times New Roman" w:cs="Times New Roman"/>
      <w:color w:val="000000"/>
      <w:sz w:val="24"/>
      <w:szCs w:val="24"/>
      <w:lang w:val="en-US" w:eastAsia="en-US" w:bidi="ar-SA"/>
    </w:rPr>
  </w:style>
  <w:style w:type="paragraph" w:customStyle="1" w:styleId="250">
    <w:name w:val="Head1"/>
    <w:basedOn w:val="1"/>
    <w:qFormat/>
    <w:uiPriority w:val="0"/>
    <w:pPr>
      <w:suppressAutoHyphens/>
      <w:spacing w:after="100" w:line="240" w:lineRule="auto"/>
      <w:jc w:val="center"/>
    </w:pPr>
    <w:rPr>
      <w:rFonts w:ascii="Times New Roman Bold" w:hAnsi="Times New Roman Bold" w:eastAsia="Times New Roman"/>
      <w:b/>
      <w:sz w:val="24"/>
      <w:szCs w:val="20"/>
    </w:rPr>
  </w:style>
  <w:style w:type="paragraph" w:customStyle="1" w:styleId="251">
    <w:name w:val="Style 12"/>
    <w:basedOn w:val="1"/>
    <w:qFormat/>
    <w:uiPriority w:val="0"/>
    <w:pPr>
      <w:widowControl w:val="0"/>
      <w:autoSpaceDE w:val="0"/>
      <w:autoSpaceDN w:val="0"/>
      <w:spacing w:after="0" w:line="264" w:lineRule="exact"/>
      <w:ind w:hanging="576"/>
      <w:jc w:val="both"/>
    </w:pPr>
    <w:rPr>
      <w:rFonts w:eastAsia="Times New Roman"/>
      <w:sz w:val="24"/>
      <w:szCs w:val="24"/>
    </w:rPr>
  </w:style>
  <w:style w:type="paragraph" w:customStyle="1" w:styleId="252">
    <w:name w:val="Text Box"/>
    <w:qFormat/>
    <w:uiPriority w:val="0"/>
    <w:pPr>
      <w:keepNext/>
      <w:keepLines/>
      <w:tabs>
        <w:tab w:val="left" w:pos="-720"/>
      </w:tabs>
      <w:suppressAutoHyphens/>
      <w:jc w:val="both"/>
    </w:pPr>
    <w:rPr>
      <w:rFonts w:ascii="Times New Roman" w:hAnsi="Times New Roman" w:eastAsia="Times New Roman" w:cs="Times New Roman"/>
      <w:spacing w:val="-2"/>
      <w:sz w:val="22"/>
      <w:lang w:val="en-US" w:eastAsia="en-US" w:bidi="ar-SA"/>
    </w:rPr>
  </w:style>
  <w:style w:type="paragraph" w:customStyle="1" w:styleId="253">
    <w:name w:val="Heading 1- Clause name"/>
    <w:basedOn w:val="1"/>
    <w:qFormat/>
    <w:uiPriority w:val="0"/>
    <w:pPr>
      <w:tabs>
        <w:tab w:val="left" w:pos="360"/>
      </w:tabs>
      <w:spacing w:before="120" w:after="120" w:line="240" w:lineRule="auto"/>
      <w:ind w:left="360" w:hanging="360"/>
    </w:pPr>
    <w:rPr>
      <w:rFonts w:eastAsia="Times New Roman"/>
      <w:b/>
      <w:sz w:val="24"/>
      <w:szCs w:val="20"/>
    </w:rPr>
  </w:style>
  <w:style w:type="paragraph" w:customStyle="1" w:styleId="254">
    <w:name w:val="sec7-clauses"/>
    <w:basedOn w:val="253"/>
    <w:qFormat/>
    <w:uiPriority w:val="0"/>
  </w:style>
  <w:style w:type="paragraph" w:customStyle="1" w:styleId="255">
    <w:name w:val="Section VI. Header"/>
    <w:basedOn w:val="179"/>
    <w:qFormat/>
    <w:uiPriority w:val="0"/>
    <w:pPr>
      <w:spacing w:before="120" w:after="240"/>
    </w:pPr>
  </w:style>
  <w:style w:type="character" w:customStyle="1" w:styleId="256">
    <w:name w:val="Document Map Char"/>
    <w:link w:val="26"/>
    <w:qFormat/>
    <w:uiPriority w:val="0"/>
    <w:rPr>
      <w:rFonts w:ascii="Tahoma" w:hAnsi="Tahoma" w:eastAsia="Times New Roman"/>
      <w:sz w:val="24"/>
      <w:shd w:val="clear" w:color="auto" w:fill="000080"/>
      <w:lang w:val="zh-CN" w:eastAsia="zh-CN"/>
    </w:rPr>
  </w:style>
  <w:style w:type="paragraph" w:customStyle="1" w:styleId="257">
    <w:name w:val="Head 1.2"/>
    <w:basedOn w:val="1"/>
    <w:qFormat/>
    <w:uiPriority w:val="0"/>
    <w:pPr>
      <w:tabs>
        <w:tab w:val="left" w:pos="360"/>
      </w:tabs>
      <w:spacing w:after="0" w:line="240" w:lineRule="auto"/>
      <w:ind w:left="360" w:hanging="360"/>
      <w:jc w:val="both"/>
    </w:pPr>
    <w:rPr>
      <w:rFonts w:ascii="Arial" w:hAnsi="Arial" w:eastAsia="Times New Roman"/>
      <w:sz w:val="20"/>
      <w:szCs w:val="20"/>
    </w:rPr>
  </w:style>
  <w:style w:type="paragraph" w:customStyle="1" w:styleId="258">
    <w:name w:val="ChapterNumber"/>
    <w:qFormat/>
    <w:uiPriority w:val="0"/>
    <w:pPr>
      <w:tabs>
        <w:tab w:val="left" w:pos="-720"/>
      </w:tabs>
      <w:suppressAutoHyphens/>
    </w:pPr>
    <w:rPr>
      <w:rFonts w:ascii="CG Times" w:hAnsi="CG Times" w:eastAsia="Times New Roman" w:cs="Times New Roman"/>
      <w:sz w:val="22"/>
      <w:lang w:val="en-US" w:eastAsia="en-US" w:bidi="ar-SA"/>
    </w:rPr>
  </w:style>
  <w:style w:type="paragraph" w:customStyle="1" w:styleId="259">
    <w:name w:val="Heading 1a"/>
    <w:qFormat/>
    <w:uiPriority w:val="0"/>
    <w:pPr>
      <w:keepNext/>
      <w:keepLines/>
      <w:tabs>
        <w:tab w:val="left" w:pos="-720"/>
      </w:tabs>
      <w:suppressAutoHyphens/>
      <w:jc w:val="center"/>
    </w:pPr>
    <w:rPr>
      <w:rFonts w:ascii="Times New Roman" w:hAnsi="Times New Roman" w:eastAsia="Times New Roman" w:cs="Times New Roman"/>
      <w:b/>
      <w:smallCaps/>
      <w:sz w:val="32"/>
      <w:lang w:val="en-US" w:eastAsia="en-US" w:bidi="ar-SA"/>
    </w:rPr>
  </w:style>
  <w:style w:type="paragraph" w:customStyle="1" w:styleId="260">
    <w:name w:val="Section III Heading 1"/>
    <w:qFormat/>
    <w:uiPriority w:val="0"/>
    <w:pPr>
      <w:spacing w:before="120" w:after="240"/>
    </w:pPr>
    <w:rPr>
      <w:rFonts w:ascii="Times New Roman" w:hAnsi="Times New Roman" w:eastAsia="Times New Roman" w:cs="Times New Roman"/>
      <w:b/>
      <w:sz w:val="24"/>
      <w:lang w:val="en-US" w:eastAsia="en-US" w:bidi="ar-SA"/>
    </w:rPr>
  </w:style>
  <w:style w:type="character" w:customStyle="1" w:styleId="261">
    <w:name w:val="Heading 1 Char1"/>
    <w:qFormat/>
    <w:uiPriority w:val="0"/>
    <w:rPr>
      <w:rFonts w:ascii="Cambria" w:hAnsi="Cambria" w:eastAsia="Times New Roman" w:cs="Times New Roman"/>
      <w:b/>
      <w:bCs/>
      <w:color w:val="365F91"/>
      <w:sz w:val="28"/>
      <w:szCs w:val="28"/>
    </w:rPr>
  </w:style>
  <w:style w:type="character" w:customStyle="1" w:styleId="262">
    <w:name w:val="st"/>
    <w:basedOn w:val="11"/>
    <w:qFormat/>
    <w:uiPriority w:val="0"/>
  </w:style>
  <w:style w:type="paragraph" w:customStyle="1" w:styleId="263">
    <w:name w:val="plane"/>
    <w:basedOn w:val="1"/>
    <w:qFormat/>
    <w:uiPriority w:val="0"/>
    <w:pPr>
      <w:suppressAutoHyphens/>
      <w:spacing w:after="0" w:line="240" w:lineRule="auto"/>
      <w:jc w:val="both"/>
    </w:pPr>
    <w:rPr>
      <w:rFonts w:ascii="Tms Rmn" w:hAnsi="Tms Rmn" w:eastAsia="Times New Roman"/>
      <w:sz w:val="24"/>
      <w:szCs w:val="20"/>
    </w:rPr>
  </w:style>
  <w:style w:type="paragraph" w:customStyle="1" w:styleId="264">
    <w:name w:val="S1-Header2"/>
    <w:basedOn w:val="1"/>
    <w:qFormat/>
    <w:uiPriority w:val="0"/>
    <w:pPr>
      <w:tabs>
        <w:tab w:val="left" w:pos="360"/>
      </w:tabs>
      <w:spacing w:after="200" w:line="240" w:lineRule="auto"/>
    </w:pPr>
    <w:rPr>
      <w:rFonts w:eastAsia="Times New Roman"/>
      <w:b/>
      <w:sz w:val="24"/>
      <w:szCs w:val="24"/>
    </w:rPr>
  </w:style>
  <w:style w:type="paragraph" w:customStyle="1" w:styleId="265">
    <w:name w:val="S4-Header 2"/>
    <w:basedOn w:val="1"/>
    <w:qFormat/>
    <w:uiPriority w:val="0"/>
    <w:pPr>
      <w:spacing w:before="120" w:after="240" w:line="240" w:lineRule="auto"/>
      <w:jc w:val="center"/>
    </w:pPr>
    <w:rPr>
      <w:rFonts w:eastAsia="Times New Roman"/>
      <w:b/>
      <w:sz w:val="32"/>
      <w:szCs w:val="24"/>
    </w:rPr>
  </w:style>
  <w:style w:type="character" w:customStyle="1" w:styleId="266">
    <w:name w:val="Message Header Char"/>
    <w:link w:val="59"/>
    <w:qFormat/>
    <w:uiPriority w:val="0"/>
    <w:rPr>
      <w:rFonts w:ascii="Arial" w:hAnsi="Arial" w:eastAsia="Times New Roman"/>
      <w:sz w:val="24"/>
      <w:szCs w:val="24"/>
      <w:shd w:val="pct20" w:color="auto" w:fill="auto"/>
      <w:lang w:val="zh-CN" w:eastAsia="zh-CN"/>
    </w:rPr>
  </w:style>
  <w:style w:type="character" w:customStyle="1" w:styleId="267">
    <w:name w:val="Note Heading Char"/>
    <w:link w:val="62"/>
    <w:qFormat/>
    <w:uiPriority w:val="0"/>
    <w:rPr>
      <w:rFonts w:eastAsia="Times New Roman"/>
      <w:sz w:val="24"/>
      <w:lang w:val="zh-CN" w:eastAsia="zh-CN"/>
    </w:rPr>
  </w:style>
  <w:style w:type="paragraph" w:customStyle="1" w:styleId="268">
    <w:name w:val="Section Title"/>
    <w:next w:val="1"/>
    <w:qFormat/>
    <w:uiPriority w:val="0"/>
    <w:pPr>
      <w:spacing w:after="200"/>
      <w:jc w:val="center"/>
    </w:pPr>
    <w:rPr>
      <w:rFonts w:ascii="Times New Roman" w:hAnsi="Times New Roman" w:eastAsia="Times New Roman" w:cs="Times New Roman"/>
      <w:b/>
      <w:sz w:val="44"/>
      <w:lang w:val="en-GB" w:eastAsia="en-US" w:bidi="ar-SA"/>
    </w:rPr>
  </w:style>
  <w:style w:type="paragraph" w:customStyle="1" w:styleId="269">
    <w:name w:val="Level 3 (Body)"/>
    <w:qFormat/>
    <w:uiPriority w:val="0"/>
    <w:pPr>
      <w:tabs>
        <w:tab w:val="left" w:pos="1502"/>
      </w:tabs>
      <w:spacing w:line="270" w:lineRule="atLeast"/>
      <w:ind w:left="1502" w:hanging="425"/>
      <w:jc w:val="both"/>
    </w:pPr>
    <w:rPr>
      <w:rFonts w:ascii="Optima" w:hAnsi="Optima" w:eastAsia="Times New Roman" w:cs="Times New Roman"/>
      <w:sz w:val="22"/>
      <w:lang w:val="en-US" w:eastAsia="en-US" w:bidi="ar-SA"/>
    </w:rPr>
  </w:style>
  <w:style w:type="paragraph" w:customStyle="1" w:styleId="270">
    <w:name w:val="Enclosure"/>
    <w:basedOn w:val="1"/>
    <w:qFormat/>
    <w:uiPriority w:val="0"/>
    <w:pPr>
      <w:spacing w:after="0" w:line="240" w:lineRule="auto"/>
    </w:pPr>
    <w:rPr>
      <w:rFonts w:eastAsia="Times New Roman"/>
      <w:sz w:val="24"/>
      <w:szCs w:val="24"/>
    </w:rPr>
  </w:style>
  <w:style w:type="paragraph" w:customStyle="1" w:styleId="271">
    <w:name w:val="Short Return Address"/>
    <w:basedOn w:val="1"/>
    <w:qFormat/>
    <w:uiPriority w:val="0"/>
    <w:pPr>
      <w:spacing w:after="0" w:line="240" w:lineRule="auto"/>
    </w:pPr>
    <w:rPr>
      <w:rFonts w:eastAsia="Times New Roman"/>
      <w:sz w:val="24"/>
      <w:szCs w:val="24"/>
    </w:rPr>
  </w:style>
  <w:style w:type="paragraph" w:customStyle="1" w:styleId="272">
    <w:name w:val="B Head"/>
    <w:qFormat/>
    <w:uiPriority w:val="0"/>
    <w:pPr>
      <w:tabs>
        <w:tab w:val="left" w:pos="-720"/>
      </w:tabs>
      <w:suppressAutoHyphens/>
      <w:overflowPunct w:val="0"/>
      <w:autoSpaceDE w:val="0"/>
      <w:autoSpaceDN w:val="0"/>
      <w:adjustRightInd w:val="0"/>
    </w:pPr>
    <w:rPr>
      <w:rFonts w:ascii="Times New Roman" w:hAnsi="Times New Roman" w:eastAsia="Times New Roman" w:cs="Times New Roman"/>
      <w:lang w:val="en-US" w:eastAsia="en-US" w:bidi="ar-SA"/>
    </w:rPr>
  </w:style>
  <w:style w:type="paragraph" w:customStyle="1" w:styleId="273">
    <w:name w:val="C Head"/>
    <w:qFormat/>
    <w:uiPriority w:val="0"/>
    <w:pPr>
      <w:tabs>
        <w:tab w:val="left" w:pos="-720"/>
      </w:tabs>
      <w:suppressAutoHyphens/>
      <w:overflowPunct w:val="0"/>
      <w:autoSpaceDE w:val="0"/>
      <w:autoSpaceDN w:val="0"/>
      <w:adjustRightInd w:val="0"/>
    </w:pPr>
    <w:rPr>
      <w:rFonts w:ascii="Times New Roman" w:hAnsi="Times New Roman" w:eastAsia="Times New Roman" w:cs="Times New Roman"/>
      <w:lang w:val="en-US" w:eastAsia="en-US" w:bidi="ar-SA"/>
    </w:rPr>
  </w:style>
  <w:style w:type="paragraph" w:customStyle="1" w:styleId="274">
    <w:name w:val="Sec No. &amp; He"/>
    <w:qFormat/>
    <w:uiPriority w:val="0"/>
    <w:pPr>
      <w:tabs>
        <w:tab w:val="left" w:pos="-720"/>
      </w:tabs>
      <w:suppressAutoHyphens/>
      <w:overflowPunct w:val="0"/>
      <w:autoSpaceDE w:val="0"/>
      <w:autoSpaceDN w:val="0"/>
      <w:adjustRightInd w:val="0"/>
    </w:pPr>
    <w:rPr>
      <w:rFonts w:ascii="Times New Roman" w:hAnsi="Times New Roman" w:eastAsia="Times New Roman" w:cs="Times New Roman"/>
      <w:lang w:val="en-US" w:eastAsia="en-US" w:bidi="ar-SA"/>
    </w:rPr>
  </w:style>
  <w:style w:type="paragraph" w:customStyle="1" w:styleId="275">
    <w:name w:val="Right Par[1]"/>
    <w:qFormat/>
    <w:uiPriority w:val="0"/>
    <w:pPr>
      <w:tabs>
        <w:tab w:val="left" w:pos="-720"/>
        <w:tab w:val="left" w:pos="0"/>
        <w:tab w:val="decimal" w:pos="720"/>
      </w:tabs>
      <w:suppressAutoHyphens/>
      <w:overflowPunct w:val="0"/>
      <w:autoSpaceDE w:val="0"/>
      <w:autoSpaceDN w:val="0"/>
      <w:adjustRightInd w:val="0"/>
      <w:ind w:firstLine="720"/>
    </w:pPr>
    <w:rPr>
      <w:rFonts w:ascii="CG Times" w:hAnsi="CG Times" w:eastAsia="Times New Roman" w:cs="Times New Roman"/>
      <w:b/>
      <w:i/>
      <w:sz w:val="24"/>
      <w:lang w:val="en-US" w:eastAsia="en-US" w:bidi="ar-SA"/>
    </w:rPr>
  </w:style>
  <w:style w:type="paragraph" w:customStyle="1" w:styleId="276">
    <w:name w:val="Right Par[2]"/>
    <w:qFormat/>
    <w:uiPriority w:val="0"/>
    <w:pPr>
      <w:tabs>
        <w:tab w:val="left" w:pos="-720"/>
        <w:tab w:val="left" w:pos="0"/>
        <w:tab w:val="left" w:pos="720"/>
        <w:tab w:val="decimal" w:pos="1440"/>
      </w:tabs>
      <w:suppressAutoHyphens/>
      <w:overflowPunct w:val="0"/>
      <w:autoSpaceDE w:val="0"/>
      <w:autoSpaceDN w:val="0"/>
      <w:adjustRightInd w:val="0"/>
      <w:ind w:firstLine="1440"/>
    </w:pPr>
    <w:rPr>
      <w:rFonts w:ascii="CG Times" w:hAnsi="CG Times" w:eastAsia="Times New Roman" w:cs="Times New Roman"/>
      <w:b/>
      <w:i/>
      <w:sz w:val="24"/>
      <w:lang w:val="en-US" w:eastAsia="en-US" w:bidi="ar-SA"/>
    </w:rPr>
  </w:style>
  <w:style w:type="paragraph" w:customStyle="1" w:styleId="277">
    <w:name w:val="Right Par[3]"/>
    <w:qFormat/>
    <w:uiPriority w:val="0"/>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hAnsi="CG Times" w:eastAsia="Times New Roman" w:cs="Times New Roman"/>
      <w:b/>
      <w:i/>
      <w:sz w:val="24"/>
      <w:lang w:val="en-US" w:eastAsia="en-US" w:bidi="ar-SA"/>
    </w:rPr>
  </w:style>
  <w:style w:type="paragraph" w:customStyle="1" w:styleId="278">
    <w:name w:val="Right Par[4]"/>
    <w:qFormat/>
    <w:uiPriority w:val="0"/>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hAnsi="CG Times" w:eastAsia="Times New Roman" w:cs="Times New Roman"/>
      <w:b/>
      <w:i/>
      <w:sz w:val="24"/>
      <w:lang w:val="en-US" w:eastAsia="en-US" w:bidi="ar-SA"/>
    </w:rPr>
  </w:style>
  <w:style w:type="paragraph" w:customStyle="1" w:styleId="279">
    <w:name w:val="Right Par[5]"/>
    <w:qFormat/>
    <w:uiPriority w:val="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hAnsi="CG Times" w:eastAsia="Times New Roman" w:cs="Times New Roman"/>
      <w:b/>
      <w:i/>
      <w:sz w:val="24"/>
      <w:lang w:val="en-US" w:eastAsia="en-US" w:bidi="ar-SA"/>
    </w:rPr>
  </w:style>
  <w:style w:type="paragraph" w:customStyle="1" w:styleId="280">
    <w:name w:val="Right Par[6]"/>
    <w:qFormat/>
    <w:uiPriority w:val="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hAnsi="CG Times" w:eastAsia="Times New Roman" w:cs="Times New Roman"/>
      <w:b/>
      <w:i/>
      <w:sz w:val="24"/>
      <w:lang w:val="en-US" w:eastAsia="en-US" w:bidi="ar-SA"/>
    </w:rPr>
  </w:style>
  <w:style w:type="paragraph" w:customStyle="1" w:styleId="281">
    <w:name w:val="Right Par[7]"/>
    <w:qFormat/>
    <w:uiPriority w:val="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hAnsi="CG Times" w:eastAsia="Times New Roman" w:cs="Times New Roman"/>
      <w:b/>
      <w:i/>
      <w:sz w:val="24"/>
      <w:lang w:val="en-US" w:eastAsia="en-US" w:bidi="ar-SA"/>
    </w:rPr>
  </w:style>
  <w:style w:type="paragraph" w:customStyle="1" w:styleId="282">
    <w:name w:val="Right Par[8]"/>
    <w:qFormat/>
    <w:uiPriority w:val="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hAnsi="CG Times" w:eastAsia="Times New Roman" w:cs="Times New Roman"/>
      <w:b/>
      <w:i/>
      <w:sz w:val="24"/>
      <w:lang w:val="en-US" w:eastAsia="en-US" w:bidi="ar-SA"/>
    </w:rPr>
  </w:style>
  <w:style w:type="paragraph" w:customStyle="1" w:styleId="283">
    <w:name w:val="text 3"/>
    <w:basedOn w:val="1"/>
    <w:qFormat/>
    <w:uiPriority w:val="0"/>
    <w:pPr>
      <w:spacing w:before="240" w:after="240" w:line="240" w:lineRule="auto"/>
      <w:ind w:left="1418"/>
    </w:pPr>
    <w:rPr>
      <w:rFonts w:eastAsia="Times New Roman"/>
      <w:sz w:val="24"/>
      <w:szCs w:val="24"/>
    </w:rPr>
  </w:style>
  <w:style w:type="paragraph" w:customStyle="1" w:styleId="284">
    <w:name w:val="e4"/>
    <w:basedOn w:val="1"/>
    <w:next w:val="1"/>
    <w:qFormat/>
    <w:uiPriority w:val="0"/>
    <w:pPr>
      <w:keepLines/>
      <w:pBdr>
        <w:bottom w:val="single" w:color="auto" w:sz="6" w:space="0"/>
      </w:pBdr>
      <w:overflowPunct w:val="0"/>
      <w:autoSpaceDE w:val="0"/>
      <w:autoSpaceDN w:val="0"/>
      <w:adjustRightInd w:val="0"/>
      <w:spacing w:after="260" w:line="260" w:lineRule="atLeast"/>
    </w:pPr>
    <w:rPr>
      <w:rFonts w:eastAsia="Times New Roman"/>
      <w:sz w:val="24"/>
      <w:szCs w:val="20"/>
    </w:rPr>
  </w:style>
  <w:style w:type="paragraph" w:customStyle="1" w:styleId="285">
    <w:name w:val="S8 Header 1"/>
    <w:basedOn w:val="1"/>
    <w:next w:val="1"/>
    <w:qFormat/>
    <w:uiPriority w:val="0"/>
    <w:pPr>
      <w:spacing w:before="120" w:after="200" w:line="240" w:lineRule="auto"/>
      <w:jc w:val="both"/>
    </w:pPr>
    <w:rPr>
      <w:rFonts w:eastAsia="Times New Roman"/>
      <w:b/>
      <w:sz w:val="24"/>
      <w:szCs w:val="20"/>
    </w:rPr>
  </w:style>
  <w:style w:type="paragraph" w:customStyle="1" w:styleId="286">
    <w:name w:val="S1-Header1"/>
    <w:basedOn w:val="1"/>
    <w:qFormat/>
    <w:uiPriority w:val="0"/>
    <w:pPr>
      <w:tabs>
        <w:tab w:val="left" w:pos="648"/>
      </w:tabs>
      <w:spacing w:before="240" w:after="240" w:line="240" w:lineRule="auto"/>
      <w:ind w:left="360" w:hanging="72"/>
      <w:jc w:val="center"/>
    </w:pPr>
    <w:rPr>
      <w:rFonts w:eastAsia="Times New Roman"/>
      <w:b/>
      <w:szCs w:val="24"/>
    </w:rPr>
  </w:style>
  <w:style w:type="paragraph" w:customStyle="1" w:styleId="287">
    <w:name w:val="Style Header 2 - SubClauses + Italic"/>
    <w:basedOn w:val="172"/>
    <w:qFormat/>
    <w:uiPriority w:val="0"/>
    <w:pPr>
      <w:tabs>
        <w:tab w:val="left" w:pos="504"/>
      </w:tabs>
      <w:ind w:left="504" w:hanging="504"/>
    </w:pPr>
    <w:rPr>
      <w:rFonts w:cs="Arial"/>
      <w:i/>
      <w:iCs/>
      <w:szCs w:val="24"/>
    </w:rPr>
  </w:style>
  <w:style w:type="paragraph" w:customStyle="1" w:styleId="288">
    <w:name w:val="Style Subtitle + Left:  0.13&quot; Right:  0.2&quot;"/>
    <w:basedOn w:val="65"/>
    <w:qFormat/>
    <w:uiPriority w:val="0"/>
    <w:pPr>
      <w:spacing w:before="120" w:after="240"/>
      <w:ind w:left="180" w:right="288"/>
    </w:pPr>
    <w:rPr>
      <w:bCs/>
      <w:sz w:val="36"/>
    </w:rPr>
  </w:style>
  <w:style w:type="paragraph" w:customStyle="1" w:styleId="289">
    <w:name w:val="Style Arial 20 pt Bold Centered Before:  6 pt After:  12 pt"/>
    <w:basedOn w:val="1"/>
    <w:qFormat/>
    <w:uiPriority w:val="0"/>
    <w:pPr>
      <w:spacing w:before="120" w:after="240" w:line="240" w:lineRule="auto"/>
      <w:jc w:val="center"/>
    </w:pPr>
    <w:rPr>
      <w:rFonts w:eastAsia="Times New Roman"/>
      <w:b/>
      <w:bCs/>
      <w:sz w:val="36"/>
      <w:szCs w:val="20"/>
    </w:rPr>
  </w:style>
  <w:style w:type="paragraph" w:customStyle="1" w:styleId="290">
    <w:name w:val="S3-Header 1"/>
    <w:basedOn w:val="1"/>
    <w:qFormat/>
    <w:uiPriority w:val="0"/>
    <w:pPr>
      <w:spacing w:before="120" w:after="200" w:line="240" w:lineRule="auto"/>
      <w:ind w:left="1080" w:hanging="720"/>
      <w:jc w:val="both"/>
    </w:pPr>
    <w:rPr>
      <w:rFonts w:eastAsia="Times New Roman"/>
      <w:b/>
      <w:bCs/>
      <w:szCs w:val="20"/>
    </w:rPr>
  </w:style>
  <w:style w:type="paragraph" w:customStyle="1" w:styleId="291">
    <w:name w:val="S3-Heading 2"/>
    <w:basedOn w:val="1"/>
    <w:qFormat/>
    <w:uiPriority w:val="0"/>
    <w:pPr>
      <w:spacing w:after="200" w:line="240" w:lineRule="auto"/>
      <w:ind w:left="1080" w:right="288" w:hanging="720"/>
      <w:jc w:val="both"/>
    </w:pPr>
    <w:rPr>
      <w:rFonts w:eastAsia="Times New Roman"/>
      <w:b/>
      <w:bCs/>
      <w:sz w:val="24"/>
      <w:szCs w:val="24"/>
    </w:rPr>
  </w:style>
  <w:style w:type="paragraph" w:customStyle="1" w:styleId="292">
    <w:name w:val="S4 Header"/>
    <w:basedOn w:val="1"/>
    <w:next w:val="1"/>
    <w:qFormat/>
    <w:uiPriority w:val="0"/>
    <w:pPr>
      <w:spacing w:before="120" w:after="240" w:line="240" w:lineRule="auto"/>
      <w:jc w:val="center"/>
    </w:pPr>
    <w:rPr>
      <w:rFonts w:eastAsia="Times New Roman"/>
      <w:b/>
      <w:sz w:val="32"/>
      <w:szCs w:val="20"/>
    </w:rPr>
  </w:style>
  <w:style w:type="paragraph" w:customStyle="1" w:styleId="293">
    <w:name w:val="S4-Header 1"/>
    <w:basedOn w:val="1"/>
    <w:next w:val="1"/>
    <w:qFormat/>
    <w:uiPriority w:val="0"/>
    <w:pPr>
      <w:spacing w:before="120" w:after="240" w:line="240" w:lineRule="auto"/>
      <w:jc w:val="center"/>
    </w:pPr>
    <w:rPr>
      <w:rFonts w:eastAsia="Times New Roman" w:cs="Arial"/>
      <w:b/>
      <w:sz w:val="36"/>
      <w:szCs w:val="24"/>
    </w:rPr>
  </w:style>
  <w:style w:type="paragraph" w:customStyle="1" w:styleId="294">
    <w:name w:val="Style Section V. Header + Left:  0.25&quot; Right:  0.2&quot;"/>
    <w:basedOn w:val="179"/>
    <w:qFormat/>
    <w:uiPriority w:val="0"/>
    <w:pPr>
      <w:spacing w:before="120" w:after="240"/>
      <w:ind w:left="360" w:right="288"/>
    </w:pPr>
    <w:rPr>
      <w:bCs/>
      <w:sz w:val="32"/>
    </w:rPr>
  </w:style>
  <w:style w:type="paragraph" w:customStyle="1" w:styleId="295">
    <w:name w:val="S6-Header 1"/>
    <w:basedOn w:val="1"/>
    <w:next w:val="1"/>
    <w:qFormat/>
    <w:uiPriority w:val="0"/>
    <w:pPr>
      <w:spacing w:before="120" w:after="240" w:line="240" w:lineRule="auto"/>
      <w:jc w:val="center"/>
    </w:pPr>
    <w:rPr>
      <w:rFonts w:eastAsia="Times New Roman" w:cs="Arial"/>
      <w:b/>
      <w:sz w:val="32"/>
      <w:szCs w:val="24"/>
    </w:rPr>
  </w:style>
  <w:style w:type="paragraph" w:customStyle="1" w:styleId="296">
    <w:name w:val="Part"/>
    <w:basedOn w:val="1"/>
    <w:qFormat/>
    <w:uiPriority w:val="0"/>
    <w:pPr>
      <w:keepNext/>
      <w:spacing w:before="2280" w:after="0" w:line="240" w:lineRule="auto"/>
      <w:jc w:val="center"/>
    </w:pPr>
    <w:rPr>
      <w:rFonts w:eastAsia="Times New Roman"/>
      <w:b/>
      <w:sz w:val="52"/>
      <w:szCs w:val="24"/>
    </w:rPr>
  </w:style>
  <w:style w:type="paragraph" w:customStyle="1" w:styleId="297">
    <w:name w:val="Style Head 4.1 + Before:  6 pt After:  6 pt"/>
    <w:basedOn w:val="155"/>
    <w:qFormat/>
    <w:uiPriority w:val="0"/>
    <w:pPr>
      <w:keepNext w:val="0"/>
      <w:pBdr>
        <w:bottom w:val="none" w:color="auto" w:sz="0" w:space="0"/>
      </w:pBdr>
      <w:overflowPunct w:val="0"/>
      <w:autoSpaceDE w:val="0"/>
      <w:autoSpaceDN w:val="0"/>
      <w:adjustRightInd w:val="0"/>
      <w:spacing w:before="120" w:after="200"/>
    </w:pPr>
    <w:rPr>
      <w:rFonts w:ascii="Times New Roman" w:hAnsi="Times New Roman"/>
      <w:bCs/>
      <w:smallCaps w:val="0"/>
      <w:sz w:val="28"/>
    </w:rPr>
  </w:style>
  <w:style w:type="paragraph" w:customStyle="1" w:styleId="298">
    <w:name w:val="S9 Header 1"/>
    <w:basedOn w:val="1"/>
    <w:next w:val="1"/>
    <w:qFormat/>
    <w:uiPriority w:val="0"/>
    <w:pPr>
      <w:spacing w:before="120" w:after="240" w:line="240" w:lineRule="auto"/>
      <w:jc w:val="center"/>
    </w:pPr>
    <w:rPr>
      <w:rFonts w:eastAsia="Times New Roman"/>
      <w:b/>
      <w:sz w:val="36"/>
      <w:szCs w:val="24"/>
    </w:rPr>
  </w:style>
  <w:style w:type="paragraph" w:customStyle="1" w:styleId="299">
    <w:name w:val="Style S1-Header1 + Times New Roman 14 pt"/>
    <w:basedOn w:val="286"/>
    <w:qFormat/>
    <w:uiPriority w:val="0"/>
    <w:pPr>
      <w:tabs>
        <w:tab w:val="clear" w:pos="648"/>
      </w:tabs>
      <w:ind w:left="0" w:firstLine="0"/>
    </w:pPr>
    <w:rPr>
      <w:bCs/>
    </w:rPr>
  </w:style>
  <w:style w:type="paragraph" w:customStyle="1" w:styleId="300">
    <w:name w:val="Style Style S1-Header1 + Times New Roman 14 pt +"/>
    <w:basedOn w:val="299"/>
    <w:qFormat/>
    <w:uiPriority w:val="0"/>
    <w:pPr>
      <w:tabs>
        <w:tab w:val="left" w:pos="648"/>
      </w:tabs>
      <w:ind w:left="360" w:hanging="72"/>
    </w:pPr>
  </w:style>
  <w:style w:type="paragraph" w:customStyle="1" w:styleId="301">
    <w:name w:val="Style Style S1-Header1 + Times New Roman 14 pt +1"/>
    <w:basedOn w:val="299"/>
    <w:qFormat/>
    <w:uiPriority w:val="0"/>
    <w:pPr>
      <w:tabs>
        <w:tab w:val="left" w:pos="648"/>
      </w:tabs>
      <w:ind w:left="360" w:hanging="72"/>
    </w:pPr>
  </w:style>
  <w:style w:type="character" w:customStyle="1" w:styleId="302">
    <w:name w:val="A Head"/>
    <w:qFormat/>
    <w:uiPriority w:val="0"/>
    <w:rPr>
      <w:rFonts w:hint="default" w:ascii="Times New Roman" w:hAnsi="Times New Roman" w:cs="Times New Roman"/>
      <w:sz w:val="20"/>
      <w:lang w:val="en-US"/>
    </w:rPr>
  </w:style>
  <w:style w:type="character" w:customStyle="1" w:styleId="303">
    <w:name w:val="Default Para"/>
    <w:qFormat/>
    <w:uiPriority w:val="0"/>
    <w:rPr>
      <w:rFonts w:hint="default" w:ascii="CG Times" w:hAnsi="CG Times"/>
      <w:b/>
      <w:i/>
      <w:sz w:val="24"/>
      <w:lang w:val="en-US"/>
    </w:rPr>
  </w:style>
  <w:style w:type="character" w:customStyle="1" w:styleId="304">
    <w:name w:val="Bullet List"/>
    <w:basedOn w:val="11"/>
    <w:qFormat/>
    <w:uiPriority w:val="0"/>
  </w:style>
  <w:style w:type="character" w:customStyle="1" w:styleId="305">
    <w:name w:val="S1-Header1 Char Char"/>
    <w:qFormat/>
    <w:uiPriority w:val="0"/>
    <w:rPr>
      <w:rFonts w:hint="default" w:ascii="Arial" w:hAnsi="Arial" w:cs="Arial"/>
      <w:b/>
      <w:sz w:val="28"/>
      <w:szCs w:val="24"/>
      <w:lang w:val="en-US" w:eastAsia="en-US" w:bidi="ar-SA"/>
    </w:rPr>
  </w:style>
  <w:style w:type="character" w:customStyle="1" w:styleId="306">
    <w:name w:val="Style S1-Header1 + Times New Roman 14 pt Char"/>
    <w:qFormat/>
    <w:uiPriority w:val="0"/>
    <w:rPr>
      <w:rFonts w:hint="default" w:ascii="Arial" w:hAnsi="Arial" w:cs="Arial"/>
      <w:b/>
      <w:bCs/>
      <w:sz w:val="28"/>
      <w:szCs w:val="24"/>
      <w:lang w:val="en-US" w:eastAsia="en-US" w:bidi="ar-SA"/>
    </w:rPr>
  </w:style>
  <w:style w:type="character" w:customStyle="1" w:styleId="307">
    <w:name w:val="Style Style S1-Header1 + Times New Roman 14 pt + Char"/>
    <w:qFormat/>
    <w:uiPriority w:val="0"/>
    <w:rPr>
      <w:rFonts w:hint="default" w:ascii="Arial" w:hAnsi="Arial" w:cs="Arial"/>
      <w:b/>
      <w:bCs/>
      <w:sz w:val="28"/>
      <w:szCs w:val="24"/>
      <w:lang w:val="en-US" w:eastAsia="en-US" w:bidi="ar-SA"/>
    </w:rPr>
  </w:style>
  <w:style w:type="character" w:customStyle="1" w:styleId="308">
    <w:name w:val="Style Style S1-Header1 + Times New Roman 14 pt +1 Char"/>
    <w:qFormat/>
    <w:uiPriority w:val="0"/>
    <w:rPr>
      <w:rFonts w:hint="default" w:ascii="Arial" w:hAnsi="Arial" w:cs="Arial"/>
      <w:b/>
      <w:bCs/>
      <w:sz w:val="28"/>
      <w:szCs w:val="24"/>
      <w:lang w:val="en-US" w:eastAsia="en-US" w:bidi="ar-SA"/>
    </w:rPr>
  </w:style>
  <w:style w:type="character" w:customStyle="1" w:styleId="309">
    <w:name w:val="atn"/>
    <w:qFormat/>
    <w:uiPriority w:val="0"/>
  </w:style>
  <w:style w:type="character" w:customStyle="1" w:styleId="310">
    <w:name w:val="dieu Char"/>
    <w:qFormat/>
    <w:uiPriority w:val="0"/>
    <w:rPr>
      <w:rFonts w:ascii="Times New Roman" w:hAnsi="Times New Roman" w:eastAsia="Times New Roman" w:cs="Times New Roman"/>
      <w:b/>
      <w:color w:val="0000FF"/>
      <w:sz w:val="26"/>
      <w:szCs w:val="20"/>
      <w:lang w:val="en-US"/>
    </w:rPr>
  </w:style>
  <w:style w:type="paragraph" w:customStyle="1" w:styleId="311">
    <w:name w:val="Mau"/>
    <w:basedOn w:val="5"/>
    <w:qFormat/>
    <w:uiPriority w:val="0"/>
    <w:pPr>
      <w:keepLines w:val="0"/>
      <w:spacing w:before="0" w:after="120" w:line="240" w:lineRule="auto"/>
      <w:ind w:firstLine="567"/>
      <w:jc w:val="right"/>
    </w:pPr>
    <w:rPr>
      <w:rFonts w:ascii=".VnTime" w:hAnsi=".VnTime"/>
      <w:i w:val="0"/>
      <w:iCs w:val="0"/>
      <w:color w:val="auto"/>
      <w:u w:val="single"/>
      <w:lang w:val="de-DE"/>
    </w:rPr>
  </w:style>
  <w:style w:type="paragraph" w:customStyle="1" w:styleId="312">
    <w:name w:val="4"/>
    <w:basedOn w:val="1"/>
    <w:qFormat/>
    <w:uiPriority w:val="0"/>
    <w:pPr>
      <w:spacing w:before="360" w:after="0" w:line="288" w:lineRule="auto"/>
      <w:jc w:val="both"/>
    </w:pPr>
    <w:rPr>
      <w:rFonts w:ascii=".VnArial" w:hAnsi=".VnArial" w:eastAsia="Times New Roman"/>
      <w:b/>
      <w:sz w:val="20"/>
      <w:szCs w:val="20"/>
    </w:rPr>
  </w:style>
  <w:style w:type="paragraph" w:customStyle="1" w:styleId="313">
    <w:name w:val="Style1"/>
    <w:basedOn w:val="1"/>
    <w:qFormat/>
    <w:uiPriority w:val="0"/>
    <w:pPr>
      <w:widowControl w:val="0"/>
      <w:spacing w:after="0" w:line="240" w:lineRule="auto"/>
      <w:jc w:val="both"/>
    </w:pPr>
    <w:rPr>
      <w:rFonts w:ascii=".VnTime" w:hAnsi=".VnTime" w:eastAsia="Times New Roman"/>
      <w:sz w:val="26"/>
      <w:szCs w:val="20"/>
    </w:rPr>
  </w:style>
  <w:style w:type="character" w:customStyle="1" w:styleId="314">
    <w:name w:val="Style Condensed by  0.1 pt"/>
    <w:qFormat/>
    <w:uiPriority w:val="0"/>
    <w:rPr>
      <w:spacing w:val="-2"/>
      <w:sz w:val="22"/>
      <w:szCs w:val="22"/>
    </w:rPr>
  </w:style>
  <w:style w:type="character" w:customStyle="1" w:styleId="315">
    <w:name w:val="Style Blue Condensed by  0.1 pt"/>
    <w:qFormat/>
    <w:uiPriority w:val="0"/>
    <w:rPr>
      <w:color w:val="0000FF"/>
      <w:spacing w:val="-2"/>
      <w:sz w:val="22"/>
      <w:szCs w:val="22"/>
    </w:rPr>
  </w:style>
  <w:style w:type="character" w:customStyle="1" w:styleId="316">
    <w:name w:val="apple-style-span"/>
    <w:basedOn w:val="11"/>
    <w:qFormat/>
    <w:uiPriority w:val="0"/>
  </w:style>
  <w:style w:type="paragraph" w:customStyle="1" w:styleId="317">
    <w:name w:val="Style2"/>
    <w:basedOn w:val="1"/>
    <w:qFormat/>
    <w:uiPriority w:val="0"/>
    <w:pPr>
      <w:spacing w:before="120" w:after="120" w:line="240" w:lineRule="auto"/>
      <w:ind w:left="3600" w:hanging="475"/>
      <w:jc w:val="both"/>
    </w:pPr>
    <w:rPr>
      <w:rFonts w:ascii="VNI-Times" w:hAnsi="VNI-Times" w:eastAsia="Times New Roman"/>
      <w:sz w:val="24"/>
      <w:szCs w:val="20"/>
    </w:rPr>
  </w:style>
  <w:style w:type="paragraph" w:customStyle="1" w:styleId="318">
    <w:name w:val="xl125"/>
    <w:basedOn w:val="1"/>
    <w:qFormat/>
    <w:uiPriority w:val="0"/>
    <w:pPr>
      <w:pBdr>
        <w:left w:val="single" w:color="auto" w:sz="4" w:space="0"/>
        <w:right w:val="double" w:color="auto" w:sz="6" w:space="0"/>
      </w:pBdr>
      <w:spacing w:before="100" w:beforeAutospacing="1" w:after="100" w:afterAutospacing="1" w:line="240" w:lineRule="auto"/>
      <w:jc w:val="center"/>
      <w:textAlignment w:val="top"/>
    </w:pPr>
    <w:rPr>
      <w:rFonts w:eastAsia="Times New Roman"/>
      <w:color w:val="0000FF"/>
      <w:sz w:val="24"/>
      <w:szCs w:val="24"/>
    </w:rPr>
  </w:style>
  <w:style w:type="paragraph" w:customStyle="1" w:styleId="319">
    <w:name w:val="Table Paragraph"/>
    <w:basedOn w:val="1"/>
    <w:qFormat/>
    <w:uiPriority w:val="1"/>
    <w:pPr>
      <w:widowControl w:val="0"/>
      <w:spacing w:after="0" w:line="240" w:lineRule="auto"/>
    </w:pPr>
    <w:rPr>
      <w:rFonts w:ascii="Arial" w:hAnsi="Arial"/>
      <w:sz w:val="20"/>
      <w:szCs w:val="22"/>
      <w:lang w:val="en-GB"/>
    </w:rPr>
  </w:style>
  <w:style w:type="character" w:customStyle="1" w:styleId="320">
    <w:name w:val="Date Char"/>
    <w:link w:val="25"/>
    <w:qFormat/>
    <w:uiPriority w:val="0"/>
    <w:rPr>
      <w:rFonts w:ascii=".VnTime" w:hAnsi=".VnTime" w:eastAsia="Times New Roman"/>
      <w:color w:val="000000"/>
      <w:sz w:val="28"/>
    </w:rPr>
  </w:style>
  <w:style w:type="paragraph" w:customStyle="1" w:styleId="321">
    <w:name w:val="Normal1"/>
    <w:basedOn w:val="1"/>
    <w:link w:val="419"/>
    <w:qFormat/>
    <w:uiPriority w:val="0"/>
    <w:pPr>
      <w:tabs>
        <w:tab w:val="right" w:pos="3686"/>
        <w:tab w:val="left" w:pos="5103"/>
      </w:tabs>
      <w:spacing w:before="120" w:after="120" w:line="264" w:lineRule="auto"/>
      <w:ind w:left="851"/>
      <w:jc w:val="both"/>
    </w:pPr>
    <w:rPr>
      <w:rFonts w:ascii="Arial" w:hAnsi="Arial" w:eastAsia="Times New Roman"/>
      <w:sz w:val="20"/>
      <w:szCs w:val="20"/>
    </w:rPr>
  </w:style>
  <w:style w:type="paragraph" w:customStyle="1" w:styleId="322">
    <w:name w:val="title 1"/>
    <w:basedOn w:val="1"/>
    <w:qFormat/>
    <w:uiPriority w:val="0"/>
    <w:pPr>
      <w:spacing w:after="0" w:line="288" w:lineRule="auto"/>
      <w:jc w:val="center"/>
    </w:pPr>
    <w:rPr>
      <w:rFonts w:eastAsia="Times New Roman"/>
      <w:b/>
      <w:caps/>
      <w:sz w:val="36"/>
      <w:szCs w:val="20"/>
      <w:lang w:val="en-GB"/>
    </w:rPr>
  </w:style>
  <w:style w:type="character" w:customStyle="1" w:styleId="323">
    <w:name w:val="HTML Preformatted Char"/>
    <w:link w:val="35"/>
    <w:qFormat/>
    <w:uiPriority w:val="99"/>
    <w:rPr>
      <w:rFonts w:ascii="Courier New" w:hAnsi="Courier New" w:eastAsia="Times New Roman" w:cs="Courier New"/>
    </w:rPr>
  </w:style>
  <w:style w:type="character" w:customStyle="1" w:styleId="324">
    <w:name w:val="tlid-translation"/>
    <w:basedOn w:val="11"/>
    <w:qFormat/>
    <w:uiPriority w:val="0"/>
  </w:style>
  <w:style w:type="paragraph" w:customStyle="1" w:styleId="325">
    <w:name w:val="3 1"/>
    <w:qFormat/>
    <w:uiPriority w:val="0"/>
    <w:pPr>
      <w:tabs>
        <w:tab w:val="left" w:pos="-720"/>
        <w:tab w:val="left" w:pos="0"/>
        <w:tab w:val="decimal" w:pos="720"/>
      </w:tabs>
      <w:suppressAutoHyphens/>
      <w:ind w:firstLine="720"/>
    </w:pPr>
    <w:rPr>
      <w:rFonts w:ascii="Courier" w:hAnsi="Courier" w:eastAsia="Times New Roman" w:cs="Times New Roman"/>
      <w:sz w:val="24"/>
      <w:lang w:val="en-US" w:eastAsia="en-US" w:bidi="ar-SA"/>
    </w:rPr>
  </w:style>
  <w:style w:type="paragraph" w:customStyle="1" w:styleId="326">
    <w:name w:val="m1"/>
    <w:qFormat/>
    <w:uiPriority w:val="0"/>
    <w:pPr>
      <w:numPr>
        <w:ilvl w:val="0"/>
        <w:numId w:val="3"/>
      </w:numPr>
      <w:tabs>
        <w:tab w:val="left" w:pos="567"/>
      </w:tabs>
      <w:spacing w:before="40" w:after="40" w:line="276" w:lineRule="auto"/>
      <w:ind w:left="567" w:hanging="851"/>
      <w:jc w:val="both"/>
    </w:pPr>
    <w:rPr>
      <w:rFonts w:ascii="Times New Roman Bold" w:hAnsi="Times New Roman Bold" w:eastAsia="Times New Roman" w:cs="Times New Roman"/>
      <w:b/>
      <w:color w:val="000000"/>
      <w:sz w:val="26"/>
      <w:szCs w:val="24"/>
      <w:lang w:val="en-GB" w:eastAsia="en-US" w:bidi="ar-SA"/>
    </w:rPr>
  </w:style>
  <w:style w:type="paragraph" w:customStyle="1" w:styleId="327">
    <w:name w:val="m5"/>
    <w:basedOn w:val="1"/>
    <w:qFormat/>
    <w:uiPriority w:val="0"/>
    <w:pPr>
      <w:numPr>
        <w:ilvl w:val="2"/>
        <w:numId w:val="4"/>
      </w:numPr>
      <w:tabs>
        <w:tab w:val="left" w:pos="567"/>
      </w:tabs>
      <w:spacing w:before="40" w:after="40" w:line="276" w:lineRule="auto"/>
      <w:jc w:val="both"/>
    </w:pPr>
    <w:rPr>
      <w:color w:val="000000"/>
      <w:sz w:val="26"/>
      <w:szCs w:val="26"/>
    </w:rPr>
  </w:style>
  <w:style w:type="paragraph" w:customStyle="1" w:styleId="328">
    <w:name w:val="m2"/>
    <w:basedOn w:val="326"/>
    <w:qFormat/>
    <w:uiPriority w:val="0"/>
    <w:pPr>
      <w:numPr>
        <w:ilvl w:val="1"/>
      </w:numPr>
      <w:spacing w:before="60" w:after="60" w:line="264" w:lineRule="auto"/>
    </w:pPr>
    <w:rPr>
      <w:rFonts w:ascii="Times New Roman" w:hAnsi="Times New Roman"/>
    </w:rPr>
  </w:style>
  <w:style w:type="paragraph" w:customStyle="1" w:styleId="329">
    <w:name w:val="m3"/>
    <w:basedOn w:val="328"/>
    <w:qFormat/>
    <w:uiPriority w:val="0"/>
    <w:pPr>
      <w:numPr>
        <w:ilvl w:val="2"/>
      </w:numPr>
    </w:pPr>
  </w:style>
  <w:style w:type="paragraph" w:customStyle="1" w:styleId="330">
    <w:name w:val="m4"/>
    <w:basedOn w:val="329"/>
    <w:qFormat/>
    <w:uiPriority w:val="0"/>
    <w:pPr>
      <w:numPr>
        <w:ilvl w:val="3"/>
      </w:numPr>
    </w:pPr>
  </w:style>
  <w:style w:type="character" w:customStyle="1" w:styleId="331">
    <w:name w:val="fontstyle01"/>
    <w:qFormat/>
    <w:uiPriority w:val="0"/>
    <w:rPr>
      <w:rFonts w:hint="default" w:ascii="TimesNewRomanPSMT" w:hAnsi="TimesNewRomanPSMT"/>
      <w:color w:val="000000"/>
      <w:sz w:val="26"/>
      <w:szCs w:val="26"/>
    </w:rPr>
  </w:style>
  <w:style w:type="character" w:customStyle="1" w:styleId="332">
    <w:name w:val="List Paragraph Char"/>
    <w:link w:val="97"/>
    <w:qFormat/>
    <w:locked/>
    <w:uiPriority w:val="34"/>
    <w:rPr>
      <w:rFonts w:eastAsia="Times New Roman"/>
      <w:sz w:val="24"/>
    </w:rPr>
  </w:style>
  <w:style w:type="character" w:customStyle="1" w:styleId="333">
    <w:name w:val="fontstyle21"/>
    <w:qFormat/>
    <w:uiPriority w:val="0"/>
    <w:rPr>
      <w:rFonts w:hint="default" w:ascii="TimesNewRomanPSMT" w:hAnsi="TimesNewRomanPSMT"/>
      <w:color w:val="000000"/>
      <w:sz w:val="26"/>
      <w:szCs w:val="26"/>
    </w:rPr>
  </w:style>
  <w:style w:type="paragraph" w:customStyle="1" w:styleId="334">
    <w:name w:val="il2"/>
    <w:basedOn w:val="1"/>
    <w:qFormat/>
    <w:uiPriority w:val="0"/>
    <w:pPr>
      <w:tabs>
        <w:tab w:val="left" w:pos="960"/>
        <w:tab w:val="left" w:pos="1080"/>
      </w:tabs>
      <w:spacing w:after="0" w:line="240" w:lineRule="auto"/>
      <w:ind w:left="960" w:hanging="360"/>
      <w:jc w:val="both"/>
    </w:pPr>
    <w:rPr>
      <w:rFonts w:eastAsia="Times New Roman"/>
      <w:sz w:val="26"/>
      <w:szCs w:val="26"/>
    </w:rPr>
  </w:style>
  <w:style w:type="character" w:customStyle="1" w:styleId="335">
    <w:name w:val="viiyi"/>
    <w:qFormat/>
    <w:uiPriority w:val="0"/>
  </w:style>
  <w:style w:type="character" w:customStyle="1" w:styleId="336">
    <w:name w:val="jlqj4b"/>
    <w:qFormat/>
    <w:uiPriority w:val="0"/>
  </w:style>
  <w:style w:type="character" w:customStyle="1" w:styleId="337">
    <w:name w:val="material-icons-extended"/>
    <w:qFormat/>
    <w:uiPriority w:val="0"/>
  </w:style>
  <w:style w:type="character" w:customStyle="1" w:styleId="338">
    <w:name w:val="text"/>
    <w:qFormat/>
    <w:uiPriority w:val="0"/>
  </w:style>
  <w:style w:type="character" w:customStyle="1" w:styleId="339">
    <w:name w:val="mtfg0"/>
    <w:qFormat/>
    <w:uiPriority w:val="0"/>
  </w:style>
  <w:style w:type="character" w:customStyle="1" w:styleId="340">
    <w:name w:val="emoji-sizer"/>
    <w:qFormat/>
    <w:uiPriority w:val="0"/>
  </w:style>
  <w:style w:type="character" w:customStyle="1" w:styleId="341">
    <w:name w:val="y2iqfc"/>
    <w:basedOn w:val="11"/>
    <w:qFormat/>
    <w:uiPriority w:val="0"/>
  </w:style>
  <w:style w:type="character" w:customStyle="1" w:styleId="342">
    <w:name w:val="vl.pg.no"/>
    <w:qFormat/>
    <w:uiPriority w:val="0"/>
    <w:rPr>
      <w:rFonts w:ascii="Times" w:hAnsi="Times"/>
      <w:b/>
      <w:sz w:val="20"/>
      <w:lang w:val="en-US"/>
    </w:rPr>
  </w:style>
  <w:style w:type="paragraph" w:customStyle="1" w:styleId="343">
    <w:name w:val="Header.Section V"/>
    <w:basedOn w:val="1"/>
    <w:qFormat/>
    <w:uiPriority w:val="99"/>
    <w:pPr>
      <w:spacing w:after="0" w:line="240" w:lineRule="auto"/>
      <w:jc w:val="center"/>
    </w:pPr>
    <w:rPr>
      <w:rFonts w:eastAsia="Times New Roman"/>
      <w:b/>
      <w:sz w:val="36"/>
      <w:szCs w:val="20"/>
    </w:rPr>
  </w:style>
  <w:style w:type="paragraph" w:customStyle="1" w:styleId="344">
    <w:name w:val="Style Style Header 1 - Clauses + After:  0 pt + Left:  0&quot; Hanging:"/>
    <w:basedOn w:val="206"/>
    <w:qFormat/>
    <w:uiPriority w:val="0"/>
    <w:pPr>
      <w:tabs>
        <w:tab w:val="left" w:pos="576"/>
      </w:tabs>
      <w:ind w:left="576" w:hanging="576"/>
    </w:pPr>
    <w:rPr>
      <w:bCs w:val="0"/>
    </w:rPr>
  </w:style>
  <w:style w:type="paragraph" w:customStyle="1" w:styleId="345">
    <w:name w:val="Style Style Header 1 - Clauses + After:  0 pt + Left:  0&quot; Hanging:.1"/>
    <w:basedOn w:val="206"/>
    <w:autoRedefine/>
    <w:qFormat/>
    <w:uiPriority w:val="0"/>
    <w:pPr>
      <w:tabs>
        <w:tab w:val="left" w:pos="576"/>
      </w:tabs>
      <w:spacing w:after="240"/>
      <w:ind w:left="576" w:hanging="576"/>
    </w:pPr>
    <w:rPr>
      <w:bCs w:val="0"/>
    </w:rPr>
  </w:style>
  <w:style w:type="paragraph" w:customStyle="1" w:styleId="346">
    <w:name w:val="Style Heading 4Sub-Clause Sub-paragraphClauseSubSub_No&amp;Name + Aft"/>
    <w:basedOn w:val="5"/>
    <w:qFormat/>
    <w:uiPriority w:val="0"/>
    <w:pPr>
      <w:keepLines w:val="0"/>
      <w:tabs>
        <w:tab w:val="left" w:pos="1512"/>
      </w:tabs>
      <w:spacing w:before="0" w:after="180" w:line="240" w:lineRule="auto"/>
      <w:ind w:left="1512" w:right="18" w:hanging="540"/>
      <w:jc w:val="both"/>
    </w:pPr>
    <w:rPr>
      <w:rFonts w:ascii="Times New Roman" w:hAnsi="Times New Roman"/>
      <w:i w:val="0"/>
      <w:iCs w:val="0"/>
      <w:color w:val="auto"/>
      <w:sz w:val="24"/>
      <w:szCs w:val="20"/>
      <w:lang w:val="en-US" w:eastAsia="en-US"/>
    </w:rPr>
  </w:style>
  <w:style w:type="paragraph" w:customStyle="1" w:styleId="347">
    <w:name w:val="Heading 2.Section V"/>
    <w:basedOn w:val="343"/>
    <w:qFormat/>
    <w:uiPriority w:val="0"/>
    <w:pPr>
      <w:spacing w:before="120" w:after="200"/>
    </w:pPr>
    <w:rPr>
      <w:sz w:val="28"/>
    </w:rPr>
  </w:style>
  <w:style w:type="paragraph" w:customStyle="1" w:styleId="348">
    <w:name w:val="Header.Section VI"/>
    <w:basedOn w:val="343"/>
    <w:qFormat/>
    <w:uiPriority w:val="0"/>
    <w:pPr>
      <w:spacing w:before="120" w:after="240"/>
    </w:pPr>
  </w:style>
  <w:style w:type="paragraph" w:customStyle="1" w:styleId="349">
    <w:name w:val="Sec No.&amp; He"/>
    <w:qFormat/>
    <w:uiPriority w:val="0"/>
    <w:pPr>
      <w:tabs>
        <w:tab w:val="left" w:pos="-720"/>
      </w:tabs>
      <w:suppressAutoHyphens/>
      <w:overflowPunct w:val="0"/>
      <w:autoSpaceDE w:val="0"/>
      <w:autoSpaceDN w:val="0"/>
      <w:adjustRightInd w:val="0"/>
    </w:pPr>
    <w:rPr>
      <w:rFonts w:ascii="Times New Roman" w:hAnsi="Times New Roman" w:eastAsia="Times New Roman" w:cs="Times New Roman"/>
      <w:lang w:val="en-US" w:eastAsia="en-US" w:bidi="ar-SA"/>
    </w:rPr>
  </w:style>
  <w:style w:type="paragraph" w:customStyle="1" w:styleId="350">
    <w:name w:val="Style Section V.Header + Left:  0.25&quot; Right:  0.2&quot;"/>
    <w:basedOn w:val="343"/>
    <w:qFormat/>
    <w:uiPriority w:val="0"/>
    <w:pPr>
      <w:spacing w:before="120" w:after="240"/>
      <w:ind w:left="360" w:right="288"/>
    </w:pPr>
    <w:rPr>
      <w:bCs/>
      <w:sz w:val="32"/>
    </w:rPr>
  </w:style>
  <w:style w:type="paragraph" w:customStyle="1" w:styleId="351">
    <w:name w:val="nguyen A"/>
    <w:basedOn w:val="10"/>
    <w:qFormat/>
    <w:uiPriority w:val="0"/>
    <w:pPr>
      <w:numPr>
        <w:ilvl w:val="0"/>
        <w:numId w:val="5"/>
      </w:numPr>
      <w:tabs>
        <w:tab w:val="left" w:pos="1588"/>
        <w:tab w:val="clear" w:pos="1584"/>
      </w:tabs>
      <w:spacing w:before="120" w:after="120"/>
    </w:pPr>
    <w:rPr>
      <w:rFonts w:ascii="Times New Roman" w:hAnsi="Times New Roman"/>
      <w:b w:val="0"/>
      <w:i w:val="0"/>
      <w:sz w:val="26"/>
      <w:szCs w:val="22"/>
      <w:lang w:eastAsia="en-US"/>
    </w:rPr>
  </w:style>
  <w:style w:type="paragraph" w:customStyle="1" w:styleId="352">
    <w:name w:val="nguyen N"/>
    <w:basedOn w:val="351"/>
    <w:qFormat/>
    <w:uiPriority w:val="0"/>
    <w:pPr>
      <w:numPr>
        <w:numId w:val="0"/>
      </w:numPr>
      <w:spacing w:line="252" w:lineRule="auto"/>
      <w:ind w:left="1134"/>
    </w:pPr>
  </w:style>
  <w:style w:type="paragraph" w:customStyle="1" w:styleId="353">
    <w:name w:val="Nguyen o"/>
    <w:basedOn w:val="1"/>
    <w:qFormat/>
    <w:uiPriority w:val="0"/>
    <w:pPr>
      <w:numPr>
        <w:ilvl w:val="0"/>
        <w:numId w:val="6"/>
      </w:numPr>
      <w:spacing w:before="120" w:after="120" w:line="240" w:lineRule="auto"/>
      <w:ind w:left="2042" w:hanging="454"/>
      <w:jc w:val="both"/>
    </w:pPr>
    <w:rPr>
      <w:sz w:val="26"/>
      <w:szCs w:val="22"/>
      <w:lang w:val="pl-PL"/>
    </w:rPr>
  </w:style>
  <w:style w:type="paragraph" w:customStyle="1" w:styleId="354">
    <w:name w:val="nguyen d"/>
    <w:qFormat/>
    <w:uiPriority w:val="0"/>
    <w:pPr>
      <w:spacing w:before="60" w:after="60"/>
      <w:ind w:left="1134"/>
      <w:jc w:val="both"/>
    </w:pPr>
    <w:rPr>
      <w:rFonts w:ascii="Times New Roman" w:hAnsi="Times New Roman" w:eastAsia="Calibri" w:cs="Times New Roman"/>
      <w:b/>
      <w:sz w:val="26"/>
      <w:szCs w:val="22"/>
      <w:u w:val="single"/>
      <w:lang w:val="en-US" w:eastAsia="en-US" w:bidi="ar-SA"/>
    </w:rPr>
  </w:style>
  <w:style w:type="character" w:customStyle="1" w:styleId="355">
    <w:name w:val="Section VI Char"/>
    <w:qFormat/>
    <w:uiPriority w:val="0"/>
    <w:rPr>
      <w:sz w:val="26"/>
      <w:szCs w:val="24"/>
    </w:rPr>
  </w:style>
  <w:style w:type="paragraph" w:customStyle="1" w:styleId="356">
    <w:name w:val="bang"/>
    <w:basedOn w:val="1"/>
    <w:qFormat/>
    <w:uiPriority w:val="0"/>
    <w:pPr>
      <w:spacing w:before="60" w:after="60" w:line="240" w:lineRule="auto"/>
    </w:pPr>
    <w:rPr>
      <w:rFonts w:eastAsia="Times New Roman"/>
      <w:sz w:val="26"/>
      <w:szCs w:val="22"/>
    </w:rPr>
  </w:style>
  <w:style w:type="paragraph" w:customStyle="1" w:styleId="357">
    <w:name w:val="DAUDONG1"/>
    <w:basedOn w:val="1"/>
    <w:autoRedefine/>
    <w:qFormat/>
    <w:uiPriority w:val="0"/>
    <w:pPr>
      <w:numPr>
        <w:ilvl w:val="0"/>
        <w:numId w:val="7"/>
      </w:numPr>
      <w:tabs>
        <w:tab w:val="clear" w:pos="1800"/>
      </w:tabs>
      <w:spacing w:before="40" w:after="40" w:line="240" w:lineRule="auto"/>
      <w:ind w:firstLine="0"/>
      <w:jc w:val="both"/>
    </w:pPr>
    <w:rPr>
      <w:rFonts w:eastAsia="Times New Roman"/>
      <w:sz w:val="24"/>
      <w:szCs w:val="20"/>
    </w:rPr>
  </w:style>
  <w:style w:type="paragraph" w:customStyle="1" w:styleId="358">
    <w:name w:val="Dau dong"/>
    <w:basedOn w:val="1"/>
    <w:qFormat/>
    <w:uiPriority w:val="0"/>
    <w:pPr>
      <w:spacing w:before="20" w:after="20" w:line="240" w:lineRule="auto"/>
      <w:ind w:left="990"/>
    </w:pPr>
    <w:rPr>
      <w:rFonts w:eastAsia="Times New Roman"/>
      <w:sz w:val="26"/>
      <w:szCs w:val="24"/>
    </w:rPr>
  </w:style>
  <w:style w:type="paragraph" w:customStyle="1" w:styleId="359">
    <w:name w:val="Normal 1"/>
    <w:basedOn w:val="1"/>
    <w:qFormat/>
    <w:uiPriority w:val="0"/>
    <w:pPr>
      <w:spacing w:before="60" w:after="60" w:line="240" w:lineRule="auto"/>
      <w:ind w:left="1170"/>
      <w:jc w:val="both"/>
    </w:pPr>
    <w:rPr>
      <w:rFonts w:eastAsia="Times New Roman"/>
      <w:sz w:val="22"/>
      <w:szCs w:val="20"/>
      <w:lang w:val="en-GB"/>
    </w:rPr>
  </w:style>
  <w:style w:type="paragraph" w:customStyle="1" w:styleId="360">
    <w:name w:val="Dac diem"/>
    <w:basedOn w:val="358"/>
    <w:qFormat/>
    <w:uiPriority w:val="0"/>
    <w:pPr>
      <w:numPr>
        <w:ilvl w:val="0"/>
        <w:numId w:val="8"/>
      </w:numPr>
      <w:tabs>
        <w:tab w:val="left" w:pos="1440"/>
      </w:tabs>
      <w:spacing w:before="40" w:after="40"/>
      <w:jc w:val="both"/>
    </w:pPr>
  </w:style>
  <w:style w:type="paragraph" w:customStyle="1" w:styleId="361">
    <w:name w:val="HTDAM"/>
    <w:basedOn w:val="1"/>
    <w:qFormat/>
    <w:uiPriority w:val="0"/>
    <w:pPr>
      <w:numPr>
        <w:ilvl w:val="0"/>
        <w:numId w:val="9"/>
      </w:numPr>
      <w:spacing w:before="20" w:after="20" w:line="240" w:lineRule="auto"/>
      <w:jc w:val="center"/>
    </w:pPr>
    <w:rPr>
      <w:rFonts w:ascii="Times New Roman Bold" w:hAnsi="Times New Roman Bold" w:eastAsia="Times New Roman"/>
      <w:b/>
      <w:sz w:val="26"/>
      <w:szCs w:val="26"/>
      <w:lang w:val="it-IT"/>
    </w:rPr>
  </w:style>
  <w:style w:type="paragraph" w:customStyle="1" w:styleId="362">
    <w:name w:val="Char Char Char Char Char Char Char Char Char Char Char Char Char Char Char Char Char Char Char"/>
    <w:basedOn w:val="1"/>
    <w:semiHidden/>
    <w:qFormat/>
    <w:uiPriority w:val="0"/>
    <w:pPr>
      <w:autoSpaceDE w:val="0"/>
      <w:autoSpaceDN w:val="0"/>
      <w:adjustRightInd w:val="0"/>
      <w:spacing w:before="120" w:line="240" w:lineRule="exact"/>
    </w:pPr>
    <w:rPr>
      <w:rFonts w:ascii="Verdana" w:hAnsi="Verdana" w:eastAsia="Times New Roman"/>
      <w:sz w:val="20"/>
      <w:szCs w:val="20"/>
    </w:rPr>
  </w:style>
  <w:style w:type="paragraph" w:customStyle="1" w:styleId="363">
    <w:name w:val="Char Char Char1 Char Char Char Char Char Char Char Char Char Char"/>
    <w:basedOn w:val="1"/>
    <w:semiHidden/>
    <w:qFormat/>
    <w:uiPriority w:val="0"/>
    <w:pPr>
      <w:autoSpaceDE w:val="0"/>
      <w:autoSpaceDN w:val="0"/>
      <w:adjustRightInd w:val="0"/>
      <w:spacing w:before="120" w:line="240" w:lineRule="exact"/>
    </w:pPr>
    <w:rPr>
      <w:rFonts w:ascii="Verdana" w:hAnsi="Verdana" w:eastAsia="MS Mincho" w:cs="Verdana"/>
      <w:sz w:val="20"/>
      <w:szCs w:val="20"/>
    </w:rPr>
  </w:style>
  <w:style w:type="paragraph" w:customStyle="1" w:styleId="364">
    <w:name w:val="specc 6.1"/>
    <w:basedOn w:val="1"/>
    <w:qFormat/>
    <w:uiPriority w:val="0"/>
    <w:pPr>
      <w:overflowPunct w:val="0"/>
      <w:autoSpaceDE w:val="0"/>
      <w:autoSpaceDN w:val="0"/>
      <w:adjustRightInd w:val="0"/>
      <w:spacing w:after="0" w:line="240" w:lineRule="auto"/>
      <w:jc w:val="both"/>
      <w:textAlignment w:val="baseline"/>
    </w:pPr>
    <w:rPr>
      <w:rFonts w:eastAsia="Times New Roman"/>
      <w:b/>
      <w:i/>
      <w:sz w:val="24"/>
      <w:szCs w:val="20"/>
    </w:rPr>
  </w:style>
  <w:style w:type="paragraph" w:customStyle="1" w:styleId="365">
    <w:name w:val="Trich yeu vb"/>
    <w:basedOn w:val="1"/>
    <w:qFormat/>
    <w:uiPriority w:val="99"/>
    <w:pPr>
      <w:spacing w:before="120" w:after="120" w:line="240" w:lineRule="auto"/>
      <w:ind w:left="709"/>
      <w:jc w:val="center"/>
    </w:pPr>
    <w:rPr>
      <w:rFonts w:ascii=".VnTime" w:hAnsi=".VnTime" w:eastAsia="Times New Roman"/>
      <w:b/>
      <w:szCs w:val="20"/>
      <w:lang w:val="en-GB"/>
    </w:rPr>
  </w:style>
  <w:style w:type="paragraph" w:customStyle="1" w:styleId="366">
    <w:name w:val="gmail-style11"/>
    <w:basedOn w:val="1"/>
    <w:qFormat/>
    <w:uiPriority w:val="0"/>
    <w:pPr>
      <w:spacing w:before="100" w:beforeAutospacing="1" w:after="100" w:afterAutospacing="1" w:line="240" w:lineRule="auto"/>
    </w:pPr>
    <w:rPr>
      <w:sz w:val="24"/>
      <w:szCs w:val="24"/>
    </w:rPr>
  </w:style>
  <w:style w:type="paragraph" w:customStyle="1" w:styleId="367">
    <w:name w:val="tenbang"/>
    <w:basedOn w:val="1"/>
    <w:qFormat/>
    <w:uiPriority w:val="0"/>
    <w:pPr>
      <w:keepNext/>
      <w:widowControl w:val="0"/>
      <w:spacing w:before="240" w:after="60" w:line="240" w:lineRule="auto"/>
      <w:ind w:left="1134"/>
      <w:jc w:val="center"/>
    </w:pPr>
    <w:rPr>
      <w:rFonts w:ascii="VNI-Times" w:hAnsi="VNI-Times" w:eastAsia="Times New Roman"/>
      <w:b/>
      <w:caps/>
      <w:snapToGrid w:val="0"/>
      <w:color w:val="000000"/>
      <w:spacing w:val="-2"/>
      <w:kern w:val="20"/>
      <w:sz w:val="24"/>
      <w:szCs w:val="20"/>
    </w:rPr>
  </w:style>
  <w:style w:type="paragraph" w:customStyle="1" w:styleId="368">
    <w:name w:val="Style Heading 6 + Times New Roman 12 pt"/>
    <w:basedOn w:val="7"/>
    <w:link w:val="369"/>
    <w:qFormat/>
    <w:uiPriority w:val="0"/>
    <w:pPr>
      <w:keepNext w:val="0"/>
      <w:keepLines w:val="0"/>
      <w:tabs>
        <w:tab w:val="left" w:pos="851"/>
        <w:tab w:val="left" w:pos="5103"/>
        <w:tab w:val="left" w:pos="7655"/>
      </w:tabs>
      <w:suppressAutoHyphens w:val="0"/>
      <w:spacing w:before="120" w:after="120"/>
      <w:ind w:left="851" w:right="0" w:hanging="567"/>
      <w:jc w:val="both"/>
    </w:pPr>
    <w:rPr>
      <w:rFonts w:ascii="Arial" w:hAnsi="Arial"/>
      <w:b w:val="0"/>
      <w:sz w:val="24"/>
      <w:szCs w:val="24"/>
      <w:lang w:val="en-GB" w:eastAsia="en-US"/>
    </w:rPr>
  </w:style>
  <w:style w:type="character" w:customStyle="1" w:styleId="369">
    <w:name w:val="Style Heading 6 + Times New Roman 12 pt Char"/>
    <w:link w:val="368"/>
    <w:qFormat/>
    <w:uiPriority w:val="0"/>
    <w:rPr>
      <w:rFonts w:ascii="Arial" w:hAnsi="Arial" w:eastAsia="Times New Roman"/>
      <w:sz w:val="24"/>
      <w:szCs w:val="24"/>
      <w:lang w:val="en-GB"/>
    </w:rPr>
  </w:style>
  <w:style w:type="paragraph" w:customStyle="1" w:styleId="370">
    <w:name w:val="Char Char5"/>
    <w:basedOn w:val="1"/>
    <w:semiHidden/>
    <w:qFormat/>
    <w:uiPriority w:val="0"/>
    <w:pPr>
      <w:autoSpaceDE w:val="0"/>
      <w:autoSpaceDN w:val="0"/>
      <w:adjustRightInd w:val="0"/>
      <w:spacing w:before="120" w:line="240" w:lineRule="exact"/>
    </w:pPr>
    <w:rPr>
      <w:rFonts w:ascii="Verdana" w:hAnsi="Verdana" w:eastAsia="Times New Roman"/>
      <w:sz w:val="20"/>
      <w:szCs w:val="20"/>
    </w:rPr>
  </w:style>
  <w:style w:type="paragraph" w:customStyle="1" w:styleId="371">
    <w:name w:val="Style9"/>
    <w:basedOn w:val="1"/>
    <w:qFormat/>
    <w:uiPriority w:val="0"/>
    <w:pPr>
      <w:numPr>
        <w:ilvl w:val="0"/>
        <w:numId w:val="10"/>
      </w:numPr>
      <w:tabs>
        <w:tab w:val="left" w:pos="2552"/>
        <w:tab w:val="left" w:pos="3969"/>
        <w:tab w:val="left" w:pos="5954"/>
        <w:tab w:val="right" w:pos="8505"/>
      </w:tabs>
      <w:spacing w:before="100" w:after="100" w:line="240" w:lineRule="auto"/>
      <w:ind w:left="2552" w:hanging="1418"/>
      <w:jc w:val="both"/>
    </w:pPr>
    <w:rPr>
      <w:rFonts w:eastAsia="Times New Roman"/>
      <w:sz w:val="26"/>
      <w:szCs w:val="26"/>
    </w:rPr>
  </w:style>
  <w:style w:type="paragraph" w:customStyle="1" w:styleId="372">
    <w:name w:val="ten section"/>
    <w:basedOn w:val="2"/>
    <w:qFormat/>
    <w:uiPriority w:val="99"/>
    <w:pPr>
      <w:keepNext w:val="0"/>
      <w:widowControl w:val="0"/>
      <w:tabs>
        <w:tab w:val="left" w:pos="360"/>
      </w:tabs>
      <w:suppressAutoHyphens/>
      <w:overflowPunct w:val="0"/>
      <w:autoSpaceDE w:val="0"/>
      <w:spacing w:after="240" w:line="288" w:lineRule="auto"/>
      <w:jc w:val="center"/>
      <w:textAlignment w:val="baseline"/>
    </w:pPr>
    <w:rPr>
      <w:rFonts w:ascii="Times New Roman" w:hAnsi="Times New Roman"/>
      <w:bCs w:val="0"/>
      <w:kern w:val="0"/>
      <w:sz w:val="36"/>
      <w:szCs w:val="36"/>
      <w:lang w:eastAsia="ar-SA"/>
    </w:rPr>
  </w:style>
  <w:style w:type="paragraph" w:customStyle="1" w:styleId="373">
    <w:name w:val="msonormal"/>
    <w:basedOn w:val="1"/>
    <w:qFormat/>
    <w:uiPriority w:val="0"/>
    <w:pPr>
      <w:spacing w:before="100" w:beforeAutospacing="1" w:after="100" w:afterAutospacing="1" w:line="240" w:lineRule="auto"/>
    </w:pPr>
    <w:rPr>
      <w:rFonts w:eastAsia="Times New Roman"/>
      <w:sz w:val="24"/>
      <w:szCs w:val="24"/>
    </w:rPr>
  </w:style>
  <w:style w:type="paragraph" w:customStyle="1" w:styleId="37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b/>
      <w:bCs/>
      <w:sz w:val="24"/>
      <w:szCs w:val="24"/>
    </w:rPr>
  </w:style>
  <w:style w:type="paragraph" w:customStyle="1" w:styleId="375">
    <w:name w:val="xl66"/>
    <w:basedOn w:val="1"/>
    <w:qFormat/>
    <w:uiPriority w:val="0"/>
    <w:pPr>
      <w:spacing w:before="100" w:beforeAutospacing="1" w:after="100" w:afterAutospacing="1" w:line="240" w:lineRule="auto"/>
    </w:pPr>
    <w:rPr>
      <w:rFonts w:eastAsia="Times New Roman"/>
      <w:sz w:val="24"/>
      <w:szCs w:val="24"/>
    </w:rPr>
  </w:style>
  <w:style w:type="paragraph" w:customStyle="1" w:styleId="376">
    <w:name w:val="xl67"/>
    <w:basedOn w:val="1"/>
    <w:qFormat/>
    <w:uiPriority w:val="0"/>
    <w:pPr>
      <w:spacing w:before="100" w:beforeAutospacing="1" w:after="100" w:afterAutospacing="1" w:line="240" w:lineRule="auto"/>
    </w:pPr>
    <w:rPr>
      <w:rFonts w:eastAsia="Times New Roman"/>
      <w:sz w:val="24"/>
      <w:szCs w:val="24"/>
    </w:rPr>
  </w:style>
  <w:style w:type="paragraph" w:customStyle="1" w:styleId="377">
    <w:name w:val="xl68"/>
    <w:basedOn w:val="1"/>
    <w:qFormat/>
    <w:uiPriority w:val="0"/>
    <w:pPr>
      <w:spacing w:before="100" w:beforeAutospacing="1" w:after="100" w:afterAutospacing="1" w:line="240" w:lineRule="auto"/>
    </w:pPr>
    <w:rPr>
      <w:rFonts w:eastAsia="Times New Roman"/>
      <w:sz w:val="24"/>
      <w:szCs w:val="24"/>
    </w:rPr>
  </w:style>
  <w:style w:type="paragraph" w:customStyle="1" w:styleId="378">
    <w:name w:val="xl69"/>
    <w:basedOn w:val="1"/>
    <w:qFormat/>
    <w:uiPriority w:val="0"/>
    <w:pPr>
      <w:spacing w:before="100" w:beforeAutospacing="1" w:after="100" w:afterAutospacing="1" w:line="240" w:lineRule="auto"/>
    </w:pPr>
    <w:rPr>
      <w:rFonts w:eastAsia="Times New Roman"/>
      <w:sz w:val="24"/>
      <w:szCs w:val="24"/>
    </w:rPr>
  </w:style>
  <w:style w:type="paragraph" w:customStyle="1" w:styleId="379">
    <w:name w:val="xl70"/>
    <w:basedOn w:val="1"/>
    <w:qFormat/>
    <w:uiPriority w:val="0"/>
    <w:pPr>
      <w:spacing w:before="100" w:beforeAutospacing="1" w:after="100" w:afterAutospacing="1" w:line="240" w:lineRule="auto"/>
      <w:jc w:val="center"/>
      <w:textAlignment w:val="center"/>
    </w:pPr>
    <w:rPr>
      <w:rFonts w:eastAsia="Times New Roman"/>
      <w:b/>
      <w:bCs/>
      <w:sz w:val="24"/>
      <w:szCs w:val="24"/>
    </w:rPr>
  </w:style>
  <w:style w:type="paragraph" w:customStyle="1" w:styleId="380">
    <w:name w:val="xl71"/>
    <w:basedOn w:val="1"/>
    <w:qFormat/>
    <w:uiPriority w:val="0"/>
    <w:pPr>
      <w:spacing w:before="100" w:beforeAutospacing="1" w:after="100" w:afterAutospacing="1" w:line="240" w:lineRule="auto"/>
      <w:jc w:val="center"/>
      <w:textAlignment w:val="center"/>
    </w:pPr>
    <w:rPr>
      <w:rFonts w:eastAsia="Times New Roman"/>
      <w:sz w:val="24"/>
      <w:szCs w:val="24"/>
    </w:rPr>
  </w:style>
  <w:style w:type="paragraph" w:customStyle="1" w:styleId="381">
    <w:name w:val="xl72"/>
    <w:basedOn w:val="1"/>
    <w:qFormat/>
    <w:uiPriority w:val="0"/>
    <w:pPr>
      <w:spacing w:before="100" w:beforeAutospacing="1" w:after="100" w:afterAutospacing="1" w:line="240" w:lineRule="auto"/>
      <w:jc w:val="center"/>
      <w:textAlignment w:val="center"/>
    </w:pPr>
    <w:rPr>
      <w:rFonts w:eastAsia="Times New Roman"/>
      <w:b/>
      <w:bCs/>
      <w:sz w:val="24"/>
      <w:szCs w:val="24"/>
    </w:rPr>
  </w:style>
  <w:style w:type="paragraph" w:customStyle="1" w:styleId="382">
    <w:name w:val="xl73"/>
    <w:basedOn w:val="1"/>
    <w:qFormat/>
    <w:uiPriority w:val="0"/>
    <w:pPr>
      <w:spacing w:before="100" w:beforeAutospacing="1" w:after="100" w:afterAutospacing="1" w:line="240" w:lineRule="auto"/>
      <w:jc w:val="center"/>
      <w:textAlignment w:val="center"/>
    </w:pPr>
    <w:rPr>
      <w:rFonts w:eastAsia="Times New Roman"/>
      <w:sz w:val="24"/>
      <w:szCs w:val="24"/>
    </w:rPr>
  </w:style>
  <w:style w:type="paragraph" w:customStyle="1" w:styleId="383">
    <w:name w:val="xl74"/>
    <w:basedOn w:val="1"/>
    <w:qFormat/>
    <w:uiPriority w:val="0"/>
    <w:pPr>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384">
    <w:name w:val="xl75"/>
    <w:basedOn w:val="1"/>
    <w:qFormat/>
    <w:uiPriority w:val="0"/>
    <w:pPr>
      <w:spacing w:before="100" w:beforeAutospacing="1" w:after="100" w:afterAutospacing="1" w:line="240" w:lineRule="auto"/>
      <w:jc w:val="center"/>
      <w:textAlignment w:val="center"/>
    </w:pPr>
    <w:rPr>
      <w:rFonts w:eastAsia="Times New Roman"/>
      <w:b/>
      <w:bCs/>
      <w:sz w:val="24"/>
      <w:szCs w:val="24"/>
      <w:u w:val="single"/>
    </w:rPr>
  </w:style>
  <w:style w:type="paragraph" w:customStyle="1" w:styleId="385">
    <w:name w:val="xl76"/>
    <w:basedOn w:val="1"/>
    <w:qFormat/>
    <w:uiPriority w:val="0"/>
    <w:pPr>
      <w:pBdr>
        <w:top w:val="single" w:color="auto" w:sz="4" w:space="0"/>
        <w:left w:val="single" w:color="auto" w:sz="4" w:space="0"/>
        <w:bottom w:val="single" w:color="auto" w:sz="4" w:space="0"/>
        <w:right w:val="single" w:color="auto" w:sz="4" w:space="0"/>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386">
    <w:name w:val="xl77"/>
    <w:basedOn w:val="1"/>
    <w:qFormat/>
    <w:uiPriority w:val="0"/>
    <w:pPr>
      <w:pBdr>
        <w:top w:val="single" w:color="auto" w:sz="4" w:space="0"/>
        <w:left w:val="single" w:color="auto" w:sz="4" w:space="0"/>
        <w:bottom w:val="single" w:color="auto" w:sz="4" w:space="0"/>
        <w:right w:val="single" w:color="auto" w:sz="4" w:space="0"/>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387">
    <w:name w:val="xl78"/>
    <w:basedOn w:val="1"/>
    <w:qFormat/>
    <w:uiPriority w:val="0"/>
    <w:pPr>
      <w:pBdr>
        <w:top w:val="single" w:color="auto" w:sz="4" w:space="0"/>
        <w:left w:val="single" w:color="auto" w:sz="4" w:space="0"/>
        <w:bottom w:val="single" w:color="auto" w:sz="4" w:space="0"/>
        <w:right w:val="single" w:color="auto" w:sz="4" w:space="0"/>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388">
    <w:name w:val="xl79"/>
    <w:basedOn w:val="1"/>
    <w:qFormat/>
    <w:uiPriority w:val="0"/>
    <w:pPr>
      <w:pBdr>
        <w:top w:val="single" w:color="auto" w:sz="4" w:space="0"/>
        <w:left w:val="single" w:color="auto" w:sz="4" w:space="0"/>
        <w:bottom w:val="single" w:color="auto" w:sz="4" w:space="0"/>
        <w:right w:val="single" w:color="auto" w:sz="4" w:space="0"/>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389">
    <w:name w:val="xl80"/>
    <w:basedOn w:val="1"/>
    <w:qFormat/>
    <w:uiPriority w:val="0"/>
    <w:pPr>
      <w:pBdr>
        <w:top w:val="single" w:color="auto" w:sz="4" w:space="0"/>
        <w:left w:val="single" w:color="auto" w:sz="4" w:space="0"/>
        <w:bottom w:val="single" w:color="auto" w:sz="4" w:space="0"/>
        <w:right w:val="single" w:color="auto" w:sz="4" w:space="0"/>
      </w:pBdr>
      <w:shd w:val="clear" w:color="000000" w:fill="FFFFCC"/>
      <w:spacing w:before="100" w:beforeAutospacing="1" w:after="100" w:afterAutospacing="1" w:line="240" w:lineRule="auto"/>
      <w:textAlignment w:val="center"/>
    </w:pPr>
    <w:rPr>
      <w:rFonts w:eastAsia="Times New Roman"/>
      <w:b/>
      <w:bCs/>
      <w:sz w:val="24"/>
      <w:szCs w:val="24"/>
    </w:rPr>
  </w:style>
  <w:style w:type="paragraph" w:customStyle="1" w:styleId="390">
    <w:name w:val="xl81"/>
    <w:basedOn w:val="1"/>
    <w:qFormat/>
    <w:uiPriority w:val="0"/>
    <w:pPr>
      <w:pBdr>
        <w:top w:val="single" w:color="auto" w:sz="4" w:space="0"/>
        <w:left w:val="single" w:color="auto" w:sz="4" w:space="0"/>
        <w:bottom w:val="single" w:color="auto" w:sz="4" w:space="0"/>
        <w:right w:val="single" w:color="auto" w:sz="4" w:space="0"/>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391">
    <w:name w:val="xl82"/>
    <w:basedOn w:val="1"/>
    <w:qFormat/>
    <w:uiPriority w:val="0"/>
    <w:pPr>
      <w:pBdr>
        <w:top w:val="single" w:color="auto" w:sz="4" w:space="0"/>
        <w:left w:val="single" w:color="auto" w:sz="4" w:space="0"/>
        <w:bottom w:val="single" w:color="auto" w:sz="4" w:space="0"/>
        <w:right w:val="single" w:color="auto" w:sz="4" w:space="0"/>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39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sz w:val="24"/>
      <w:szCs w:val="24"/>
    </w:rPr>
  </w:style>
  <w:style w:type="paragraph" w:customStyle="1" w:styleId="393">
    <w:name w:val="xl8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sz w:val="24"/>
      <w:szCs w:val="24"/>
    </w:rPr>
  </w:style>
  <w:style w:type="paragraph" w:customStyle="1" w:styleId="394">
    <w:name w:val="xl8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b/>
      <w:bCs/>
      <w:sz w:val="24"/>
      <w:szCs w:val="24"/>
    </w:rPr>
  </w:style>
  <w:style w:type="paragraph" w:customStyle="1" w:styleId="395">
    <w:name w:val="xl8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sz w:val="24"/>
      <w:szCs w:val="24"/>
    </w:rPr>
  </w:style>
  <w:style w:type="paragraph" w:customStyle="1" w:styleId="396">
    <w:name w:val="xl87"/>
    <w:basedOn w:val="1"/>
    <w:qFormat/>
    <w:uiPriority w:val="0"/>
    <w:pPr>
      <w:pBdr>
        <w:top w:val="single" w:color="auto" w:sz="4" w:space="0"/>
        <w:left w:val="single" w:color="auto" w:sz="4" w:space="0"/>
        <w:bottom w:val="single" w:color="auto" w:sz="4" w:space="0"/>
        <w:right w:val="single" w:color="auto" w:sz="4" w:space="0"/>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397">
    <w:name w:val="xl88"/>
    <w:basedOn w:val="1"/>
    <w:qFormat/>
    <w:uiPriority w:val="0"/>
    <w:pPr>
      <w:pBdr>
        <w:top w:val="single" w:color="auto" w:sz="4" w:space="0"/>
        <w:left w:val="single" w:color="auto" w:sz="4" w:space="0"/>
        <w:bottom w:val="single" w:color="auto" w:sz="4" w:space="0"/>
        <w:right w:val="single" w:color="auto" w:sz="4" w:space="0"/>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398">
    <w:name w:val="xl8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sz w:val="24"/>
      <w:szCs w:val="24"/>
    </w:rPr>
  </w:style>
  <w:style w:type="paragraph" w:customStyle="1" w:styleId="399">
    <w:name w:val="xl9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color w:val="0000FF"/>
      <w:sz w:val="24"/>
      <w:szCs w:val="24"/>
    </w:rPr>
  </w:style>
  <w:style w:type="paragraph" w:customStyle="1" w:styleId="400">
    <w:name w:val="xl9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401">
    <w:name w:val="xl92"/>
    <w:basedOn w:val="1"/>
    <w:qFormat/>
    <w:uiPriority w:val="0"/>
    <w:pPr>
      <w:pBdr>
        <w:top w:val="single" w:color="auto" w:sz="4" w:space="0"/>
        <w:left w:val="single" w:color="auto" w:sz="4" w:space="0"/>
        <w:bottom w:val="single" w:color="auto" w:sz="4" w:space="0"/>
        <w:right w:val="single" w:color="auto" w:sz="4" w:space="0"/>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402">
    <w:name w:val="xl93"/>
    <w:basedOn w:val="1"/>
    <w:qFormat/>
    <w:uiPriority w:val="0"/>
    <w:pPr>
      <w:pBdr>
        <w:top w:val="single" w:color="auto" w:sz="4" w:space="0"/>
        <w:left w:val="single" w:color="auto" w:sz="4" w:space="0"/>
        <w:bottom w:val="single" w:color="auto" w:sz="4" w:space="0"/>
        <w:right w:val="single" w:color="auto" w:sz="4" w:space="0"/>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403">
    <w:name w:val="xl94"/>
    <w:basedOn w:val="1"/>
    <w:qFormat/>
    <w:uiPriority w:val="0"/>
    <w:pPr>
      <w:pBdr>
        <w:top w:val="single" w:color="auto" w:sz="4" w:space="0"/>
        <w:left w:val="single" w:color="auto" w:sz="4" w:space="0"/>
        <w:bottom w:val="single" w:color="auto" w:sz="4" w:space="0"/>
        <w:right w:val="single" w:color="auto" w:sz="4" w:space="0"/>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404">
    <w:name w:val="xl95"/>
    <w:basedOn w:val="1"/>
    <w:qFormat/>
    <w:uiPriority w:val="0"/>
    <w:pPr>
      <w:pBdr>
        <w:top w:val="single" w:color="auto" w:sz="4" w:space="0"/>
        <w:left w:val="single" w:color="auto" w:sz="4" w:space="0"/>
        <w:bottom w:val="single" w:color="auto" w:sz="4" w:space="0"/>
        <w:right w:val="single" w:color="auto" w:sz="4" w:space="0"/>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405">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b/>
      <w:bCs/>
      <w:sz w:val="24"/>
      <w:szCs w:val="24"/>
    </w:rPr>
  </w:style>
  <w:style w:type="paragraph" w:customStyle="1" w:styleId="406">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407">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sz w:val="24"/>
      <w:szCs w:val="24"/>
    </w:rPr>
  </w:style>
  <w:style w:type="paragraph" w:customStyle="1" w:styleId="408">
    <w:name w:val="xl9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sz w:val="24"/>
      <w:szCs w:val="24"/>
    </w:rPr>
  </w:style>
  <w:style w:type="paragraph" w:customStyle="1" w:styleId="409">
    <w:name w:val="xl100"/>
    <w:basedOn w:val="1"/>
    <w:qFormat/>
    <w:uiPriority w:val="0"/>
    <w:pPr>
      <w:pBdr>
        <w:top w:val="single" w:color="auto" w:sz="4" w:space="0"/>
        <w:left w:val="single" w:color="auto" w:sz="4" w:space="0"/>
        <w:bottom w:val="single" w:color="auto" w:sz="4" w:space="0"/>
        <w:right w:val="single" w:color="auto" w:sz="4" w:space="0"/>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410">
    <w:name w:val="xl10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411">
    <w:name w:val="xl10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sz w:val="24"/>
      <w:szCs w:val="24"/>
    </w:rPr>
  </w:style>
  <w:style w:type="paragraph" w:customStyle="1" w:styleId="412">
    <w:name w:val="xl103"/>
    <w:basedOn w:val="1"/>
    <w:qFormat/>
    <w:uiPriority w:val="0"/>
    <w:pPr>
      <w:pBdr>
        <w:top w:val="single" w:color="auto" w:sz="4" w:space="0"/>
        <w:left w:val="single" w:color="auto" w:sz="4" w:space="0"/>
        <w:bottom w:val="single" w:color="auto" w:sz="4" w:space="0"/>
        <w:right w:val="single" w:color="auto" w:sz="4" w:space="0"/>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413">
    <w:name w:val="xl104"/>
    <w:basedOn w:val="1"/>
    <w:qFormat/>
    <w:uiPriority w:val="0"/>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line="240" w:lineRule="auto"/>
      <w:textAlignment w:val="center"/>
    </w:pPr>
    <w:rPr>
      <w:rFonts w:eastAsia="Times New Roman"/>
      <w:b/>
      <w:bCs/>
      <w:sz w:val="24"/>
      <w:szCs w:val="24"/>
      <w:u w:val="single"/>
    </w:rPr>
  </w:style>
  <w:style w:type="paragraph" w:customStyle="1" w:styleId="414">
    <w:name w:val="xl105"/>
    <w:basedOn w:val="1"/>
    <w:qFormat/>
    <w:uiPriority w:val="0"/>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line="240" w:lineRule="auto"/>
      <w:jc w:val="center"/>
      <w:textAlignment w:val="center"/>
    </w:pPr>
    <w:rPr>
      <w:rFonts w:eastAsia="Times New Roman"/>
      <w:b/>
      <w:bCs/>
      <w:sz w:val="24"/>
      <w:szCs w:val="24"/>
      <w:u w:val="single"/>
    </w:rPr>
  </w:style>
  <w:style w:type="paragraph" w:customStyle="1" w:styleId="415">
    <w:name w:val="xl106"/>
    <w:basedOn w:val="1"/>
    <w:qFormat/>
    <w:uiPriority w:val="0"/>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line="240" w:lineRule="auto"/>
      <w:jc w:val="center"/>
      <w:textAlignment w:val="center"/>
    </w:pPr>
    <w:rPr>
      <w:rFonts w:eastAsia="Times New Roman"/>
      <w:b/>
      <w:bCs/>
      <w:sz w:val="24"/>
      <w:szCs w:val="24"/>
      <w:u w:val="single"/>
    </w:rPr>
  </w:style>
  <w:style w:type="character" w:customStyle="1" w:styleId="416">
    <w:name w:val="gt-icon-text"/>
    <w:basedOn w:val="11"/>
    <w:qFormat/>
    <w:uiPriority w:val="0"/>
  </w:style>
  <w:style w:type="paragraph" w:customStyle="1" w:styleId="417">
    <w:name w:val="Style Heading 4 + Times New Roman 12 pt"/>
    <w:basedOn w:val="5"/>
    <w:qFormat/>
    <w:uiPriority w:val="0"/>
    <w:pPr>
      <w:keepNext w:val="0"/>
      <w:keepLines w:val="0"/>
      <w:tabs>
        <w:tab w:val="left" w:pos="851"/>
      </w:tabs>
      <w:spacing w:before="120" w:after="120" w:line="240" w:lineRule="auto"/>
      <w:ind w:left="851" w:hanging="851"/>
      <w:jc w:val="both"/>
    </w:pPr>
    <w:rPr>
      <w:rFonts w:ascii="Arial" w:hAnsi="Arial"/>
      <w:bCs w:val="0"/>
      <w:i w:val="0"/>
      <w:iCs w:val="0"/>
      <w:color w:val="auto"/>
      <w:sz w:val="24"/>
      <w:szCs w:val="24"/>
      <w:lang w:val="en-GB" w:eastAsia="en-US"/>
    </w:rPr>
  </w:style>
  <w:style w:type="paragraph" w:customStyle="1" w:styleId="418">
    <w:name w:val="Style Heading 3 + Times New Roman 12 pt"/>
    <w:basedOn w:val="4"/>
    <w:qFormat/>
    <w:uiPriority w:val="0"/>
    <w:pPr>
      <w:keepNext w:val="0"/>
      <w:tabs>
        <w:tab w:val="left" w:pos="851"/>
      </w:tabs>
      <w:spacing w:after="240" w:line="240" w:lineRule="auto"/>
      <w:ind w:left="851" w:hanging="851"/>
      <w:jc w:val="both"/>
    </w:pPr>
    <w:rPr>
      <w:rFonts w:ascii="Times New Roman" w:hAnsi="Times New Roman"/>
      <w:bCs w:val="0"/>
      <w:caps/>
      <w:sz w:val="24"/>
      <w:szCs w:val="24"/>
      <w:lang w:val="en-GB"/>
    </w:rPr>
  </w:style>
  <w:style w:type="character" w:customStyle="1" w:styleId="419">
    <w:name w:val="Normal1 Char"/>
    <w:link w:val="321"/>
    <w:qFormat/>
    <w:uiPriority w:val="0"/>
    <w:rPr>
      <w:rFonts w:ascii="Arial" w:hAnsi="Arial" w:eastAsia="Times New Roman"/>
    </w:rPr>
  </w:style>
  <w:style w:type="paragraph" w:customStyle="1" w:styleId="420">
    <w:name w:val="V-1"/>
    <w:basedOn w:val="313"/>
    <w:qFormat/>
    <w:uiPriority w:val="0"/>
    <w:pPr>
      <w:widowControl/>
      <w:numPr>
        <w:ilvl w:val="0"/>
        <w:numId w:val="11"/>
      </w:numPr>
    </w:pPr>
    <w:rPr>
      <w:rFonts w:ascii="VNI-Helve-Condense" w:hAnsi="VNI-Helve-Condense"/>
      <w:b/>
      <w:sz w:val="22"/>
    </w:rPr>
  </w:style>
  <w:style w:type="character" w:customStyle="1" w:styleId="421">
    <w:name w:val="tw4winMark"/>
    <w:qFormat/>
    <w:uiPriority w:val="0"/>
    <w:rPr>
      <w:rFonts w:ascii="Courier New" w:hAnsi="Courier New" w:cs="Courier New"/>
      <w:vanish/>
      <w:color w:val="800080"/>
      <w:sz w:val="22"/>
      <w:vertAlign w:val="subscript"/>
      <w:lang w:val="vi-VN"/>
    </w:rPr>
  </w:style>
  <w:style w:type="character" w:customStyle="1" w:styleId="422">
    <w:name w:val="Heading 2 Char1"/>
    <w:basedOn w:val="11"/>
    <w:semiHidden/>
    <w:qFormat/>
    <w:uiPriority w:val="0"/>
    <w:rPr>
      <w:rFonts w:asciiTheme="majorHAnsi" w:hAnsiTheme="majorHAnsi" w:eastAsiaTheme="majorEastAsia" w:cstheme="majorBidi"/>
      <w:b/>
      <w:bCs/>
      <w:color w:val="4472C4" w:themeColor="accent1"/>
      <w:sz w:val="26"/>
      <w:szCs w:val="26"/>
      <w14:textFill>
        <w14:solidFill>
          <w14:schemeClr w14:val="accent1"/>
        </w14:solidFill>
      </w14:textFill>
    </w:rPr>
  </w:style>
  <w:style w:type="character" w:customStyle="1" w:styleId="423">
    <w:name w:val="Heading 4 Char1"/>
    <w:basedOn w:val="11"/>
    <w:semiHidden/>
    <w:qFormat/>
    <w:uiPriority w:val="0"/>
    <w:rPr>
      <w:rFonts w:asciiTheme="majorHAnsi" w:hAnsiTheme="majorHAnsi" w:eastAsiaTheme="majorEastAsia" w:cstheme="majorBidi"/>
      <w:b/>
      <w:bCs/>
      <w:i/>
      <w:iCs/>
      <w:color w:val="4472C4" w:themeColor="accent1"/>
      <w:sz w:val="24"/>
      <w14:textFill>
        <w14:solidFill>
          <w14:schemeClr w14:val="accent1"/>
        </w14:solidFill>
      </w14:textFill>
    </w:rPr>
  </w:style>
  <w:style w:type="character" w:customStyle="1" w:styleId="424">
    <w:name w:val="Heading 6 Char1"/>
    <w:basedOn w:val="11"/>
    <w:semiHidden/>
    <w:qFormat/>
    <w:uiPriority w:val="0"/>
    <w:rPr>
      <w:rFonts w:asciiTheme="majorHAnsi" w:hAnsiTheme="majorHAnsi" w:eastAsiaTheme="majorEastAsia" w:cstheme="majorBidi"/>
      <w:i/>
      <w:iCs/>
      <w:color w:val="203864" w:themeColor="accent1" w:themeShade="80"/>
      <w:sz w:val="24"/>
    </w:rPr>
  </w:style>
  <w:style w:type="character" w:customStyle="1" w:styleId="425">
    <w:name w:val="Heading 9 Char1"/>
    <w:basedOn w:val="11"/>
    <w:semiHidden/>
    <w:qFormat/>
    <w:uiPriority w:val="0"/>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426">
    <w:name w:val="Header Char1"/>
    <w:basedOn w:val="11"/>
    <w:semiHidden/>
    <w:qFormat/>
    <w:uiPriority w:val="99"/>
    <w:rPr>
      <w:rFonts w:ascii="VNI-Times" w:hAnsi="VNI-Times" w:eastAsia="Times New Roman"/>
      <w:sz w:val="24"/>
    </w:rPr>
  </w:style>
  <w:style w:type="character" w:customStyle="1" w:styleId="427">
    <w:name w:val="Body Text Indent Char1"/>
    <w:basedOn w:val="11"/>
    <w:semiHidden/>
    <w:qFormat/>
    <w:uiPriority w:val="0"/>
    <w:rPr>
      <w:rFonts w:ascii="VNI-Times" w:hAnsi="VNI-Times" w:eastAsia="Times New Roman"/>
      <w:sz w:val="24"/>
    </w:rPr>
  </w:style>
  <w:style w:type="character" w:customStyle="1" w:styleId="428">
    <w:name w:val="Plain Text Char"/>
    <w:basedOn w:val="11"/>
    <w:link w:val="64"/>
    <w:semiHidden/>
    <w:qFormat/>
    <w:uiPriority w:val="0"/>
    <w:rPr>
      <w:rFonts w:ascii="Courier New" w:hAnsi="Courier New" w:eastAsia="Times New Roman"/>
      <w:lang w:val="de-DE" w:eastAsia="de-DE"/>
    </w:rPr>
  </w:style>
  <w:style w:type="paragraph" w:styleId="429">
    <w:name w:val="No Spacing"/>
    <w:qFormat/>
    <w:uiPriority w:val="1"/>
    <w:rPr>
      <w:rFonts w:ascii="Times New Roman" w:hAnsi="Times New Roman" w:eastAsia="Times New Roman" w:cs="Times New Roman"/>
      <w:sz w:val="24"/>
      <w:lang w:val="en-US" w:eastAsia="en-US" w:bidi="ar-SA"/>
    </w:rPr>
  </w:style>
  <w:style w:type="paragraph" w:customStyle="1" w:styleId="430">
    <w:name w:val="Revision1"/>
    <w:semiHidden/>
    <w:qFormat/>
    <w:uiPriority w:val="99"/>
    <w:rPr>
      <w:rFonts w:ascii="Times New Roman" w:hAnsi="Times New Roman" w:eastAsia="Times New Roman" w:cs="Times New Roman"/>
      <w:sz w:val="24"/>
      <w:lang w:val="en-US" w:eastAsia="en-US" w:bidi="ar-SA"/>
    </w:rPr>
  </w:style>
  <w:style w:type="paragraph" w:customStyle="1" w:styleId="431">
    <w:name w:val="TOC Heading1"/>
    <w:basedOn w:val="2"/>
    <w:next w:val="1"/>
    <w:semiHidden/>
    <w:unhideWhenUsed/>
    <w:qFormat/>
    <w:uiPriority w:val="39"/>
    <w:pPr>
      <w:keepLines/>
      <w:spacing w:before="480" w:after="0" w:line="276" w:lineRule="auto"/>
      <w:outlineLvl w:val="9"/>
    </w:pPr>
    <w:rPr>
      <w:rFonts w:ascii="Cambria" w:hAnsi="Cambria" w:eastAsia="Calibri"/>
      <w:color w:val="365F91"/>
      <w:kern w:val="0"/>
      <w:sz w:val="28"/>
      <w:szCs w:val="28"/>
    </w:rPr>
  </w:style>
  <w:style w:type="paragraph" w:customStyle="1" w:styleId="432">
    <w:name w:val="iDENTT"/>
    <w:basedOn w:val="1"/>
    <w:qFormat/>
    <w:uiPriority w:val="0"/>
    <w:pPr>
      <w:snapToGrid w:val="0"/>
      <w:spacing w:before="120" w:after="120" w:line="400" w:lineRule="exact"/>
    </w:pPr>
    <w:rPr>
      <w:rFonts w:eastAsia="Times New Roman"/>
      <w:b/>
      <w:sz w:val="24"/>
      <w:szCs w:val="20"/>
    </w:rPr>
  </w:style>
  <w:style w:type="paragraph" w:customStyle="1" w:styleId="433">
    <w:name w:val="Ident Bullet 5"/>
    <w:basedOn w:val="51"/>
    <w:qFormat/>
    <w:uiPriority w:val="0"/>
    <w:pPr>
      <w:widowControl w:val="0"/>
      <w:tabs>
        <w:tab w:val="left" w:pos="1276"/>
        <w:tab w:val="left" w:pos="6096"/>
        <w:tab w:val="left" w:pos="7230"/>
      </w:tabs>
      <w:snapToGrid w:val="0"/>
      <w:spacing w:before="120" w:after="120" w:line="400" w:lineRule="atLeast"/>
      <w:ind w:left="2552" w:hanging="567"/>
      <w:jc w:val="both"/>
    </w:pPr>
    <w:rPr>
      <w:rFonts w:ascii="VNI-Times" w:hAnsi="VNI-Times"/>
      <w:b/>
      <w:sz w:val="24"/>
    </w:rPr>
  </w:style>
  <w:style w:type="paragraph" w:customStyle="1" w:styleId="434">
    <w:name w:val="Number"/>
    <w:basedOn w:val="432"/>
    <w:qFormat/>
    <w:uiPriority w:val="0"/>
  </w:style>
  <w:style w:type="paragraph" w:customStyle="1" w:styleId="435">
    <w:name w:val="List Bullet A"/>
    <w:basedOn w:val="51"/>
    <w:qFormat/>
    <w:uiPriority w:val="0"/>
    <w:pPr>
      <w:widowControl w:val="0"/>
      <w:tabs>
        <w:tab w:val="left" w:pos="1985"/>
        <w:tab w:val="clear" w:pos="1800"/>
      </w:tabs>
      <w:snapToGrid w:val="0"/>
      <w:spacing w:before="120" w:after="120" w:line="400" w:lineRule="atLeast"/>
      <w:ind w:left="1418" w:hanging="567"/>
      <w:jc w:val="both"/>
    </w:pPr>
    <w:rPr>
      <w:sz w:val="22"/>
      <w:szCs w:val="22"/>
      <w:lang w:val="en-GB"/>
    </w:rPr>
  </w:style>
  <w:style w:type="paragraph" w:customStyle="1" w:styleId="436">
    <w:name w:val="font6"/>
    <w:basedOn w:val="1"/>
    <w:qFormat/>
    <w:uiPriority w:val="0"/>
    <w:pPr>
      <w:spacing w:before="100" w:beforeAutospacing="1" w:after="100" w:afterAutospacing="1" w:line="240" w:lineRule="auto"/>
    </w:pPr>
    <w:rPr>
      <w:rFonts w:eastAsia="Arial Unicode MS"/>
      <w:sz w:val="22"/>
      <w:szCs w:val="22"/>
    </w:rPr>
  </w:style>
  <w:style w:type="paragraph" w:customStyle="1" w:styleId="437">
    <w:name w:val="xl54"/>
    <w:basedOn w:val="1"/>
    <w:qFormat/>
    <w:uiPriority w:val="0"/>
    <w:pPr>
      <w:pBdr>
        <w:left w:val="single" w:color="auto" w:sz="4" w:space="0"/>
      </w:pBdr>
      <w:spacing w:before="100" w:beforeAutospacing="1" w:after="100" w:afterAutospacing="1" w:line="240" w:lineRule="auto"/>
      <w:jc w:val="center"/>
    </w:pPr>
    <w:rPr>
      <w:rFonts w:eastAsia="Arial Unicode MS"/>
      <w:sz w:val="22"/>
      <w:szCs w:val="22"/>
    </w:rPr>
  </w:style>
  <w:style w:type="paragraph" w:customStyle="1" w:styleId="438">
    <w:name w:val="font7"/>
    <w:basedOn w:val="1"/>
    <w:qFormat/>
    <w:uiPriority w:val="0"/>
    <w:pPr>
      <w:spacing w:before="100" w:beforeAutospacing="1" w:after="100" w:afterAutospacing="1" w:line="240" w:lineRule="auto"/>
    </w:pPr>
    <w:rPr>
      <w:rFonts w:eastAsia="Arial Unicode MS"/>
      <w:i/>
      <w:iCs/>
      <w:sz w:val="22"/>
      <w:szCs w:val="22"/>
    </w:rPr>
  </w:style>
  <w:style w:type="paragraph" w:customStyle="1" w:styleId="439">
    <w:name w:val="Tieu de chinh"/>
    <w:basedOn w:val="1"/>
    <w:next w:val="1"/>
    <w:qFormat/>
    <w:uiPriority w:val="0"/>
    <w:pPr>
      <w:spacing w:before="480" w:after="120" w:line="240" w:lineRule="auto"/>
      <w:jc w:val="center"/>
    </w:pPr>
    <w:rPr>
      <w:rFonts w:ascii="PdTimeH" w:hAnsi="PdTimeH" w:eastAsia="Times New Roman"/>
      <w:b/>
      <w:sz w:val="22"/>
      <w:szCs w:val="20"/>
      <w:lang w:val="en-GB"/>
    </w:rPr>
  </w:style>
  <w:style w:type="paragraph" w:customStyle="1" w:styleId="440">
    <w:name w:val="ndbang2"/>
    <w:basedOn w:val="1"/>
    <w:qFormat/>
    <w:uiPriority w:val="0"/>
    <w:pPr>
      <w:widowControl w:val="0"/>
      <w:snapToGrid w:val="0"/>
      <w:spacing w:after="0" w:line="240" w:lineRule="auto"/>
      <w:ind w:left="142"/>
    </w:pPr>
    <w:rPr>
      <w:rFonts w:ascii="VNI-Times" w:hAnsi="VNI-Times" w:eastAsia="Times New Roman"/>
      <w:color w:val="000000"/>
      <w:spacing w:val="-2"/>
      <w:kern w:val="20"/>
      <w:sz w:val="22"/>
      <w:szCs w:val="20"/>
    </w:rPr>
  </w:style>
  <w:style w:type="paragraph" w:customStyle="1" w:styleId="441">
    <w:name w:val="ndbang3"/>
    <w:basedOn w:val="1"/>
    <w:qFormat/>
    <w:uiPriority w:val="0"/>
    <w:pPr>
      <w:widowControl w:val="0"/>
      <w:numPr>
        <w:ilvl w:val="0"/>
        <w:numId w:val="12"/>
      </w:numPr>
      <w:snapToGrid w:val="0"/>
      <w:spacing w:after="0" w:line="240" w:lineRule="auto"/>
    </w:pPr>
    <w:rPr>
      <w:rFonts w:ascii="VNI-Times" w:hAnsi="VNI-Times" w:eastAsia="Times New Roman"/>
      <w:color w:val="000000"/>
      <w:spacing w:val="-2"/>
      <w:kern w:val="20"/>
      <w:sz w:val="24"/>
      <w:szCs w:val="20"/>
    </w:rPr>
  </w:style>
  <w:style w:type="paragraph" w:customStyle="1" w:styleId="442">
    <w:name w:val="ndbang5"/>
    <w:basedOn w:val="1"/>
    <w:qFormat/>
    <w:uiPriority w:val="0"/>
    <w:pPr>
      <w:widowControl w:val="0"/>
      <w:snapToGrid w:val="0"/>
      <w:spacing w:after="0" w:line="240" w:lineRule="auto"/>
      <w:jc w:val="center"/>
    </w:pPr>
    <w:rPr>
      <w:rFonts w:ascii="VNI-Times" w:hAnsi="VNI-Times" w:eastAsia="Times New Roman"/>
      <w:color w:val="000000"/>
      <w:spacing w:val="-2"/>
      <w:kern w:val="20"/>
      <w:sz w:val="22"/>
      <w:szCs w:val="20"/>
    </w:rPr>
  </w:style>
  <w:style w:type="paragraph" w:customStyle="1" w:styleId="443">
    <w:name w:val="Indent of body"/>
    <w:basedOn w:val="18"/>
    <w:qFormat/>
    <w:uiPriority w:val="0"/>
    <w:pPr>
      <w:widowControl w:val="0"/>
      <w:numPr>
        <w:ilvl w:val="0"/>
        <w:numId w:val="13"/>
      </w:numPr>
      <w:tabs>
        <w:tab w:val="left" w:pos="1683"/>
      </w:tabs>
      <w:snapToGrid w:val="0"/>
      <w:spacing w:line="240" w:lineRule="auto"/>
      <w:jc w:val="both"/>
    </w:pPr>
    <w:rPr>
      <w:snapToGrid w:val="0"/>
      <w:sz w:val="22"/>
      <w:szCs w:val="20"/>
    </w:rPr>
  </w:style>
  <w:style w:type="paragraph" w:customStyle="1" w:styleId="444">
    <w:name w:val="Indent of body2"/>
    <w:basedOn w:val="443"/>
    <w:autoRedefine/>
    <w:qFormat/>
    <w:uiPriority w:val="0"/>
    <w:pPr>
      <w:numPr>
        <w:numId w:val="0"/>
      </w:numPr>
      <w:tabs>
        <w:tab w:val="clear" w:pos="1683"/>
      </w:tabs>
    </w:pPr>
  </w:style>
  <w:style w:type="paragraph" w:customStyle="1" w:styleId="445">
    <w:name w:val="Indent of bd M"/>
    <w:basedOn w:val="1"/>
    <w:autoRedefine/>
    <w:qFormat/>
    <w:uiPriority w:val="0"/>
    <w:pPr>
      <w:widowControl w:val="0"/>
      <w:tabs>
        <w:tab w:val="left" w:pos="1080"/>
      </w:tabs>
      <w:snapToGrid w:val="0"/>
      <w:spacing w:after="120" w:line="240" w:lineRule="auto"/>
      <w:ind w:left="1077" w:hanging="357"/>
      <w:jc w:val="both"/>
    </w:pPr>
    <w:rPr>
      <w:rFonts w:eastAsia="Times New Roman"/>
      <w:sz w:val="22"/>
      <w:szCs w:val="20"/>
    </w:rPr>
  </w:style>
  <w:style w:type="paragraph" w:customStyle="1" w:styleId="446">
    <w:name w:val="Leerzeile"/>
    <w:qFormat/>
    <w:uiPriority w:val="0"/>
    <w:pPr>
      <w:autoSpaceDE w:val="0"/>
      <w:autoSpaceDN w:val="0"/>
      <w:spacing w:line="240" w:lineRule="exact"/>
    </w:pPr>
    <w:rPr>
      <w:rFonts w:ascii="CG Times (W1)" w:hAnsi="CG Times (W1)" w:eastAsia="Times New Roman" w:cs="Times New Roman"/>
      <w:sz w:val="24"/>
      <w:szCs w:val="24"/>
      <w:lang w:val="de-DE" w:eastAsia="en-US" w:bidi="ar-SA"/>
    </w:rPr>
  </w:style>
  <w:style w:type="paragraph" w:customStyle="1" w:styleId="447">
    <w:name w:val="Style3"/>
    <w:qFormat/>
    <w:uiPriority w:val="0"/>
    <w:rPr>
      <w:rFonts w:ascii=".VnArial" w:hAnsi=".VnArial" w:eastAsia="Times New Roman" w:cs="Times New Roman"/>
      <w:b/>
      <w:sz w:val="24"/>
      <w:lang w:val="en-US" w:eastAsia="en-US" w:bidi="ar-SA"/>
    </w:rPr>
  </w:style>
  <w:style w:type="paragraph" w:customStyle="1" w:styleId="448">
    <w:name w:val="TungBody"/>
    <w:basedOn w:val="1"/>
    <w:qFormat/>
    <w:uiPriority w:val="0"/>
    <w:pPr>
      <w:spacing w:before="120" w:after="0" w:line="312" w:lineRule="auto"/>
      <w:jc w:val="both"/>
    </w:pPr>
    <w:rPr>
      <w:rFonts w:ascii=".VnArial" w:hAnsi=".VnArial" w:eastAsia="Times New Roman"/>
      <w:sz w:val="24"/>
      <w:szCs w:val="24"/>
    </w:rPr>
  </w:style>
  <w:style w:type="paragraph" w:customStyle="1" w:styleId="449">
    <w:name w:val="i0.6-n0.6"/>
    <w:basedOn w:val="1"/>
    <w:qFormat/>
    <w:uiPriority w:val="0"/>
    <w:pPr>
      <w:widowControl w:val="0"/>
      <w:autoSpaceDE w:val="0"/>
      <w:autoSpaceDN w:val="0"/>
      <w:spacing w:before="120" w:after="60" w:line="300" w:lineRule="auto"/>
      <w:ind w:left="1080"/>
      <w:jc w:val="both"/>
    </w:pPr>
    <w:rPr>
      <w:rFonts w:ascii="Arial" w:hAnsi="Arial" w:eastAsia="MS Mincho"/>
      <w:sz w:val="22"/>
      <w:szCs w:val="20"/>
      <w:lang w:val="en-GB" w:eastAsia="ja-JP"/>
    </w:rPr>
  </w:style>
  <w:style w:type="paragraph" w:customStyle="1" w:styleId="450">
    <w:name w:val="data"/>
    <w:basedOn w:val="1"/>
    <w:qFormat/>
    <w:uiPriority w:val="0"/>
    <w:pPr>
      <w:tabs>
        <w:tab w:val="right" w:leader="dot" w:pos="4253"/>
      </w:tabs>
      <w:spacing w:after="0" w:line="240" w:lineRule="auto"/>
    </w:pPr>
    <w:rPr>
      <w:rFonts w:ascii="Arial Narrow" w:hAnsi="Arial Narrow" w:eastAsia="Times New Roman"/>
      <w:sz w:val="20"/>
      <w:szCs w:val="20"/>
      <w:lang w:val="en-GB"/>
    </w:rPr>
  </w:style>
  <w:style w:type="paragraph" w:customStyle="1" w:styleId="451">
    <w:name w:val="Tung5"/>
    <w:autoRedefine/>
    <w:qFormat/>
    <w:uiPriority w:val="0"/>
    <w:rPr>
      <w:rFonts w:ascii=".VnArial" w:hAnsi=".VnArial" w:eastAsia="Times New Roman" w:cs="Times New Roman"/>
      <w:sz w:val="24"/>
      <w:lang w:val="en-US" w:eastAsia="en-US" w:bidi="ar-SA"/>
    </w:rPr>
  </w:style>
  <w:style w:type="paragraph" w:customStyle="1" w:styleId="452">
    <w:name w:val="toa"/>
    <w:basedOn w:val="1"/>
    <w:qFormat/>
    <w:uiPriority w:val="0"/>
    <w:pPr>
      <w:suppressAutoHyphens/>
      <w:spacing w:before="120" w:after="120" w:line="240" w:lineRule="auto"/>
      <w:ind w:left="720"/>
      <w:jc w:val="both"/>
    </w:pPr>
    <w:rPr>
      <w:rFonts w:ascii=".VnTime" w:hAnsi=".VnTime" w:eastAsia="Times New Roman"/>
      <w:sz w:val="24"/>
      <w:szCs w:val="24"/>
    </w:rPr>
  </w:style>
  <w:style w:type="paragraph" w:customStyle="1" w:styleId="453">
    <w:name w:val="Style Body Text + Blue Char Char Char Char Char Char Char Char Char"/>
    <w:basedOn w:val="15"/>
    <w:qFormat/>
    <w:uiPriority w:val="0"/>
    <w:pPr>
      <w:spacing w:before="120" w:after="0" w:line="240" w:lineRule="auto"/>
      <w:jc w:val="both"/>
    </w:pPr>
    <w:rPr>
      <w:color w:val="0000FF"/>
      <w:sz w:val="22"/>
      <w:szCs w:val="22"/>
    </w:rPr>
  </w:style>
  <w:style w:type="paragraph" w:customStyle="1" w:styleId="454">
    <w:name w:val="Style Body Text + Blue Char Char Char Char Char Char Char"/>
    <w:basedOn w:val="15"/>
    <w:qFormat/>
    <w:uiPriority w:val="0"/>
    <w:pPr>
      <w:spacing w:before="120" w:after="0" w:line="240" w:lineRule="auto"/>
      <w:jc w:val="both"/>
    </w:pPr>
    <w:rPr>
      <w:color w:val="0000FF"/>
      <w:sz w:val="22"/>
      <w:szCs w:val="22"/>
    </w:rPr>
  </w:style>
  <w:style w:type="paragraph" w:customStyle="1" w:styleId="455">
    <w:name w:val="Spiegelstrich1"/>
    <w:basedOn w:val="1"/>
    <w:qFormat/>
    <w:uiPriority w:val="0"/>
    <w:pPr>
      <w:keepNext/>
      <w:keepLines/>
      <w:numPr>
        <w:ilvl w:val="0"/>
        <w:numId w:val="14"/>
      </w:numPr>
      <w:tabs>
        <w:tab w:val="left" w:pos="284"/>
      </w:tabs>
      <w:spacing w:before="60" w:after="0" w:line="240" w:lineRule="auto"/>
      <w:ind w:left="360"/>
      <w:jc w:val="both"/>
    </w:pPr>
    <w:rPr>
      <w:rFonts w:ascii="Arial" w:hAnsi="Arial" w:eastAsia="Times New Roman"/>
      <w:sz w:val="22"/>
      <w:szCs w:val="20"/>
      <w:lang w:val="en-GB"/>
    </w:rPr>
  </w:style>
  <w:style w:type="paragraph" w:customStyle="1" w:styleId="456">
    <w:name w:val="Style Spiegelstrich1 + Blue"/>
    <w:basedOn w:val="455"/>
    <w:qFormat/>
    <w:uiPriority w:val="0"/>
    <w:pPr>
      <w:tabs>
        <w:tab w:val="left" w:pos="993"/>
        <w:tab w:val="clear" w:pos="284"/>
      </w:tabs>
      <w:ind w:left="284" w:hanging="284"/>
    </w:pPr>
    <w:rPr>
      <w:szCs w:val="22"/>
    </w:rPr>
  </w:style>
  <w:style w:type="paragraph" w:customStyle="1" w:styleId="457">
    <w:name w:val="font5"/>
    <w:basedOn w:val="1"/>
    <w:qFormat/>
    <w:uiPriority w:val="0"/>
    <w:pPr>
      <w:spacing w:before="100" w:beforeAutospacing="1" w:after="100" w:afterAutospacing="1" w:line="240" w:lineRule="auto"/>
    </w:pPr>
    <w:rPr>
      <w:rFonts w:eastAsia="Arial Unicode MS"/>
      <w:sz w:val="22"/>
      <w:szCs w:val="22"/>
    </w:rPr>
  </w:style>
  <w:style w:type="paragraph" w:customStyle="1" w:styleId="458">
    <w:name w:val="xl27"/>
    <w:basedOn w:val="1"/>
    <w:qFormat/>
    <w:uiPriority w:val="0"/>
    <w:pPr>
      <w:pBdr>
        <w:top w:val="double" w:color="auto" w:sz="6" w:space="0"/>
        <w:left w:val="double" w:color="auto" w:sz="6" w:space="0"/>
        <w:bottom w:val="double" w:color="auto" w:sz="6" w:space="0"/>
        <w:right w:val="single" w:color="auto" w:sz="4" w:space="0"/>
      </w:pBdr>
      <w:spacing w:before="100" w:beforeAutospacing="1" w:after="100" w:afterAutospacing="1" w:line="240" w:lineRule="auto"/>
      <w:jc w:val="center"/>
    </w:pPr>
    <w:rPr>
      <w:rFonts w:ascii="Arial Unicode MS" w:hAnsi="Arial Unicode MS" w:eastAsia="Arial Unicode MS" w:cs="Arial Unicode MS"/>
      <w:b/>
      <w:bCs/>
      <w:sz w:val="24"/>
      <w:szCs w:val="24"/>
    </w:rPr>
  </w:style>
  <w:style w:type="paragraph" w:customStyle="1" w:styleId="459">
    <w:name w:val="xl28"/>
    <w:basedOn w:val="1"/>
    <w:qFormat/>
    <w:uiPriority w:val="0"/>
    <w:pPr>
      <w:pBdr>
        <w:top w:val="double" w:color="auto" w:sz="6" w:space="0"/>
        <w:left w:val="single" w:color="auto" w:sz="4" w:space="0"/>
        <w:bottom w:val="double" w:color="auto" w:sz="6" w:space="0"/>
        <w:right w:val="single" w:color="auto" w:sz="4" w:space="0"/>
      </w:pBdr>
      <w:spacing w:before="100" w:beforeAutospacing="1" w:after="100" w:afterAutospacing="1" w:line="240" w:lineRule="auto"/>
      <w:jc w:val="center"/>
    </w:pPr>
    <w:rPr>
      <w:rFonts w:ascii="Arial Unicode MS" w:hAnsi="Arial Unicode MS" w:eastAsia="Arial Unicode MS" w:cs="Arial Unicode MS"/>
      <w:b/>
      <w:bCs/>
      <w:sz w:val="24"/>
      <w:szCs w:val="24"/>
    </w:rPr>
  </w:style>
  <w:style w:type="paragraph" w:customStyle="1" w:styleId="460">
    <w:name w:val="xl29"/>
    <w:basedOn w:val="1"/>
    <w:qFormat/>
    <w:uiPriority w:val="0"/>
    <w:pPr>
      <w:pBdr>
        <w:top w:val="double" w:color="auto" w:sz="6" w:space="0"/>
        <w:left w:val="single" w:color="auto" w:sz="4" w:space="0"/>
        <w:bottom w:val="double" w:color="auto" w:sz="6" w:space="0"/>
        <w:right w:val="double" w:color="auto" w:sz="6" w:space="0"/>
      </w:pBdr>
      <w:spacing w:before="100" w:beforeAutospacing="1" w:after="100" w:afterAutospacing="1" w:line="240" w:lineRule="auto"/>
      <w:jc w:val="center"/>
    </w:pPr>
    <w:rPr>
      <w:rFonts w:ascii="Arial Unicode MS" w:hAnsi="Arial Unicode MS" w:eastAsia="Arial Unicode MS" w:cs="Arial Unicode MS"/>
      <w:b/>
      <w:bCs/>
      <w:sz w:val="24"/>
      <w:szCs w:val="24"/>
    </w:rPr>
  </w:style>
  <w:style w:type="paragraph" w:customStyle="1" w:styleId="461">
    <w:name w:val="xl30"/>
    <w:basedOn w:val="1"/>
    <w:qFormat/>
    <w:uiPriority w:val="0"/>
    <w:pPr>
      <w:pBdr>
        <w:top w:val="single" w:color="auto" w:sz="4" w:space="0"/>
        <w:left w:val="double" w:color="auto" w:sz="6" w:space="0"/>
        <w:bottom w:val="single" w:color="auto" w:sz="4" w:space="0"/>
        <w:right w:val="single" w:color="auto" w:sz="4" w:space="0"/>
      </w:pBdr>
      <w:spacing w:before="100" w:beforeAutospacing="1" w:after="100" w:afterAutospacing="1" w:line="240" w:lineRule="auto"/>
      <w:jc w:val="center"/>
    </w:pPr>
    <w:rPr>
      <w:rFonts w:ascii="Arial Unicode MS" w:hAnsi="Arial Unicode MS" w:eastAsia="Arial Unicode MS" w:cs="Arial Unicode MS"/>
      <w:sz w:val="24"/>
      <w:szCs w:val="24"/>
    </w:rPr>
  </w:style>
  <w:style w:type="paragraph" w:customStyle="1" w:styleId="462">
    <w:name w:val="xl3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Unicode MS" w:hAnsi="Arial Unicode MS" w:eastAsia="Arial Unicode MS" w:cs="Arial Unicode MS"/>
      <w:sz w:val="24"/>
      <w:szCs w:val="24"/>
    </w:rPr>
  </w:style>
  <w:style w:type="paragraph" w:customStyle="1" w:styleId="463">
    <w:name w:val="xl3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Unicode MS" w:hAnsi="Arial Unicode MS" w:eastAsia="Arial Unicode MS" w:cs="Arial Unicode MS"/>
      <w:sz w:val="24"/>
      <w:szCs w:val="24"/>
    </w:rPr>
  </w:style>
  <w:style w:type="paragraph" w:customStyle="1" w:styleId="464">
    <w:name w:val="xl33"/>
    <w:basedOn w:val="1"/>
    <w:qFormat/>
    <w:uiPriority w:val="0"/>
    <w:pPr>
      <w:pBdr>
        <w:top w:val="single" w:color="auto" w:sz="4" w:space="0"/>
        <w:left w:val="single" w:color="auto" w:sz="4" w:space="0"/>
        <w:bottom w:val="single" w:color="auto" w:sz="4" w:space="0"/>
        <w:right w:val="double" w:color="auto" w:sz="6" w:space="0"/>
      </w:pBdr>
      <w:spacing w:before="100" w:beforeAutospacing="1" w:after="100" w:afterAutospacing="1" w:line="240" w:lineRule="auto"/>
    </w:pPr>
    <w:rPr>
      <w:rFonts w:ascii="Arial Unicode MS" w:hAnsi="Arial Unicode MS" w:eastAsia="Arial Unicode MS" w:cs="Arial Unicode MS"/>
      <w:sz w:val="24"/>
      <w:szCs w:val="24"/>
    </w:rPr>
  </w:style>
  <w:style w:type="paragraph" w:customStyle="1" w:styleId="465">
    <w:name w:val="xl34"/>
    <w:basedOn w:val="1"/>
    <w:qFormat/>
    <w:uiPriority w:val="0"/>
    <w:pPr>
      <w:pBdr>
        <w:top w:val="single" w:color="auto" w:sz="4" w:space="0"/>
        <w:left w:val="double" w:color="auto" w:sz="6" w:space="0"/>
        <w:bottom w:val="single" w:color="auto" w:sz="4" w:space="0"/>
        <w:right w:val="single" w:color="auto" w:sz="4" w:space="0"/>
      </w:pBdr>
      <w:spacing w:before="100" w:beforeAutospacing="1" w:after="100" w:afterAutospacing="1" w:line="240" w:lineRule="auto"/>
      <w:jc w:val="center"/>
    </w:pPr>
    <w:rPr>
      <w:rFonts w:ascii="Arial Unicode MS" w:hAnsi="Arial Unicode MS" w:eastAsia="Arial Unicode MS" w:cs="Arial Unicode MS"/>
      <w:sz w:val="24"/>
      <w:szCs w:val="24"/>
    </w:rPr>
  </w:style>
  <w:style w:type="paragraph" w:customStyle="1" w:styleId="466">
    <w:name w:val="xl3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Unicode MS" w:hAnsi="Arial Unicode MS" w:eastAsia="Arial Unicode MS" w:cs="Arial Unicode MS"/>
      <w:sz w:val="24"/>
      <w:szCs w:val="24"/>
    </w:rPr>
  </w:style>
  <w:style w:type="paragraph" w:customStyle="1" w:styleId="467">
    <w:name w:val="xl36"/>
    <w:basedOn w:val="1"/>
    <w:qFormat/>
    <w:uiPriority w:val="0"/>
    <w:pPr>
      <w:pBdr>
        <w:top w:val="single" w:color="auto" w:sz="4" w:space="0"/>
        <w:left w:val="double" w:color="auto" w:sz="6" w:space="0"/>
        <w:bottom w:val="double" w:color="auto" w:sz="6" w:space="0"/>
        <w:right w:val="single" w:color="auto" w:sz="4" w:space="0"/>
      </w:pBdr>
      <w:spacing w:before="100" w:beforeAutospacing="1" w:after="100" w:afterAutospacing="1" w:line="240" w:lineRule="auto"/>
      <w:jc w:val="center"/>
    </w:pPr>
    <w:rPr>
      <w:rFonts w:ascii="Arial Unicode MS" w:hAnsi="Arial Unicode MS" w:eastAsia="Arial Unicode MS" w:cs="Arial Unicode MS"/>
      <w:sz w:val="24"/>
      <w:szCs w:val="24"/>
    </w:rPr>
  </w:style>
  <w:style w:type="paragraph" w:customStyle="1" w:styleId="468">
    <w:name w:val="xl37"/>
    <w:basedOn w:val="1"/>
    <w:qFormat/>
    <w:uiPriority w:val="0"/>
    <w:pPr>
      <w:pBdr>
        <w:top w:val="single" w:color="auto" w:sz="4" w:space="0"/>
        <w:left w:val="single" w:color="auto" w:sz="4" w:space="0"/>
        <w:bottom w:val="double" w:color="auto" w:sz="6" w:space="0"/>
        <w:right w:val="single" w:color="auto" w:sz="4" w:space="0"/>
      </w:pBdr>
      <w:spacing w:before="100" w:beforeAutospacing="1" w:after="100" w:afterAutospacing="1" w:line="240" w:lineRule="auto"/>
      <w:jc w:val="center"/>
    </w:pPr>
    <w:rPr>
      <w:rFonts w:ascii="Arial Unicode MS" w:hAnsi="Arial Unicode MS" w:eastAsia="Arial Unicode MS" w:cs="Arial Unicode MS"/>
      <w:sz w:val="24"/>
      <w:szCs w:val="24"/>
    </w:rPr>
  </w:style>
  <w:style w:type="paragraph" w:customStyle="1" w:styleId="469">
    <w:name w:val="xl38"/>
    <w:basedOn w:val="1"/>
    <w:qFormat/>
    <w:uiPriority w:val="0"/>
    <w:pPr>
      <w:pBdr>
        <w:top w:val="single" w:color="auto" w:sz="4" w:space="0"/>
        <w:left w:val="single" w:color="auto" w:sz="4" w:space="0"/>
        <w:bottom w:val="double" w:color="auto" w:sz="6" w:space="0"/>
        <w:right w:val="double" w:color="auto" w:sz="6" w:space="0"/>
      </w:pBdr>
      <w:spacing w:before="100" w:beforeAutospacing="1" w:after="100" w:afterAutospacing="1" w:line="240" w:lineRule="auto"/>
    </w:pPr>
    <w:rPr>
      <w:rFonts w:ascii="Arial Unicode MS" w:hAnsi="Arial Unicode MS" w:eastAsia="Arial Unicode MS" w:cs="Arial Unicode MS"/>
      <w:sz w:val="24"/>
      <w:szCs w:val="24"/>
    </w:rPr>
  </w:style>
  <w:style w:type="paragraph" w:customStyle="1" w:styleId="470">
    <w:name w:val="xl39"/>
    <w:basedOn w:val="1"/>
    <w:qFormat/>
    <w:uiPriority w:val="0"/>
    <w:pPr>
      <w:pBdr>
        <w:left w:val="double" w:color="auto" w:sz="6" w:space="0"/>
        <w:bottom w:val="single" w:color="auto" w:sz="4" w:space="0"/>
        <w:right w:val="single" w:color="auto" w:sz="4" w:space="0"/>
      </w:pBdr>
      <w:spacing w:before="100" w:beforeAutospacing="1" w:after="100" w:afterAutospacing="1" w:line="240" w:lineRule="auto"/>
      <w:jc w:val="center"/>
    </w:pPr>
    <w:rPr>
      <w:rFonts w:ascii="Arial Unicode MS" w:hAnsi="Arial Unicode MS" w:eastAsia="Arial Unicode MS" w:cs="Arial Unicode MS"/>
      <w:sz w:val="24"/>
      <w:szCs w:val="24"/>
    </w:rPr>
  </w:style>
  <w:style w:type="paragraph" w:customStyle="1" w:styleId="471">
    <w:name w:val="xl40"/>
    <w:basedOn w:val="1"/>
    <w:qFormat/>
    <w:uiPriority w:val="0"/>
    <w:pPr>
      <w:pBdr>
        <w:left w:val="single" w:color="auto" w:sz="4" w:space="0"/>
        <w:bottom w:val="single" w:color="auto" w:sz="4" w:space="0"/>
        <w:right w:val="single" w:color="auto" w:sz="4" w:space="0"/>
      </w:pBdr>
      <w:spacing w:before="100" w:beforeAutospacing="1" w:after="100" w:afterAutospacing="1" w:line="240" w:lineRule="auto"/>
      <w:jc w:val="center"/>
    </w:pPr>
    <w:rPr>
      <w:rFonts w:ascii="Arial Unicode MS" w:hAnsi="Arial Unicode MS" w:eastAsia="Arial Unicode MS" w:cs="Arial Unicode MS"/>
      <w:sz w:val="24"/>
      <w:szCs w:val="24"/>
    </w:rPr>
  </w:style>
  <w:style w:type="paragraph" w:customStyle="1" w:styleId="472">
    <w:name w:val="xl41"/>
    <w:basedOn w:val="1"/>
    <w:qFormat/>
    <w:uiPriority w:val="0"/>
    <w:pPr>
      <w:pBdr>
        <w:left w:val="single" w:color="auto" w:sz="4" w:space="0"/>
        <w:bottom w:val="single" w:color="auto" w:sz="4" w:space="0"/>
        <w:right w:val="double" w:color="auto" w:sz="6" w:space="0"/>
      </w:pBdr>
      <w:spacing w:before="100" w:beforeAutospacing="1" w:after="100" w:afterAutospacing="1" w:line="240" w:lineRule="auto"/>
    </w:pPr>
    <w:rPr>
      <w:rFonts w:ascii="Arial Unicode MS" w:hAnsi="Arial Unicode MS" w:eastAsia="Arial Unicode MS" w:cs="Arial Unicode MS"/>
      <w:sz w:val="24"/>
      <w:szCs w:val="24"/>
    </w:rPr>
  </w:style>
  <w:style w:type="paragraph" w:customStyle="1" w:styleId="473">
    <w:name w:val="xl42"/>
    <w:basedOn w:val="1"/>
    <w:qFormat/>
    <w:uiPriority w:val="0"/>
    <w:pPr>
      <w:pBdr>
        <w:top w:val="single" w:color="auto" w:sz="4" w:space="0"/>
        <w:left w:val="single" w:color="auto" w:sz="4" w:space="0"/>
        <w:bottom w:val="double" w:color="auto" w:sz="6" w:space="0"/>
        <w:right w:val="single" w:color="auto" w:sz="4" w:space="0"/>
      </w:pBdr>
      <w:spacing w:before="100" w:beforeAutospacing="1" w:after="100" w:afterAutospacing="1" w:line="240" w:lineRule="auto"/>
    </w:pPr>
    <w:rPr>
      <w:rFonts w:ascii="Arial Unicode MS" w:hAnsi="Arial Unicode MS" w:eastAsia="Arial Unicode MS" w:cs="Arial Unicode MS"/>
      <w:color w:val="0000FF"/>
      <w:sz w:val="24"/>
      <w:szCs w:val="24"/>
    </w:rPr>
  </w:style>
  <w:style w:type="paragraph" w:customStyle="1" w:styleId="474">
    <w:name w:val="xl4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Unicode MS" w:hAnsi="Arial Unicode MS" w:eastAsia="Arial Unicode MS" w:cs="Arial Unicode MS"/>
      <w:color w:val="0000FF"/>
      <w:sz w:val="24"/>
      <w:szCs w:val="24"/>
    </w:rPr>
  </w:style>
  <w:style w:type="paragraph" w:customStyle="1" w:styleId="475">
    <w:name w:val="xl44"/>
    <w:basedOn w:val="1"/>
    <w:qFormat/>
    <w:uiPriority w:val="0"/>
    <w:pPr>
      <w:pBdr>
        <w:top w:val="single" w:color="auto" w:sz="4" w:space="0"/>
        <w:left w:val="single" w:color="auto" w:sz="4" w:space="0"/>
        <w:bottom w:val="double" w:color="auto" w:sz="6" w:space="0"/>
        <w:right w:val="single" w:color="auto" w:sz="4" w:space="0"/>
      </w:pBdr>
      <w:spacing w:before="100" w:beforeAutospacing="1" w:after="100" w:afterAutospacing="1" w:line="240" w:lineRule="auto"/>
      <w:jc w:val="center"/>
    </w:pPr>
    <w:rPr>
      <w:rFonts w:ascii="Arial Unicode MS" w:hAnsi="Arial Unicode MS" w:eastAsia="Arial Unicode MS" w:cs="Arial Unicode MS"/>
      <w:color w:val="0000FF"/>
      <w:sz w:val="24"/>
      <w:szCs w:val="24"/>
    </w:rPr>
  </w:style>
  <w:style w:type="paragraph" w:customStyle="1" w:styleId="476">
    <w:name w:val="xl4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Unicode MS" w:hAnsi="Arial Unicode MS" w:eastAsia="Arial Unicode MS" w:cs="Arial Unicode MS"/>
      <w:color w:val="0000FF"/>
      <w:sz w:val="24"/>
      <w:szCs w:val="24"/>
    </w:rPr>
  </w:style>
  <w:style w:type="paragraph" w:customStyle="1" w:styleId="477">
    <w:name w:val="xl4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Unicode MS" w:hAnsi="Arial Unicode MS" w:eastAsia="Arial Unicode MS" w:cs="Arial Unicode MS"/>
      <w:sz w:val="24"/>
      <w:szCs w:val="24"/>
    </w:rPr>
  </w:style>
  <w:style w:type="paragraph" w:customStyle="1" w:styleId="478">
    <w:name w:val="xl47"/>
    <w:basedOn w:val="1"/>
    <w:qFormat/>
    <w:uiPriority w:val="0"/>
    <w:pPr>
      <w:pBdr>
        <w:top w:val="single" w:color="auto" w:sz="4" w:space="0"/>
        <w:left w:val="single" w:color="auto" w:sz="4" w:space="0"/>
        <w:bottom w:val="single" w:color="auto" w:sz="4" w:space="0"/>
        <w:right w:val="double" w:color="auto" w:sz="6" w:space="0"/>
      </w:pBdr>
      <w:spacing w:before="100" w:beforeAutospacing="1" w:after="100" w:afterAutospacing="1" w:line="240" w:lineRule="auto"/>
    </w:pPr>
    <w:rPr>
      <w:rFonts w:ascii="Arial Unicode MS" w:hAnsi="Arial Unicode MS" w:eastAsia="Arial Unicode MS" w:cs="Arial Unicode MS"/>
      <w:sz w:val="24"/>
      <w:szCs w:val="24"/>
    </w:rPr>
  </w:style>
  <w:style w:type="paragraph" w:customStyle="1" w:styleId="479">
    <w:name w:val="xl4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Unicode MS" w:hAnsi="Arial Unicode MS" w:eastAsia="Arial Unicode MS" w:cs="Arial Unicode MS"/>
      <w:sz w:val="24"/>
      <w:szCs w:val="24"/>
    </w:rPr>
  </w:style>
  <w:style w:type="paragraph" w:customStyle="1" w:styleId="480">
    <w:name w:val="xl4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Unicode MS" w:hAnsi="Arial Unicode MS" w:eastAsia="Arial Unicode MS" w:cs="Arial Unicode MS"/>
      <w:sz w:val="24"/>
      <w:szCs w:val="24"/>
    </w:rPr>
  </w:style>
  <w:style w:type="paragraph" w:customStyle="1" w:styleId="481">
    <w:name w:val="xl5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Unicode MS" w:hAnsi="Arial Unicode MS" w:eastAsia="Arial Unicode MS" w:cs="Arial Unicode MS"/>
      <w:color w:val="0000FF"/>
      <w:sz w:val="24"/>
      <w:szCs w:val="24"/>
    </w:rPr>
  </w:style>
  <w:style w:type="paragraph" w:customStyle="1" w:styleId="482">
    <w:name w:val="xl51"/>
    <w:basedOn w:val="1"/>
    <w:qFormat/>
    <w:uiPriority w:val="0"/>
    <w:pPr>
      <w:pBdr>
        <w:top w:val="double" w:color="auto" w:sz="6" w:space="0"/>
        <w:left w:val="double" w:color="auto" w:sz="6" w:space="0"/>
        <w:bottom w:val="single" w:color="auto" w:sz="4" w:space="0"/>
        <w:right w:val="single" w:color="auto" w:sz="4" w:space="0"/>
      </w:pBdr>
      <w:spacing w:before="100" w:beforeAutospacing="1" w:after="100" w:afterAutospacing="1" w:line="240" w:lineRule="auto"/>
      <w:jc w:val="center"/>
    </w:pPr>
    <w:rPr>
      <w:rFonts w:ascii="Arial Unicode MS" w:hAnsi="Arial Unicode MS" w:eastAsia="Arial Unicode MS" w:cs="Arial Unicode MS"/>
      <w:b/>
      <w:bCs/>
      <w:sz w:val="24"/>
      <w:szCs w:val="24"/>
    </w:rPr>
  </w:style>
  <w:style w:type="paragraph" w:customStyle="1" w:styleId="483">
    <w:name w:val="xl52"/>
    <w:basedOn w:val="1"/>
    <w:qFormat/>
    <w:uiPriority w:val="0"/>
    <w:pPr>
      <w:pBdr>
        <w:top w:val="double" w:color="auto" w:sz="6" w:space="0"/>
        <w:left w:val="single" w:color="auto" w:sz="4" w:space="0"/>
        <w:bottom w:val="single" w:color="auto" w:sz="4" w:space="0"/>
        <w:right w:val="single" w:color="auto" w:sz="4" w:space="0"/>
      </w:pBdr>
      <w:spacing w:before="100" w:beforeAutospacing="1" w:after="100" w:afterAutospacing="1" w:line="240" w:lineRule="auto"/>
      <w:jc w:val="center"/>
    </w:pPr>
    <w:rPr>
      <w:rFonts w:ascii="Arial Unicode MS" w:hAnsi="Arial Unicode MS" w:eastAsia="Arial Unicode MS" w:cs="Arial Unicode MS"/>
      <w:b/>
      <w:bCs/>
      <w:sz w:val="24"/>
      <w:szCs w:val="24"/>
    </w:rPr>
  </w:style>
  <w:style w:type="paragraph" w:customStyle="1" w:styleId="484">
    <w:name w:val="xl53"/>
    <w:basedOn w:val="1"/>
    <w:qFormat/>
    <w:uiPriority w:val="0"/>
    <w:pPr>
      <w:pBdr>
        <w:top w:val="double" w:color="auto" w:sz="6" w:space="0"/>
        <w:left w:val="single" w:color="auto" w:sz="4" w:space="0"/>
        <w:bottom w:val="single" w:color="auto" w:sz="4" w:space="0"/>
        <w:right w:val="double" w:color="auto" w:sz="6" w:space="0"/>
      </w:pBdr>
      <w:spacing w:before="100" w:beforeAutospacing="1" w:after="100" w:afterAutospacing="1" w:line="240" w:lineRule="auto"/>
      <w:jc w:val="center"/>
    </w:pPr>
    <w:rPr>
      <w:rFonts w:ascii="Arial Unicode MS" w:hAnsi="Arial Unicode MS" w:eastAsia="Arial Unicode MS" w:cs="Arial Unicode MS"/>
      <w:b/>
      <w:bCs/>
      <w:sz w:val="24"/>
      <w:szCs w:val="24"/>
    </w:rPr>
  </w:style>
  <w:style w:type="paragraph" w:customStyle="1" w:styleId="485">
    <w:name w:val="xl55"/>
    <w:basedOn w:val="1"/>
    <w:qFormat/>
    <w:uiPriority w:val="0"/>
    <w:pPr>
      <w:pBdr>
        <w:left w:val="single" w:color="auto" w:sz="4" w:space="0"/>
        <w:bottom w:val="single" w:color="auto" w:sz="4" w:space="0"/>
        <w:right w:val="single" w:color="auto" w:sz="4" w:space="0"/>
      </w:pBdr>
      <w:spacing w:before="100" w:beforeAutospacing="1" w:after="100" w:afterAutospacing="1" w:line="240" w:lineRule="auto"/>
      <w:jc w:val="center"/>
    </w:pPr>
    <w:rPr>
      <w:rFonts w:ascii="Arial Unicode MS" w:hAnsi="Arial Unicode MS" w:eastAsia="Arial Unicode MS" w:cs="Arial Unicode MS"/>
      <w:b/>
      <w:bCs/>
      <w:sz w:val="24"/>
      <w:szCs w:val="24"/>
    </w:rPr>
  </w:style>
  <w:style w:type="paragraph" w:customStyle="1" w:styleId="486">
    <w:name w:val="xl5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Unicode MS" w:hAnsi="Arial Unicode MS" w:eastAsia="Arial Unicode MS" w:cs="Arial Unicode MS"/>
      <w:sz w:val="24"/>
      <w:szCs w:val="24"/>
    </w:rPr>
  </w:style>
  <w:style w:type="paragraph" w:customStyle="1" w:styleId="487">
    <w:name w:val="xl57"/>
    <w:basedOn w:val="1"/>
    <w:qFormat/>
    <w:uiPriority w:val="0"/>
    <w:pPr>
      <w:pBdr>
        <w:bottom w:val="double" w:color="auto" w:sz="6" w:space="0"/>
      </w:pBdr>
      <w:spacing w:before="100" w:beforeAutospacing="1" w:after="100" w:afterAutospacing="1" w:line="240" w:lineRule="auto"/>
      <w:jc w:val="center"/>
    </w:pPr>
    <w:rPr>
      <w:rFonts w:ascii="Arial Unicode MS" w:hAnsi="Arial Unicode MS" w:eastAsia="Arial Unicode MS" w:cs="Arial Unicode MS"/>
      <w:sz w:val="24"/>
      <w:szCs w:val="24"/>
    </w:rPr>
  </w:style>
  <w:style w:type="paragraph" w:customStyle="1" w:styleId="488">
    <w:name w:val="xl58"/>
    <w:basedOn w:val="1"/>
    <w:qFormat/>
    <w:uiPriority w:val="0"/>
    <w:pPr>
      <w:pBdr>
        <w:bottom w:val="double" w:color="auto" w:sz="6" w:space="0"/>
      </w:pBdr>
      <w:spacing w:before="100" w:beforeAutospacing="1" w:after="100" w:afterAutospacing="1" w:line="240" w:lineRule="auto"/>
      <w:jc w:val="center"/>
    </w:pPr>
    <w:rPr>
      <w:rFonts w:ascii="Arial Unicode MS" w:hAnsi="Arial Unicode MS" w:eastAsia="Arial Unicode MS" w:cs="Arial Unicode MS"/>
      <w:b/>
      <w:bCs/>
      <w:sz w:val="24"/>
      <w:szCs w:val="24"/>
    </w:rPr>
  </w:style>
  <w:style w:type="paragraph" w:customStyle="1" w:styleId="489">
    <w:name w:val="single"/>
    <w:basedOn w:val="1"/>
    <w:qFormat/>
    <w:uiPriority w:val="0"/>
    <w:pPr>
      <w:overflowPunct w:val="0"/>
      <w:autoSpaceDE w:val="0"/>
      <w:autoSpaceDN w:val="0"/>
      <w:adjustRightInd w:val="0"/>
      <w:spacing w:before="120" w:after="0" w:line="240" w:lineRule="auto"/>
      <w:jc w:val="both"/>
    </w:pPr>
    <w:rPr>
      <w:rFonts w:eastAsia="Times New Roman"/>
      <w:sz w:val="24"/>
      <w:szCs w:val="20"/>
      <w:lang w:val="en-GB"/>
    </w:rPr>
  </w:style>
  <w:style w:type="paragraph" w:customStyle="1" w:styleId="490">
    <w:name w:val="Section.1"/>
    <w:basedOn w:val="1"/>
    <w:qFormat/>
    <w:uiPriority w:val="0"/>
    <w:pPr>
      <w:tabs>
        <w:tab w:val="left" w:pos="360"/>
      </w:tabs>
      <w:spacing w:before="40" w:after="40" w:line="264" w:lineRule="auto"/>
      <w:ind w:left="360" w:hanging="360"/>
      <w:jc w:val="both"/>
    </w:pPr>
    <w:rPr>
      <w:rFonts w:eastAsia="Times New Roman"/>
      <w:b/>
      <w:sz w:val="24"/>
      <w:szCs w:val="24"/>
    </w:rPr>
  </w:style>
  <w:style w:type="character" w:customStyle="1" w:styleId="491">
    <w:name w:val="ABC1 Char Char"/>
    <w:link w:val="492"/>
    <w:qFormat/>
    <w:locked/>
    <w:uiPriority w:val="0"/>
    <w:rPr>
      <w:b/>
      <w:color w:val="0000FF"/>
      <w:sz w:val="24"/>
      <w:szCs w:val="24"/>
    </w:rPr>
  </w:style>
  <w:style w:type="paragraph" w:customStyle="1" w:styleId="492">
    <w:name w:val="ABC1 Char"/>
    <w:basedOn w:val="1"/>
    <w:link w:val="491"/>
    <w:qFormat/>
    <w:uiPriority w:val="0"/>
    <w:pPr>
      <w:spacing w:before="240" w:after="120" w:line="288" w:lineRule="auto"/>
      <w:jc w:val="center"/>
    </w:pPr>
    <w:rPr>
      <w:b/>
      <w:color w:val="0000FF"/>
      <w:sz w:val="24"/>
      <w:szCs w:val="24"/>
    </w:rPr>
  </w:style>
  <w:style w:type="character" w:customStyle="1" w:styleId="493">
    <w:name w:val="Style Body Text + Violet Char Char"/>
    <w:link w:val="494"/>
    <w:qFormat/>
    <w:locked/>
    <w:uiPriority w:val="0"/>
    <w:rPr>
      <w:color w:val="800080"/>
      <w:szCs w:val="26"/>
    </w:rPr>
  </w:style>
  <w:style w:type="paragraph" w:customStyle="1" w:styleId="494">
    <w:name w:val="Style Body Text + Violet Char"/>
    <w:basedOn w:val="15"/>
    <w:link w:val="493"/>
    <w:qFormat/>
    <w:uiPriority w:val="0"/>
    <w:pPr>
      <w:spacing w:before="120" w:after="40" w:line="240" w:lineRule="auto"/>
      <w:jc w:val="both"/>
    </w:pPr>
    <w:rPr>
      <w:color w:val="800080"/>
      <w:sz w:val="20"/>
      <w:szCs w:val="26"/>
    </w:rPr>
  </w:style>
  <w:style w:type="paragraph" w:customStyle="1" w:styleId="495">
    <w:name w:val="Style Heading 3 + Violet"/>
    <w:basedOn w:val="4"/>
    <w:qFormat/>
    <w:uiPriority w:val="0"/>
    <w:pPr>
      <w:keepNext w:val="0"/>
      <w:numPr>
        <w:ilvl w:val="2"/>
        <w:numId w:val="14"/>
      </w:numPr>
      <w:suppressAutoHyphens/>
      <w:spacing w:before="120" w:after="40" w:line="240" w:lineRule="auto"/>
      <w:ind w:left="720"/>
      <w:jc w:val="center"/>
    </w:pPr>
    <w:rPr>
      <w:rFonts w:ascii="Calibri" w:hAnsi="Calibri" w:eastAsia="Calibri"/>
      <w:color w:val="800080"/>
      <w:sz w:val="24"/>
      <w:szCs w:val="20"/>
    </w:rPr>
  </w:style>
  <w:style w:type="paragraph" w:customStyle="1" w:styleId="496">
    <w:name w:val="ABC1"/>
    <w:basedOn w:val="1"/>
    <w:qFormat/>
    <w:uiPriority w:val="0"/>
    <w:pPr>
      <w:spacing w:before="240" w:after="120" w:line="288" w:lineRule="auto"/>
      <w:jc w:val="center"/>
    </w:pPr>
    <w:rPr>
      <w:rFonts w:eastAsia="Times New Roman"/>
      <w:b/>
      <w:color w:val="0000FF"/>
      <w:sz w:val="24"/>
      <w:szCs w:val="24"/>
    </w:rPr>
  </w:style>
  <w:style w:type="character" w:customStyle="1" w:styleId="497">
    <w:name w:val="6.Form no.Char Char"/>
    <w:link w:val="498"/>
    <w:qFormat/>
    <w:locked/>
    <w:uiPriority w:val="0"/>
    <w:rPr>
      <w:b/>
      <w:snapToGrid w:val="0"/>
      <w:sz w:val="24"/>
      <w:szCs w:val="26"/>
    </w:rPr>
  </w:style>
  <w:style w:type="paragraph" w:customStyle="1" w:styleId="498">
    <w:name w:val="6.Form no.Char"/>
    <w:basedOn w:val="1"/>
    <w:link w:val="497"/>
    <w:qFormat/>
    <w:uiPriority w:val="0"/>
    <w:pPr>
      <w:widowControl w:val="0"/>
      <w:snapToGrid w:val="0"/>
      <w:spacing w:before="120" w:after="40" w:line="289" w:lineRule="exact"/>
      <w:jc w:val="right"/>
    </w:pPr>
    <w:rPr>
      <w:b/>
      <w:snapToGrid w:val="0"/>
      <w:sz w:val="24"/>
      <w:szCs w:val="26"/>
    </w:rPr>
  </w:style>
  <w:style w:type="paragraph" w:customStyle="1" w:styleId="499">
    <w:name w:val="7.Form name"/>
    <w:basedOn w:val="498"/>
    <w:qFormat/>
    <w:uiPriority w:val="0"/>
    <w:pPr>
      <w:spacing w:before="240" w:after="240" w:line="288" w:lineRule="auto"/>
      <w:jc w:val="center"/>
    </w:pPr>
    <w:rPr>
      <w:sz w:val="26"/>
    </w:rPr>
  </w:style>
  <w:style w:type="paragraph" w:customStyle="1" w:styleId="500">
    <w:name w:val="6.Form no"/>
    <w:basedOn w:val="1"/>
    <w:qFormat/>
    <w:uiPriority w:val="0"/>
    <w:pPr>
      <w:widowControl w:val="0"/>
      <w:snapToGrid w:val="0"/>
      <w:spacing w:before="120" w:after="40" w:line="289" w:lineRule="exact"/>
      <w:jc w:val="right"/>
    </w:pPr>
    <w:rPr>
      <w:rFonts w:eastAsia="Times New Roman"/>
      <w:b/>
      <w:sz w:val="24"/>
      <w:szCs w:val="26"/>
    </w:rPr>
  </w:style>
  <w:style w:type="paragraph" w:customStyle="1" w:styleId="501">
    <w:name w:val="1.Part No"/>
    <w:basedOn w:val="1"/>
    <w:qFormat/>
    <w:uiPriority w:val="0"/>
    <w:pPr>
      <w:spacing w:before="240" w:after="240" w:line="288" w:lineRule="auto"/>
      <w:jc w:val="center"/>
    </w:pPr>
    <w:rPr>
      <w:rFonts w:eastAsia="Times New Roman"/>
      <w:b/>
      <w:sz w:val="32"/>
      <w:szCs w:val="26"/>
    </w:rPr>
  </w:style>
  <w:style w:type="paragraph" w:customStyle="1" w:styleId="502">
    <w:name w:val="2.Part name"/>
    <w:basedOn w:val="1"/>
    <w:qFormat/>
    <w:uiPriority w:val="0"/>
    <w:pPr>
      <w:spacing w:before="360" w:after="360" w:line="288" w:lineRule="auto"/>
      <w:jc w:val="center"/>
    </w:pPr>
    <w:rPr>
      <w:rFonts w:eastAsia="Times New Roman"/>
      <w:b/>
      <w:color w:val="0000FF"/>
      <w:sz w:val="40"/>
      <w:szCs w:val="26"/>
    </w:rPr>
  </w:style>
  <w:style w:type="paragraph" w:customStyle="1" w:styleId="503">
    <w:name w:val="Level 2 (Body)"/>
    <w:next w:val="1"/>
    <w:qFormat/>
    <w:uiPriority w:val="0"/>
    <w:pPr>
      <w:tabs>
        <w:tab w:val="left" w:pos="450"/>
        <w:tab w:val="left" w:pos="1077"/>
        <w:tab w:val="right" w:pos="1247"/>
        <w:tab w:val="left" w:pos="1587"/>
        <w:tab w:val="left" w:pos="1928"/>
      </w:tabs>
      <w:spacing w:before="40" w:after="40" w:line="270" w:lineRule="atLeast"/>
      <w:ind w:left="1077" w:hanging="623"/>
      <w:jc w:val="both"/>
    </w:pPr>
    <w:rPr>
      <w:rFonts w:ascii="Optima" w:hAnsi="Optima" w:eastAsia="Times New Roman" w:cs="Times New Roman"/>
      <w:sz w:val="22"/>
      <w:lang w:val="en-US" w:eastAsia="en-US" w:bidi="ar-SA"/>
    </w:rPr>
  </w:style>
  <w:style w:type="paragraph" w:customStyle="1" w:styleId="504">
    <w:name w:val="Table 1 Tab"/>
    <w:next w:val="1"/>
    <w:qFormat/>
    <w:uiPriority w:val="0"/>
    <w:pPr>
      <w:tabs>
        <w:tab w:val="center" w:pos="567"/>
        <w:tab w:val="center" w:pos="1757"/>
        <w:tab w:val="center" w:pos="3005"/>
        <w:tab w:val="center" w:pos="4195"/>
        <w:tab w:val="center" w:pos="5443"/>
        <w:tab w:val="center" w:pos="6690"/>
        <w:tab w:val="center" w:pos="7880"/>
      </w:tabs>
      <w:spacing w:before="40" w:after="40" w:line="264" w:lineRule="auto"/>
      <w:jc w:val="both"/>
    </w:pPr>
    <w:rPr>
      <w:rFonts w:ascii="Optima" w:hAnsi="Optima" w:eastAsia="Times New Roman" w:cs="Times New Roman"/>
      <w:sz w:val="17"/>
      <w:lang w:val="en-US" w:eastAsia="en-US" w:bidi="ar-SA"/>
    </w:rPr>
  </w:style>
  <w:style w:type="paragraph" w:customStyle="1" w:styleId="505">
    <w:name w:val="ESBI Spec[2]"/>
    <w:basedOn w:val="1"/>
    <w:qFormat/>
    <w:uiPriority w:val="0"/>
    <w:pPr>
      <w:widowControl w:val="0"/>
      <w:snapToGrid w:val="0"/>
      <w:spacing w:before="40" w:after="40" w:line="264" w:lineRule="auto"/>
      <w:ind w:left="1110" w:hanging="1110"/>
      <w:jc w:val="both"/>
    </w:pPr>
    <w:rPr>
      <w:rFonts w:ascii="CG Times" w:hAnsi="CG Times" w:eastAsia="Times New Roman"/>
      <w:b/>
      <w:szCs w:val="20"/>
    </w:rPr>
  </w:style>
  <w:style w:type="paragraph" w:customStyle="1" w:styleId="506">
    <w:name w:val="ESBI Spec[3]"/>
    <w:basedOn w:val="1"/>
    <w:qFormat/>
    <w:uiPriority w:val="0"/>
    <w:pPr>
      <w:widowControl w:val="0"/>
      <w:snapToGrid w:val="0"/>
      <w:spacing w:before="40" w:after="40" w:line="264" w:lineRule="auto"/>
      <w:ind w:left="1110" w:hanging="1110"/>
      <w:jc w:val="both"/>
    </w:pPr>
    <w:rPr>
      <w:rFonts w:ascii="CG Times" w:hAnsi="CG Times" w:eastAsia="Times New Roman"/>
      <w:b/>
      <w:sz w:val="24"/>
      <w:szCs w:val="20"/>
    </w:rPr>
  </w:style>
  <w:style w:type="paragraph" w:customStyle="1" w:styleId="507">
    <w:name w:val="ESBI Spec[4]"/>
    <w:basedOn w:val="1"/>
    <w:qFormat/>
    <w:uiPriority w:val="0"/>
    <w:pPr>
      <w:widowControl w:val="0"/>
      <w:snapToGrid w:val="0"/>
      <w:spacing w:before="40" w:after="40" w:line="264" w:lineRule="auto"/>
      <w:jc w:val="both"/>
    </w:pPr>
    <w:rPr>
      <w:rFonts w:ascii="CG Times" w:hAnsi="CG Times" w:eastAsia="Times New Roman"/>
      <w:sz w:val="24"/>
      <w:szCs w:val="20"/>
    </w:rPr>
  </w:style>
  <w:style w:type="paragraph" w:customStyle="1" w:styleId="508">
    <w:name w:val="Body Text 23"/>
    <w:basedOn w:val="1"/>
    <w:qFormat/>
    <w:uiPriority w:val="0"/>
    <w:pPr>
      <w:widowControl w:val="0"/>
      <w:tabs>
        <w:tab w:val="left" w:pos="-3653"/>
        <w:tab w:val="left" w:pos="-2933"/>
        <w:tab w:val="left" w:pos="-2213"/>
        <w:tab w:val="left" w:pos="-1493"/>
        <w:tab w:val="left" w:pos="-773"/>
        <w:tab w:val="left" w:pos="-53"/>
        <w:tab w:val="left" w:pos="667"/>
        <w:tab w:val="left" w:pos="1387"/>
        <w:tab w:val="left" w:pos="2107"/>
        <w:tab w:val="left" w:pos="2827"/>
        <w:tab w:val="left" w:pos="3547"/>
        <w:tab w:val="left" w:pos="4267"/>
        <w:tab w:val="left" w:pos="4987"/>
      </w:tabs>
      <w:suppressAutoHyphens/>
      <w:snapToGrid w:val="0"/>
      <w:spacing w:before="40" w:after="40" w:line="264" w:lineRule="auto"/>
      <w:ind w:left="720"/>
      <w:jc w:val="both"/>
    </w:pPr>
    <w:rPr>
      <w:rFonts w:ascii=".VnTime" w:hAnsi=".VnTime" w:eastAsia="Times New Roman"/>
      <w:szCs w:val="20"/>
      <w:lang w:val="en-GB"/>
    </w:rPr>
  </w:style>
  <w:style w:type="paragraph" w:customStyle="1" w:styleId="509">
    <w:name w:val="Puce 1"/>
    <w:basedOn w:val="1"/>
    <w:qFormat/>
    <w:uiPriority w:val="0"/>
    <w:pPr>
      <w:tabs>
        <w:tab w:val="left" w:pos="-774"/>
        <w:tab w:val="left" w:pos="-568"/>
        <w:tab w:val="left" w:pos="3400"/>
        <w:tab w:val="left" w:pos="8503"/>
      </w:tabs>
      <w:overflowPunct w:val="0"/>
      <w:autoSpaceDE w:val="0"/>
      <w:autoSpaceDN w:val="0"/>
      <w:adjustRightInd w:val="0"/>
      <w:spacing w:before="120" w:after="40" w:line="264" w:lineRule="auto"/>
      <w:ind w:left="1021" w:hanging="284"/>
      <w:jc w:val="both"/>
    </w:pPr>
    <w:rPr>
      <w:rFonts w:ascii="Arial" w:hAnsi="Arial" w:eastAsia="MS Mincho"/>
      <w:sz w:val="19"/>
      <w:szCs w:val="20"/>
      <w:lang w:val="en-GB" w:eastAsia="ja-JP"/>
    </w:rPr>
  </w:style>
  <w:style w:type="paragraph" w:customStyle="1" w:styleId="510">
    <w:name w:val="CM98"/>
    <w:basedOn w:val="1"/>
    <w:next w:val="1"/>
    <w:qFormat/>
    <w:uiPriority w:val="0"/>
    <w:pPr>
      <w:widowControl w:val="0"/>
      <w:autoSpaceDE w:val="0"/>
      <w:autoSpaceDN w:val="0"/>
      <w:adjustRightInd w:val="0"/>
      <w:spacing w:before="40" w:after="130" w:line="264" w:lineRule="auto"/>
      <w:jc w:val="both"/>
    </w:pPr>
    <w:rPr>
      <w:rFonts w:eastAsia="Times New Roman"/>
      <w:sz w:val="20"/>
      <w:szCs w:val="24"/>
    </w:rPr>
  </w:style>
  <w:style w:type="paragraph" w:customStyle="1" w:styleId="511">
    <w:name w:val="CM91"/>
    <w:basedOn w:val="249"/>
    <w:next w:val="249"/>
    <w:qFormat/>
    <w:uiPriority w:val="0"/>
    <w:pPr>
      <w:widowControl w:val="0"/>
      <w:spacing w:before="40" w:after="710" w:line="264" w:lineRule="auto"/>
      <w:jc w:val="both"/>
    </w:pPr>
    <w:rPr>
      <w:color w:val="auto"/>
    </w:rPr>
  </w:style>
  <w:style w:type="paragraph" w:customStyle="1" w:styleId="512">
    <w:name w:val="CM2"/>
    <w:basedOn w:val="249"/>
    <w:next w:val="249"/>
    <w:qFormat/>
    <w:uiPriority w:val="0"/>
    <w:pPr>
      <w:widowControl w:val="0"/>
      <w:spacing w:before="40" w:after="40" w:line="264" w:lineRule="auto"/>
      <w:jc w:val="both"/>
    </w:pPr>
    <w:rPr>
      <w:color w:val="auto"/>
    </w:rPr>
  </w:style>
  <w:style w:type="paragraph" w:customStyle="1" w:styleId="513">
    <w:name w:val="CM4"/>
    <w:basedOn w:val="249"/>
    <w:next w:val="249"/>
    <w:qFormat/>
    <w:uiPriority w:val="0"/>
    <w:pPr>
      <w:widowControl w:val="0"/>
      <w:spacing w:before="40" w:after="40" w:line="253" w:lineRule="atLeast"/>
      <w:jc w:val="both"/>
    </w:pPr>
    <w:rPr>
      <w:color w:val="auto"/>
    </w:rPr>
  </w:style>
  <w:style w:type="paragraph" w:customStyle="1" w:styleId="514">
    <w:name w:val="CM96"/>
    <w:basedOn w:val="249"/>
    <w:next w:val="249"/>
    <w:qFormat/>
    <w:uiPriority w:val="0"/>
    <w:pPr>
      <w:widowControl w:val="0"/>
      <w:spacing w:before="40" w:after="363" w:line="264" w:lineRule="auto"/>
      <w:jc w:val="both"/>
    </w:pPr>
    <w:rPr>
      <w:color w:val="auto"/>
    </w:rPr>
  </w:style>
  <w:style w:type="paragraph" w:customStyle="1" w:styleId="515">
    <w:name w:val="CM97"/>
    <w:basedOn w:val="249"/>
    <w:next w:val="249"/>
    <w:qFormat/>
    <w:uiPriority w:val="0"/>
    <w:pPr>
      <w:widowControl w:val="0"/>
      <w:spacing w:before="40" w:after="230" w:line="264" w:lineRule="auto"/>
      <w:jc w:val="both"/>
    </w:pPr>
    <w:rPr>
      <w:color w:val="auto"/>
    </w:rPr>
  </w:style>
  <w:style w:type="paragraph" w:customStyle="1" w:styleId="516">
    <w:name w:val="CM8"/>
    <w:basedOn w:val="249"/>
    <w:next w:val="249"/>
    <w:qFormat/>
    <w:uiPriority w:val="0"/>
    <w:pPr>
      <w:widowControl w:val="0"/>
      <w:spacing w:before="40" w:after="40" w:line="253" w:lineRule="atLeast"/>
      <w:jc w:val="both"/>
    </w:pPr>
    <w:rPr>
      <w:color w:val="auto"/>
    </w:rPr>
  </w:style>
  <w:style w:type="paragraph" w:customStyle="1" w:styleId="517">
    <w:name w:val="CM100"/>
    <w:basedOn w:val="249"/>
    <w:next w:val="249"/>
    <w:qFormat/>
    <w:uiPriority w:val="0"/>
    <w:pPr>
      <w:widowControl w:val="0"/>
      <w:spacing w:before="40" w:after="183" w:line="264" w:lineRule="auto"/>
      <w:jc w:val="both"/>
    </w:pPr>
    <w:rPr>
      <w:color w:val="auto"/>
    </w:rPr>
  </w:style>
  <w:style w:type="paragraph" w:customStyle="1" w:styleId="518">
    <w:name w:val="Spec 1"/>
    <w:basedOn w:val="1"/>
    <w:qFormat/>
    <w:uiPriority w:val="0"/>
    <w:pPr>
      <w:tabs>
        <w:tab w:val="left" w:pos="360"/>
        <w:tab w:val="left" w:pos="2574"/>
      </w:tabs>
      <w:spacing w:before="40" w:after="40" w:line="264" w:lineRule="auto"/>
      <w:ind w:left="2574" w:hanging="1440"/>
      <w:jc w:val="both"/>
    </w:pPr>
    <w:rPr>
      <w:rFonts w:eastAsia="Times New Roman"/>
      <w:b/>
      <w:bCs/>
      <w:sz w:val="24"/>
      <w:szCs w:val="24"/>
      <w:u w:val="single"/>
    </w:rPr>
  </w:style>
  <w:style w:type="paragraph" w:customStyle="1" w:styleId="519">
    <w:name w:val="Bullet2"/>
    <w:basedOn w:val="1"/>
    <w:qFormat/>
    <w:uiPriority w:val="0"/>
    <w:pPr>
      <w:tabs>
        <w:tab w:val="left" w:pos="567"/>
        <w:tab w:val="left" w:pos="1701"/>
      </w:tabs>
      <w:autoSpaceDE w:val="0"/>
      <w:autoSpaceDN w:val="0"/>
      <w:adjustRightInd w:val="0"/>
      <w:spacing w:before="40" w:after="40" w:line="340" w:lineRule="exact"/>
      <w:ind w:left="1701" w:hanging="567"/>
      <w:jc w:val="both"/>
    </w:pPr>
    <w:rPr>
      <w:rFonts w:eastAsia="Times New Roman"/>
      <w:sz w:val="24"/>
      <w:szCs w:val="24"/>
    </w:rPr>
  </w:style>
  <w:style w:type="paragraph" w:customStyle="1" w:styleId="520">
    <w:name w:val="Table-text"/>
    <w:basedOn w:val="1"/>
    <w:qFormat/>
    <w:uiPriority w:val="0"/>
    <w:pPr>
      <w:tabs>
        <w:tab w:val="left" w:pos="0"/>
        <w:tab w:val="left" w:pos="567"/>
      </w:tabs>
      <w:autoSpaceDE w:val="0"/>
      <w:autoSpaceDN w:val="0"/>
      <w:adjustRightInd w:val="0"/>
      <w:spacing w:before="40" w:after="40" w:line="280" w:lineRule="atLeast"/>
    </w:pPr>
    <w:rPr>
      <w:rFonts w:ascii="Verdana" w:hAnsi="Verdana" w:eastAsia="Times New Roman"/>
      <w:sz w:val="16"/>
      <w:szCs w:val="16"/>
    </w:rPr>
  </w:style>
  <w:style w:type="paragraph" w:customStyle="1" w:styleId="521">
    <w:name w:val="3 2"/>
    <w:qFormat/>
    <w:uiPriority w:val="0"/>
    <w:pPr>
      <w:tabs>
        <w:tab w:val="left" w:pos="-720"/>
        <w:tab w:val="left" w:pos="0"/>
        <w:tab w:val="left" w:pos="720"/>
        <w:tab w:val="decimal" w:pos="1440"/>
      </w:tabs>
      <w:suppressAutoHyphens/>
      <w:ind w:firstLine="1440"/>
    </w:pPr>
    <w:rPr>
      <w:rFonts w:ascii="Courier" w:hAnsi="Courier" w:eastAsia="Times New Roman" w:cs="Times New Roman"/>
      <w:sz w:val="24"/>
      <w:lang w:val="en-US" w:eastAsia="en-US" w:bidi="ar-SA"/>
    </w:rPr>
  </w:style>
  <w:style w:type="paragraph" w:customStyle="1" w:styleId="522">
    <w:name w:val="3 3"/>
    <w:qFormat/>
    <w:uiPriority w:val="0"/>
    <w:pPr>
      <w:tabs>
        <w:tab w:val="left" w:pos="-720"/>
        <w:tab w:val="left" w:pos="0"/>
        <w:tab w:val="left" w:pos="720"/>
        <w:tab w:val="left" w:pos="1440"/>
        <w:tab w:val="decimal" w:pos="2160"/>
      </w:tabs>
      <w:suppressAutoHyphens/>
      <w:ind w:firstLine="2160"/>
    </w:pPr>
    <w:rPr>
      <w:rFonts w:ascii="Courier" w:hAnsi="Courier" w:eastAsia="Times New Roman" w:cs="Times New Roman"/>
      <w:sz w:val="24"/>
      <w:lang w:val="en-US" w:eastAsia="en-US" w:bidi="ar-SA"/>
    </w:rPr>
  </w:style>
  <w:style w:type="paragraph" w:customStyle="1" w:styleId="523">
    <w:name w:val="3 4"/>
    <w:qFormat/>
    <w:uiPriority w:val="0"/>
    <w:pPr>
      <w:tabs>
        <w:tab w:val="left" w:pos="-720"/>
        <w:tab w:val="left" w:pos="0"/>
        <w:tab w:val="left" w:pos="720"/>
        <w:tab w:val="left" w:pos="1440"/>
        <w:tab w:val="left" w:pos="2160"/>
        <w:tab w:val="decimal" w:pos="2880"/>
      </w:tabs>
      <w:suppressAutoHyphens/>
      <w:ind w:firstLine="2880"/>
    </w:pPr>
    <w:rPr>
      <w:rFonts w:ascii="Courier" w:hAnsi="Courier" w:eastAsia="Times New Roman" w:cs="Times New Roman"/>
      <w:sz w:val="24"/>
      <w:lang w:val="en-US" w:eastAsia="en-US" w:bidi="ar-SA"/>
    </w:rPr>
  </w:style>
  <w:style w:type="paragraph" w:customStyle="1" w:styleId="524">
    <w:name w:val="3 5"/>
    <w:qFormat/>
    <w:uiPriority w:val="0"/>
    <w:pPr>
      <w:tabs>
        <w:tab w:val="left" w:pos="-720"/>
        <w:tab w:val="left" w:pos="0"/>
        <w:tab w:val="left" w:pos="720"/>
        <w:tab w:val="left" w:pos="1440"/>
        <w:tab w:val="left" w:pos="2160"/>
        <w:tab w:val="left" w:pos="2880"/>
        <w:tab w:val="decimal" w:pos="3600"/>
      </w:tabs>
      <w:suppressAutoHyphens/>
      <w:ind w:firstLine="3600"/>
    </w:pPr>
    <w:rPr>
      <w:rFonts w:ascii="Courier" w:hAnsi="Courier" w:eastAsia="Times New Roman" w:cs="Times New Roman"/>
      <w:sz w:val="24"/>
      <w:lang w:val="en-US" w:eastAsia="en-US" w:bidi="ar-SA"/>
    </w:rPr>
  </w:style>
  <w:style w:type="paragraph" w:customStyle="1" w:styleId="525">
    <w:name w:val="3 6"/>
    <w:qFormat/>
    <w:uiPriority w:val="0"/>
    <w:pPr>
      <w:tabs>
        <w:tab w:val="left" w:pos="-720"/>
        <w:tab w:val="left" w:pos="0"/>
        <w:tab w:val="left" w:pos="720"/>
        <w:tab w:val="left" w:pos="1440"/>
        <w:tab w:val="left" w:pos="2160"/>
        <w:tab w:val="left" w:pos="2880"/>
        <w:tab w:val="left" w:pos="3600"/>
        <w:tab w:val="decimal" w:pos="4320"/>
      </w:tabs>
      <w:suppressAutoHyphens/>
      <w:ind w:firstLine="4320"/>
    </w:pPr>
    <w:rPr>
      <w:rFonts w:ascii="Courier" w:hAnsi="Courier" w:eastAsia="Times New Roman" w:cs="Times New Roman"/>
      <w:sz w:val="24"/>
      <w:lang w:val="en-US" w:eastAsia="en-US" w:bidi="ar-SA"/>
    </w:rPr>
  </w:style>
  <w:style w:type="paragraph" w:customStyle="1" w:styleId="526">
    <w:name w:val="3 7"/>
    <w:qFormat/>
    <w:uiPriority w:val="0"/>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hAnsi="Courier" w:eastAsia="Times New Roman" w:cs="Times New Roman"/>
      <w:sz w:val="24"/>
      <w:lang w:val="en-US" w:eastAsia="en-US" w:bidi="ar-SA"/>
    </w:rPr>
  </w:style>
  <w:style w:type="paragraph" w:customStyle="1" w:styleId="527">
    <w:name w:val="3 8"/>
    <w:qFormat/>
    <w:uiPriority w:val="0"/>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hAnsi="Courier" w:eastAsia="Times New Roman" w:cs="Times New Roman"/>
      <w:sz w:val="24"/>
      <w:lang w:val="en-US" w:eastAsia="en-US" w:bidi="ar-SA"/>
    </w:rPr>
  </w:style>
  <w:style w:type="paragraph" w:customStyle="1" w:styleId="528">
    <w:name w:val="Aufzählung EBENE2"/>
    <w:basedOn w:val="15"/>
    <w:qFormat/>
    <w:uiPriority w:val="0"/>
    <w:pPr>
      <w:tabs>
        <w:tab w:val="left" w:pos="284"/>
        <w:tab w:val="left" w:pos="360"/>
      </w:tabs>
      <w:spacing w:before="60" w:after="60" w:line="312" w:lineRule="auto"/>
      <w:ind w:left="641" w:hanging="284"/>
      <w:jc w:val="both"/>
    </w:pPr>
    <w:rPr>
      <w:sz w:val="24"/>
      <w:szCs w:val="20"/>
      <w:lang w:val="en-GB"/>
    </w:rPr>
  </w:style>
  <w:style w:type="paragraph" w:customStyle="1" w:styleId="529">
    <w:name w:val="SAR 2"/>
    <w:qFormat/>
    <w:uiPriority w:val="0"/>
    <w:pPr>
      <w:tabs>
        <w:tab w:val="left" w:pos="605"/>
        <w:tab w:val="left" w:pos="1210"/>
      </w:tabs>
      <w:suppressAutoHyphens/>
      <w:ind w:firstLine="605"/>
    </w:pPr>
    <w:rPr>
      <w:rFonts w:ascii="Courier" w:hAnsi="Courier" w:eastAsia="Times New Roman" w:cs="Times New Roman"/>
      <w:sz w:val="24"/>
      <w:lang w:val="en-US" w:eastAsia="en-US" w:bidi="ar-SA"/>
    </w:rPr>
  </w:style>
  <w:style w:type="paragraph" w:customStyle="1" w:styleId="530">
    <w:name w:val="SAR 3"/>
    <w:qFormat/>
    <w:uiPriority w:val="0"/>
    <w:pPr>
      <w:tabs>
        <w:tab w:val="right" w:pos="1560"/>
        <w:tab w:val="left" w:pos="1800"/>
      </w:tabs>
      <w:suppressAutoHyphens/>
      <w:ind w:firstLine="3000"/>
    </w:pPr>
    <w:rPr>
      <w:rFonts w:ascii="Courier" w:hAnsi="Courier" w:eastAsia="Times New Roman" w:cs="Times New Roman"/>
      <w:sz w:val="24"/>
      <w:lang w:val="en-US" w:eastAsia="en-US" w:bidi="ar-SA"/>
    </w:rPr>
  </w:style>
  <w:style w:type="paragraph" w:customStyle="1" w:styleId="531">
    <w:name w:val="SAR 4"/>
    <w:qFormat/>
    <w:uiPriority w:val="0"/>
    <w:pPr>
      <w:tabs>
        <w:tab w:val="left" w:pos="1814"/>
        <w:tab w:val="left" w:pos="2280"/>
      </w:tabs>
      <w:suppressAutoHyphens/>
      <w:ind w:firstLine="1814"/>
    </w:pPr>
    <w:rPr>
      <w:rFonts w:ascii="Courier" w:hAnsi="Courier" w:eastAsia="Times New Roman" w:cs="Times New Roman"/>
      <w:sz w:val="24"/>
      <w:lang w:val="en-US" w:eastAsia="en-US" w:bidi="ar-SA"/>
    </w:rPr>
  </w:style>
  <w:style w:type="paragraph" w:customStyle="1" w:styleId="532">
    <w:name w:val="SAR 5"/>
    <w:qFormat/>
    <w:uiPriority w:val="0"/>
    <w:pPr>
      <w:tabs>
        <w:tab w:val="right" w:pos="2520"/>
        <w:tab w:val="left" w:pos="2765"/>
      </w:tabs>
      <w:suppressAutoHyphens/>
      <w:ind w:firstLine="3960"/>
    </w:pPr>
    <w:rPr>
      <w:rFonts w:ascii="Courier" w:hAnsi="Courier" w:eastAsia="Times New Roman" w:cs="Times New Roman"/>
      <w:sz w:val="24"/>
      <w:lang w:val="en-US" w:eastAsia="en-US" w:bidi="ar-SA"/>
    </w:rPr>
  </w:style>
  <w:style w:type="paragraph" w:customStyle="1" w:styleId="533">
    <w:name w:val="SAR 6"/>
    <w:qFormat/>
    <w:uiPriority w:val="0"/>
    <w:pPr>
      <w:tabs>
        <w:tab w:val="left" w:pos="-720"/>
      </w:tabs>
      <w:suppressAutoHyphens/>
    </w:pPr>
    <w:rPr>
      <w:rFonts w:ascii="Courier" w:hAnsi="Courier" w:eastAsia="Times New Roman" w:cs="Times New Roman"/>
      <w:sz w:val="24"/>
      <w:lang w:val="en-US" w:eastAsia="en-US" w:bidi="ar-SA"/>
    </w:rPr>
  </w:style>
  <w:style w:type="paragraph" w:customStyle="1" w:styleId="534">
    <w:name w:val="REGULAR 1"/>
    <w:qFormat/>
    <w:uiPriority w:val="0"/>
    <w:pPr>
      <w:tabs>
        <w:tab w:val="left" w:pos="605"/>
        <w:tab w:val="left" w:pos="1210"/>
      </w:tabs>
      <w:suppressAutoHyphens/>
    </w:pPr>
    <w:rPr>
      <w:rFonts w:ascii="Courier" w:hAnsi="Courier" w:eastAsia="Times New Roman" w:cs="Times New Roman"/>
      <w:sz w:val="24"/>
      <w:lang w:val="en-US" w:eastAsia="en-US" w:bidi="ar-SA"/>
    </w:rPr>
  </w:style>
  <w:style w:type="paragraph" w:customStyle="1" w:styleId="535">
    <w:name w:val="REGULAR 2"/>
    <w:qFormat/>
    <w:uiPriority w:val="0"/>
    <w:pPr>
      <w:tabs>
        <w:tab w:val="left" w:pos="605"/>
        <w:tab w:val="left" w:pos="1210"/>
        <w:tab w:val="left" w:pos="1814"/>
        <w:tab w:val="left" w:pos="2419"/>
        <w:tab w:val="left" w:pos="3024"/>
        <w:tab w:val="left" w:pos="3629"/>
      </w:tabs>
      <w:suppressAutoHyphens/>
      <w:ind w:firstLine="605"/>
    </w:pPr>
    <w:rPr>
      <w:rFonts w:ascii="Courier" w:hAnsi="Courier" w:eastAsia="Times New Roman" w:cs="Times New Roman"/>
      <w:sz w:val="24"/>
      <w:lang w:val="en-US" w:eastAsia="en-US" w:bidi="ar-SA"/>
    </w:rPr>
  </w:style>
  <w:style w:type="paragraph" w:customStyle="1" w:styleId="536">
    <w:name w:val="REGULAR 4"/>
    <w:qFormat/>
    <w:uiPriority w:val="0"/>
    <w:pPr>
      <w:tabs>
        <w:tab w:val="left" w:pos="1814"/>
        <w:tab w:val="left" w:pos="2280"/>
      </w:tabs>
      <w:suppressAutoHyphens/>
      <w:ind w:firstLine="1814"/>
    </w:pPr>
    <w:rPr>
      <w:rFonts w:ascii="Courier" w:hAnsi="Courier" w:eastAsia="Times New Roman" w:cs="Times New Roman"/>
      <w:sz w:val="24"/>
      <w:lang w:val="en-US" w:eastAsia="en-US" w:bidi="ar-SA"/>
    </w:rPr>
  </w:style>
  <w:style w:type="paragraph" w:customStyle="1" w:styleId="537">
    <w:name w:val="REGULAR 5"/>
    <w:qFormat/>
    <w:uiPriority w:val="0"/>
    <w:pPr>
      <w:tabs>
        <w:tab w:val="right" w:pos="2520"/>
        <w:tab w:val="left" w:pos="2760"/>
      </w:tabs>
      <w:suppressAutoHyphens/>
      <w:ind w:firstLine="3960"/>
    </w:pPr>
    <w:rPr>
      <w:rFonts w:ascii="Courier" w:hAnsi="Courier" w:eastAsia="Times New Roman" w:cs="Times New Roman"/>
      <w:sz w:val="24"/>
      <w:lang w:val="en-US" w:eastAsia="en-US" w:bidi="ar-SA"/>
    </w:rPr>
  </w:style>
  <w:style w:type="paragraph" w:customStyle="1" w:styleId="538">
    <w:name w:val="REGULAR 6"/>
    <w:qFormat/>
    <w:uiPriority w:val="0"/>
    <w:pPr>
      <w:tabs>
        <w:tab w:val="left" w:pos="-720"/>
      </w:tabs>
      <w:suppressAutoHyphens/>
    </w:pPr>
    <w:rPr>
      <w:rFonts w:ascii="Courier" w:hAnsi="Courier" w:eastAsia="Times New Roman" w:cs="Times New Roman"/>
      <w:sz w:val="24"/>
      <w:lang w:val="en-US" w:eastAsia="en-US" w:bidi="ar-SA"/>
    </w:rPr>
  </w:style>
  <w:style w:type="paragraph" w:customStyle="1" w:styleId="539">
    <w:name w:val="REGULAR 7"/>
    <w:qFormat/>
    <w:uiPriority w:val="0"/>
    <w:pPr>
      <w:tabs>
        <w:tab w:val="left" w:pos="-720"/>
      </w:tabs>
      <w:suppressAutoHyphens/>
    </w:pPr>
    <w:rPr>
      <w:rFonts w:ascii="Courier" w:hAnsi="Courier" w:eastAsia="Times New Roman" w:cs="Times New Roman"/>
      <w:sz w:val="24"/>
      <w:lang w:val="en-US" w:eastAsia="en-US" w:bidi="ar-SA"/>
    </w:rPr>
  </w:style>
  <w:style w:type="paragraph" w:customStyle="1" w:styleId="540">
    <w:name w:val="REGULAR 8"/>
    <w:qFormat/>
    <w:uiPriority w:val="0"/>
    <w:pPr>
      <w:tabs>
        <w:tab w:val="left" w:pos="-720"/>
      </w:tabs>
      <w:suppressAutoHyphens/>
    </w:pPr>
    <w:rPr>
      <w:rFonts w:ascii="Courier" w:hAnsi="Courier" w:eastAsia="Times New Roman" w:cs="Times New Roman"/>
      <w:sz w:val="24"/>
      <w:lang w:val="en-US" w:eastAsia="en-US" w:bidi="ar-SA"/>
    </w:rPr>
  </w:style>
  <w:style w:type="paragraph" w:customStyle="1" w:styleId="541">
    <w:name w:val="Aufzähl_1"/>
    <w:basedOn w:val="15"/>
    <w:qFormat/>
    <w:uiPriority w:val="0"/>
    <w:pPr>
      <w:tabs>
        <w:tab w:val="left" w:pos="567"/>
      </w:tabs>
      <w:spacing w:before="60" w:after="0" w:line="240" w:lineRule="auto"/>
      <w:ind w:left="1276" w:hanging="567"/>
      <w:jc w:val="both"/>
    </w:pPr>
    <w:rPr>
      <w:sz w:val="24"/>
      <w:szCs w:val="20"/>
      <w:lang w:val="en-GB"/>
    </w:rPr>
  </w:style>
  <w:style w:type="paragraph" w:customStyle="1" w:styleId="542">
    <w:name w:val="2 4a"/>
    <w:qFormat/>
    <w:uiPriority w:val="0"/>
    <w:pPr>
      <w:tabs>
        <w:tab w:val="left" w:pos="-720"/>
      </w:tabs>
      <w:suppressAutoHyphens/>
    </w:pPr>
    <w:rPr>
      <w:rFonts w:ascii="Courier" w:hAnsi="Courier" w:eastAsia="Times New Roman" w:cs="Times New Roman"/>
      <w:sz w:val="24"/>
      <w:lang w:val="en-US" w:eastAsia="en-US" w:bidi="ar-SA"/>
    </w:rPr>
  </w:style>
  <w:style w:type="paragraph" w:customStyle="1" w:styleId="543">
    <w:name w:val="2 5a"/>
    <w:qFormat/>
    <w:uiPriority w:val="0"/>
    <w:pPr>
      <w:tabs>
        <w:tab w:val="left" w:pos="-720"/>
      </w:tabs>
      <w:suppressAutoHyphens/>
    </w:pPr>
    <w:rPr>
      <w:rFonts w:ascii="Courier" w:hAnsi="Courier" w:eastAsia="Times New Roman" w:cs="Times New Roman"/>
      <w:sz w:val="24"/>
      <w:lang w:val="en-US" w:eastAsia="en-US" w:bidi="ar-SA"/>
    </w:rPr>
  </w:style>
  <w:style w:type="paragraph" w:customStyle="1" w:styleId="544">
    <w:name w:val="2 6a"/>
    <w:qFormat/>
    <w:uiPriority w:val="0"/>
    <w:pPr>
      <w:tabs>
        <w:tab w:val="left" w:pos="-720"/>
      </w:tabs>
      <w:suppressAutoHyphens/>
    </w:pPr>
    <w:rPr>
      <w:rFonts w:ascii="Courier" w:hAnsi="Courier" w:eastAsia="Times New Roman" w:cs="Times New Roman"/>
      <w:sz w:val="24"/>
      <w:lang w:val="en-US" w:eastAsia="en-US" w:bidi="ar-SA"/>
    </w:rPr>
  </w:style>
  <w:style w:type="paragraph" w:customStyle="1" w:styleId="545">
    <w:name w:val="2 7a"/>
    <w:qFormat/>
    <w:uiPriority w:val="0"/>
    <w:pPr>
      <w:tabs>
        <w:tab w:val="left" w:pos="-720"/>
      </w:tabs>
      <w:suppressAutoHyphens/>
    </w:pPr>
    <w:rPr>
      <w:rFonts w:ascii="Courier" w:hAnsi="Courier" w:eastAsia="Times New Roman" w:cs="Times New Roman"/>
      <w:sz w:val="24"/>
      <w:lang w:val="en-US" w:eastAsia="en-US" w:bidi="ar-SA"/>
    </w:rPr>
  </w:style>
  <w:style w:type="paragraph" w:customStyle="1" w:styleId="546">
    <w:name w:val="2 8a"/>
    <w:qFormat/>
    <w:uiPriority w:val="0"/>
    <w:pPr>
      <w:tabs>
        <w:tab w:val="left" w:pos="-720"/>
      </w:tabs>
      <w:suppressAutoHyphens/>
    </w:pPr>
    <w:rPr>
      <w:rFonts w:ascii="Courier" w:hAnsi="Courier" w:eastAsia="Times New Roman" w:cs="Times New Roman"/>
      <w:sz w:val="24"/>
      <w:lang w:val="en-US" w:eastAsia="en-US" w:bidi="ar-SA"/>
    </w:rPr>
  </w:style>
  <w:style w:type="paragraph" w:customStyle="1" w:styleId="547">
    <w:name w:val="Head 3.2"/>
    <w:basedOn w:val="1"/>
    <w:qFormat/>
    <w:uiPriority w:val="0"/>
    <w:pPr>
      <w:suppressAutoHyphens/>
      <w:spacing w:after="0" w:line="240" w:lineRule="auto"/>
      <w:ind w:left="360" w:hanging="360"/>
    </w:pPr>
    <w:rPr>
      <w:rFonts w:eastAsia="Times New Roman"/>
      <w:b/>
      <w:sz w:val="24"/>
      <w:szCs w:val="20"/>
      <w:lang w:val="fr-FR"/>
    </w:rPr>
  </w:style>
  <w:style w:type="paragraph" w:customStyle="1" w:styleId="548">
    <w:name w:val="Body Text Indent 21"/>
    <w:basedOn w:val="1"/>
    <w:qFormat/>
    <w:uiPriority w:val="0"/>
    <w:pPr>
      <w:spacing w:after="0" w:line="240" w:lineRule="auto"/>
      <w:ind w:left="630"/>
    </w:pPr>
    <w:rPr>
      <w:rFonts w:eastAsia="Times New Roman"/>
      <w:sz w:val="24"/>
      <w:szCs w:val="20"/>
      <w:lang w:val="en-GB"/>
    </w:rPr>
  </w:style>
  <w:style w:type="paragraph" w:customStyle="1" w:styleId="549">
    <w:name w:val="Body Text 21"/>
    <w:basedOn w:val="1"/>
    <w:qFormat/>
    <w:uiPriority w:val="0"/>
    <w:pPr>
      <w:spacing w:after="120" w:line="240" w:lineRule="auto"/>
      <w:ind w:left="360"/>
    </w:pPr>
    <w:rPr>
      <w:rFonts w:eastAsia="Times New Roman"/>
      <w:sz w:val="20"/>
      <w:szCs w:val="20"/>
      <w:lang w:val="en-GB"/>
    </w:rPr>
  </w:style>
  <w:style w:type="paragraph" w:customStyle="1" w:styleId="550">
    <w:name w:val="Überschrift 0"/>
    <w:basedOn w:val="1"/>
    <w:next w:val="15"/>
    <w:qFormat/>
    <w:uiPriority w:val="0"/>
    <w:pPr>
      <w:pBdr>
        <w:top w:val="single" w:color="auto" w:sz="4" w:space="1"/>
        <w:left w:val="single" w:color="auto" w:sz="4" w:space="4"/>
        <w:bottom w:val="single" w:color="auto" w:sz="4" w:space="1"/>
        <w:right w:val="single" w:color="auto" w:sz="4" w:space="4"/>
      </w:pBdr>
      <w:suppressAutoHyphens/>
      <w:spacing w:before="120" w:after="120" w:line="240" w:lineRule="auto"/>
      <w:jc w:val="center"/>
    </w:pPr>
    <w:rPr>
      <w:rFonts w:eastAsia="Times New Roman"/>
      <w:b/>
      <w:sz w:val="36"/>
      <w:szCs w:val="20"/>
      <w:lang w:val="en-GB"/>
    </w:rPr>
  </w:style>
  <w:style w:type="paragraph" w:customStyle="1" w:styleId="551">
    <w:name w:val="Überschr_xx"/>
    <w:basedOn w:val="1"/>
    <w:qFormat/>
    <w:uiPriority w:val="0"/>
    <w:pPr>
      <w:keepNext/>
      <w:tabs>
        <w:tab w:val="left" w:pos="567"/>
      </w:tabs>
      <w:suppressAutoHyphens/>
      <w:spacing w:before="120" w:after="120" w:line="240" w:lineRule="auto"/>
    </w:pPr>
    <w:rPr>
      <w:rFonts w:eastAsia="Times New Roman"/>
      <w:b/>
      <w:spacing w:val="8"/>
      <w:sz w:val="24"/>
      <w:szCs w:val="20"/>
      <w:lang w:val="en-GB"/>
    </w:rPr>
  </w:style>
  <w:style w:type="paragraph" w:customStyle="1" w:styleId="552">
    <w:name w:val="Style Before:  3 pt After:  3 pt"/>
    <w:basedOn w:val="1"/>
    <w:qFormat/>
    <w:uiPriority w:val="0"/>
    <w:pPr>
      <w:spacing w:before="60" w:after="60" w:line="240" w:lineRule="auto"/>
    </w:pPr>
    <w:rPr>
      <w:rFonts w:eastAsia="Times New Roman"/>
      <w:sz w:val="26"/>
      <w:szCs w:val="20"/>
    </w:rPr>
  </w:style>
  <w:style w:type="paragraph" w:customStyle="1" w:styleId="553">
    <w:name w:val="Muc 1"/>
    <w:basedOn w:val="1"/>
    <w:qFormat/>
    <w:uiPriority w:val="0"/>
    <w:pPr>
      <w:numPr>
        <w:ilvl w:val="0"/>
        <w:numId w:val="15"/>
      </w:numPr>
      <w:spacing w:before="60" w:after="60" w:line="240" w:lineRule="auto"/>
      <w:jc w:val="both"/>
    </w:pPr>
    <w:rPr>
      <w:rFonts w:eastAsia="Times New Roman"/>
      <w:b/>
      <w:color w:val="0000FF"/>
      <w:sz w:val="26"/>
      <w:szCs w:val="26"/>
      <w:lang w:val="en-GB"/>
    </w:rPr>
  </w:style>
  <w:style w:type="paragraph" w:customStyle="1" w:styleId="554">
    <w:name w:val="Muc 11"/>
    <w:basedOn w:val="1"/>
    <w:qFormat/>
    <w:uiPriority w:val="0"/>
    <w:pPr>
      <w:numPr>
        <w:ilvl w:val="1"/>
        <w:numId w:val="15"/>
      </w:numPr>
      <w:spacing w:before="60" w:after="60" w:line="288" w:lineRule="auto"/>
      <w:jc w:val="both"/>
    </w:pPr>
    <w:rPr>
      <w:rFonts w:eastAsia="Times New Roman"/>
      <w:color w:val="0000FF"/>
      <w:sz w:val="26"/>
      <w:szCs w:val="26"/>
      <w:lang w:val="en-GB"/>
    </w:rPr>
  </w:style>
  <w:style w:type="paragraph" w:customStyle="1" w:styleId="555">
    <w:name w:val="Default Paragraph Font Para Char Char Char Char Char"/>
    <w:autoRedefine/>
    <w:qFormat/>
    <w:uiPriority w:val="0"/>
    <w:pPr>
      <w:tabs>
        <w:tab w:val="left" w:pos="1152"/>
      </w:tabs>
      <w:spacing w:before="120" w:after="120" w:line="312" w:lineRule="auto"/>
    </w:pPr>
    <w:rPr>
      <w:rFonts w:ascii="Arial" w:hAnsi="Arial" w:eastAsia="Times New Roman" w:cs="Arial"/>
      <w:sz w:val="26"/>
      <w:szCs w:val="26"/>
      <w:lang w:val="en-US" w:eastAsia="en-US" w:bidi="ar-SA"/>
    </w:rPr>
  </w:style>
  <w:style w:type="paragraph" w:customStyle="1" w:styleId="556">
    <w:name w:val="Spiegelstrich2"/>
    <w:basedOn w:val="455"/>
    <w:qFormat/>
    <w:uiPriority w:val="0"/>
    <w:pPr>
      <w:keepNext w:val="0"/>
      <w:keepLines w:val="0"/>
      <w:numPr>
        <w:numId w:val="16"/>
      </w:numPr>
      <w:tabs>
        <w:tab w:val="left" w:pos="360"/>
        <w:tab w:val="left" w:pos="567"/>
        <w:tab w:val="clear" w:pos="284"/>
      </w:tabs>
      <w:spacing w:before="0"/>
      <w:ind w:left="568"/>
      <w:jc w:val="left"/>
    </w:pPr>
    <w:rPr>
      <w:rFonts w:ascii="Times" w:hAnsi="Times"/>
      <w:sz w:val="24"/>
      <w:lang w:val="en-US"/>
    </w:rPr>
  </w:style>
  <w:style w:type="paragraph" w:customStyle="1" w:styleId="557">
    <w:name w:val="Spiegelstrich3"/>
    <w:basedOn w:val="1"/>
    <w:qFormat/>
    <w:uiPriority w:val="0"/>
    <w:pPr>
      <w:numPr>
        <w:ilvl w:val="0"/>
        <w:numId w:val="17"/>
      </w:numPr>
      <w:tabs>
        <w:tab w:val="left" w:pos="851"/>
        <w:tab w:val="clear" w:pos="360"/>
      </w:tabs>
      <w:spacing w:after="0" w:line="240" w:lineRule="auto"/>
      <w:ind w:left="851"/>
    </w:pPr>
    <w:rPr>
      <w:rFonts w:ascii="Times" w:hAnsi="Times" w:eastAsia="Times New Roman"/>
      <w:sz w:val="24"/>
      <w:szCs w:val="20"/>
    </w:rPr>
  </w:style>
  <w:style w:type="paragraph" w:customStyle="1" w:styleId="558">
    <w:name w:val="Basis-Überschrift"/>
    <w:basedOn w:val="1"/>
    <w:next w:val="15"/>
    <w:qFormat/>
    <w:uiPriority w:val="0"/>
    <w:pPr>
      <w:keepNext/>
      <w:keepLines/>
      <w:suppressAutoHyphens/>
      <w:spacing w:before="140" w:after="0" w:line="220" w:lineRule="atLeast"/>
    </w:pPr>
    <w:rPr>
      <w:rFonts w:ascii="Times" w:hAnsi="Times" w:eastAsia="Times New Roman"/>
      <w:spacing w:val="-4"/>
      <w:kern w:val="28"/>
      <w:sz w:val="24"/>
      <w:szCs w:val="20"/>
    </w:rPr>
  </w:style>
  <w:style w:type="paragraph" w:customStyle="1" w:styleId="559">
    <w:name w:val="Style Heading 2 + Condensed by  01 pt"/>
    <w:basedOn w:val="3"/>
    <w:qFormat/>
    <w:uiPriority w:val="0"/>
    <w:pPr>
      <w:pBdr>
        <w:bottom w:val="none" w:color="auto" w:sz="0" w:space="0"/>
      </w:pBdr>
      <w:tabs>
        <w:tab w:val="left" w:pos="576"/>
      </w:tabs>
      <w:spacing w:before="60" w:after="60"/>
      <w:ind w:left="578" w:hanging="578"/>
      <w:jc w:val="left"/>
    </w:pPr>
    <w:rPr>
      <w:rFonts w:ascii="Calibri" w:hAnsi="Calibri" w:eastAsia="Calibri"/>
      <w:bCs/>
      <w:spacing w:val="-2"/>
      <w:sz w:val="26"/>
      <w:lang w:val="en-GB" w:eastAsia="en-US"/>
    </w:rPr>
  </w:style>
  <w:style w:type="paragraph" w:customStyle="1" w:styleId="560">
    <w:name w:val="Style Heading 5 + Before:  3 pt"/>
    <w:basedOn w:val="6"/>
    <w:qFormat/>
    <w:uiPriority w:val="0"/>
    <w:pPr>
      <w:keepNext w:val="0"/>
      <w:numPr>
        <w:ilvl w:val="4"/>
        <w:numId w:val="14"/>
      </w:numPr>
      <w:tabs>
        <w:tab w:val="left" w:pos="1008"/>
      </w:tabs>
      <w:spacing w:before="60" w:after="60"/>
      <w:ind w:left="441"/>
      <w:jc w:val="left"/>
    </w:pPr>
    <w:rPr>
      <w:rFonts w:ascii="Calibri" w:hAnsi="Calibri" w:eastAsia="Calibri"/>
      <w:b/>
      <w:bCs/>
      <w:i/>
      <w:iCs/>
      <w:sz w:val="26"/>
      <w:u w:val="none"/>
      <w:lang w:val="en-US" w:eastAsia="en-US"/>
    </w:rPr>
  </w:style>
  <w:style w:type="paragraph" w:customStyle="1" w:styleId="561">
    <w:name w:val="DAUDONG"/>
    <w:basedOn w:val="1"/>
    <w:qFormat/>
    <w:uiPriority w:val="0"/>
    <w:pPr>
      <w:widowControl w:val="0"/>
      <w:autoSpaceDE w:val="0"/>
      <w:autoSpaceDN w:val="0"/>
      <w:spacing w:before="60" w:after="60" w:line="240" w:lineRule="auto"/>
      <w:ind w:firstLine="576"/>
      <w:jc w:val="both"/>
    </w:pPr>
    <w:rPr>
      <w:rFonts w:eastAsia="Times New Roman"/>
      <w:sz w:val="26"/>
      <w:szCs w:val="26"/>
    </w:rPr>
  </w:style>
  <w:style w:type="paragraph" w:customStyle="1" w:styleId="562">
    <w:name w:val="2Heading3"/>
    <w:basedOn w:val="4"/>
    <w:qFormat/>
    <w:uiPriority w:val="0"/>
    <w:pPr>
      <w:numPr>
        <w:ilvl w:val="1"/>
        <w:numId w:val="18"/>
      </w:numPr>
      <w:tabs>
        <w:tab w:val="left" w:pos="-1080"/>
        <w:tab w:val="left" w:pos="-720"/>
        <w:tab w:val="left" w:pos="0"/>
        <w:tab w:val="left" w:pos="244"/>
      </w:tabs>
      <w:snapToGrid w:val="0"/>
      <w:spacing w:before="0" w:after="120" w:line="240" w:lineRule="auto"/>
    </w:pPr>
    <w:rPr>
      <w:rFonts w:ascii="Arial" w:hAnsi="Arial" w:eastAsia="Calibri" w:cs="Arial"/>
      <w:sz w:val="22"/>
      <w:szCs w:val="22"/>
    </w:rPr>
  </w:style>
  <w:style w:type="paragraph" w:customStyle="1" w:styleId="563">
    <w:name w:val="Tieude_C5"/>
    <w:basedOn w:val="1"/>
    <w:qFormat/>
    <w:uiPriority w:val="0"/>
    <w:pPr>
      <w:tabs>
        <w:tab w:val="left" w:pos="360"/>
      </w:tabs>
      <w:spacing w:before="120" w:after="0" w:line="360" w:lineRule="auto"/>
      <w:ind w:left="360" w:hanging="360"/>
      <w:jc w:val="both"/>
    </w:pPr>
    <w:rPr>
      <w:rFonts w:ascii="Times New Roman Bold" w:hAnsi="Times New Roman Bold" w:eastAsia="Times New Roman"/>
      <w:b/>
      <w:sz w:val="26"/>
      <w:szCs w:val="24"/>
      <w:lang w:val="vi-VN"/>
    </w:rPr>
  </w:style>
  <w:style w:type="paragraph" w:customStyle="1" w:styleId="564">
    <w:name w:val="title 2"/>
    <w:basedOn w:val="1"/>
    <w:qFormat/>
    <w:uiPriority w:val="0"/>
    <w:pPr>
      <w:spacing w:after="0" w:line="360" w:lineRule="exact"/>
    </w:pPr>
    <w:rPr>
      <w:rFonts w:eastAsia="Times New Roman"/>
      <w:b/>
      <w:caps/>
      <w:szCs w:val="20"/>
      <w:lang w:val="en-GB"/>
    </w:rPr>
  </w:style>
  <w:style w:type="paragraph" w:customStyle="1" w:styleId="565">
    <w:name w:val="ITB-2-SubClauses"/>
    <w:basedOn w:val="1"/>
    <w:qFormat/>
    <w:uiPriority w:val="0"/>
    <w:pPr>
      <w:spacing w:after="240" w:line="240" w:lineRule="auto"/>
      <w:ind w:left="720" w:hanging="720"/>
      <w:jc w:val="both"/>
    </w:pPr>
    <w:rPr>
      <w:rFonts w:eastAsia="Times New Roman"/>
      <w:sz w:val="24"/>
      <w:szCs w:val="20"/>
    </w:rPr>
  </w:style>
  <w:style w:type="paragraph" w:customStyle="1" w:styleId="566">
    <w:name w:val="ITB-3-Paragraph"/>
    <w:basedOn w:val="1"/>
    <w:qFormat/>
    <w:uiPriority w:val="0"/>
    <w:pPr>
      <w:tabs>
        <w:tab w:val="left" w:pos="864"/>
      </w:tabs>
      <w:spacing w:after="120" w:line="240" w:lineRule="auto"/>
      <w:ind w:left="864" w:hanging="432"/>
      <w:jc w:val="both"/>
    </w:pPr>
    <w:rPr>
      <w:rFonts w:eastAsia="Times New Roman"/>
      <w:sz w:val="24"/>
      <w:szCs w:val="20"/>
    </w:rPr>
  </w:style>
  <w:style w:type="character" w:customStyle="1" w:styleId="567">
    <w:name w:val="Formatvorlage Nur Text + Arial Char Char Char Char Char Char Char Char Char Char Char Char Char Char Char Char Char Char Char Char Char Char Char Char Char Char"/>
    <w:link w:val="568"/>
    <w:qFormat/>
    <w:locked/>
    <w:uiPriority w:val="0"/>
    <w:rPr>
      <w:rFonts w:ascii="Arial" w:hAnsi="Arial" w:cs="Arial"/>
      <w:lang w:val="de-DE" w:eastAsia="de-DE"/>
    </w:rPr>
  </w:style>
  <w:style w:type="paragraph" w:customStyle="1" w:styleId="568">
    <w:name w:val="Formatvorlage Nur Text + Arial Char Char Char Char Char Char Char Char Char Char Char Char Char Char Char Char Char Char Char Char Char Char Char Char Char"/>
    <w:basedOn w:val="64"/>
    <w:link w:val="567"/>
    <w:qFormat/>
    <w:uiPriority w:val="0"/>
    <w:rPr>
      <w:rFonts w:ascii="Arial" w:hAnsi="Arial" w:eastAsia="Calibri" w:cs="Arial"/>
    </w:rPr>
  </w:style>
  <w:style w:type="paragraph" w:customStyle="1" w:styleId="569">
    <w:name w:val="p'titre"/>
    <w:basedOn w:val="1"/>
    <w:qFormat/>
    <w:uiPriority w:val="0"/>
    <w:pPr>
      <w:numPr>
        <w:ilvl w:val="0"/>
        <w:numId w:val="19"/>
      </w:numPr>
      <w:spacing w:before="120" w:after="0" w:line="240" w:lineRule="auto"/>
      <w:jc w:val="both"/>
    </w:pPr>
    <w:rPr>
      <w:rFonts w:eastAsia="Times New Roman"/>
      <w:i/>
      <w:sz w:val="22"/>
      <w:szCs w:val="20"/>
      <w:lang w:val="en-GB"/>
    </w:rPr>
  </w:style>
  <w:style w:type="paragraph" w:customStyle="1" w:styleId="570">
    <w:name w:val="Char Char Char"/>
    <w:basedOn w:val="1"/>
    <w:next w:val="1"/>
    <w:autoRedefine/>
    <w:semiHidden/>
    <w:qFormat/>
    <w:uiPriority w:val="0"/>
    <w:pPr>
      <w:spacing w:before="120" w:after="120" w:line="312" w:lineRule="auto"/>
    </w:pPr>
    <w:rPr>
      <w:rFonts w:eastAsia="Times New Roman"/>
    </w:rPr>
  </w:style>
  <w:style w:type="paragraph" w:customStyle="1" w:styleId="571">
    <w:name w:val="Char Char Char Char"/>
    <w:basedOn w:val="1"/>
    <w:qFormat/>
    <w:uiPriority w:val="0"/>
    <w:pPr>
      <w:pageBreakBefore/>
      <w:spacing w:before="100" w:beforeAutospacing="1" w:after="100" w:afterAutospacing="1" w:line="240" w:lineRule="auto"/>
      <w:jc w:val="both"/>
    </w:pPr>
    <w:rPr>
      <w:rFonts w:ascii="Tahoma" w:hAnsi="Tahoma" w:eastAsia="Times New Roman"/>
      <w:sz w:val="20"/>
      <w:szCs w:val="20"/>
    </w:rPr>
  </w:style>
  <w:style w:type="paragraph" w:customStyle="1" w:styleId="572">
    <w:name w:val="Section"/>
    <w:basedOn w:val="1"/>
    <w:qFormat/>
    <w:uiPriority w:val="0"/>
    <w:pPr>
      <w:autoSpaceDE w:val="0"/>
      <w:autoSpaceDN w:val="0"/>
      <w:spacing w:before="4800" w:after="0" w:line="240" w:lineRule="auto"/>
      <w:jc w:val="center"/>
    </w:pPr>
    <w:rPr>
      <w:rFonts w:ascii=".VnTimeH" w:hAnsi=".VnTimeH" w:eastAsia="SimSun"/>
      <w:b/>
      <w:bCs/>
      <w:color w:val="000000"/>
      <w:sz w:val="40"/>
      <w:szCs w:val="40"/>
      <w:u w:val="single"/>
    </w:rPr>
  </w:style>
  <w:style w:type="paragraph" w:customStyle="1" w:styleId="573">
    <w:name w:val="After section"/>
    <w:basedOn w:val="4"/>
    <w:qFormat/>
    <w:uiPriority w:val="0"/>
    <w:pPr>
      <w:tabs>
        <w:tab w:val="center" w:pos="4253"/>
      </w:tabs>
      <w:autoSpaceDE w:val="0"/>
      <w:autoSpaceDN w:val="0"/>
      <w:spacing w:before="360" w:after="0" w:line="240" w:lineRule="auto"/>
      <w:ind w:right="-374"/>
      <w:jc w:val="center"/>
    </w:pPr>
    <w:rPr>
      <w:rFonts w:ascii=".VnTimeH" w:hAnsi=".VnTimeH" w:eastAsia="SimSun"/>
      <w:b w:val="0"/>
      <w:bCs w:val="0"/>
      <w:color w:val="000000"/>
      <w:sz w:val="40"/>
      <w:szCs w:val="40"/>
    </w:rPr>
  </w:style>
  <w:style w:type="paragraph" w:customStyle="1" w:styleId="574">
    <w:name w:val="My  Style1"/>
    <w:basedOn w:val="2"/>
    <w:qFormat/>
    <w:uiPriority w:val="0"/>
    <w:pPr>
      <w:autoSpaceDE w:val="0"/>
      <w:autoSpaceDN w:val="0"/>
      <w:spacing w:after="120" w:line="240" w:lineRule="auto"/>
      <w:jc w:val="both"/>
    </w:pPr>
    <w:rPr>
      <w:rFonts w:ascii=".VnArialH" w:hAnsi=".VnArialH" w:eastAsia="SimSun"/>
      <w:color w:val="000000"/>
      <w:kern w:val="0"/>
      <w:sz w:val="26"/>
      <w:szCs w:val="26"/>
    </w:rPr>
  </w:style>
  <w:style w:type="paragraph" w:customStyle="1" w:styleId="575">
    <w:name w:val="My Style2"/>
    <w:basedOn w:val="1"/>
    <w:qFormat/>
    <w:uiPriority w:val="0"/>
    <w:pPr>
      <w:autoSpaceDE w:val="0"/>
      <w:autoSpaceDN w:val="0"/>
      <w:spacing w:before="120" w:after="120" w:line="240" w:lineRule="auto"/>
      <w:jc w:val="both"/>
    </w:pPr>
    <w:rPr>
      <w:rFonts w:ascii=".VnArial" w:hAnsi=".VnArial" w:eastAsia="SimSun"/>
      <w:b/>
      <w:bCs/>
      <w:color w:val="000000"/>
      <w:sz w:val="26"/>
      <w:szCs w:val="26"/>
    </w:rPr>
  </w:style>
  <w:style w:type="paragraph" w:customStyle="1" w:styleId="576">
    <w:name w:val="muc1"/>
    <w:basedOn w:val="313"/>
    <w:qFormat/>
    <w:uiPriority w:val="0"/>
    <w:pPr>
      <w:widowControl/>
      <w:jc w:val="left"/>
    </w:pPr>
    <w:rPr>
      <w:rFonts w:ascii=".VnTimeH" w:hAnsi=".VnTimeH"/>
      <w:color w:val="0000FF"/>
      <w:szCs w:val="26"/>
    </w:rPr>
  </w:style>
  <w:style w:type="paragraph" w:customStyle="1" w:styleId="577">
    <w:name w:val="muc2"/>
    <w:basedOn w:val="1"/>
    <w:qFormat/>
    <w:uiPriority w:val="0"/>
    <w:pPr>
      <w:spacing w:after="0" w:line="240" w:lineRule="auto"/>
    </w:pPr>
    <w:rPr>
      <w:rFonts w:ascii=".VnTimeH" w:hAnsi=".VnTimeH" w:eastAsia="Times New Roman"/>
      <w:color w:val="FF0000"/>
      <w:sz w:val="26"/>
      <w:szCs w:val="26"/>
    </w:rPr>
  </w:style>
  <w:style w:type="paragraph" w:customStyle="1" w:styleId="578">
    <w:name w:val="Paragraphe"/>
    <w:basedOn w:val="1"/>
    <w:qFormat/>
    <w:uiPriority w:val="0"/>
    <w:pPr>
      <w:widowControl w:val="0"/>
      <w:tabs>
        <w:tab w:val="left" w:pos="567"/>
        <w:tab w:val="left" w:pos="1134"/>
        <w:tab w:val="left" w:pos="1701"/>
        <w:tab w:val="left" w:pos="2268"/>
        <w:tab w:val="left" w:pos="2835"/>
      </w:tabs>
      <w:snapToGrid w:val="0"/>
      <w:spacing w:after="120" w:line="240" w:lineRule="auto"/>
      <w:ind w:left="284" w:firstLine="284"/>
      <w:jc w:val="both"/>
    </w:pPr>
    <w:rPr>
      <w:rFonts w:ascii="Arial" w:hAnsi="Arial" w:eastAsia="Times New Roman"/>
      <w:sz w:val="20"/>
      <w:szCs w:val="20"/>
      <w:lang w:val="fr-FR"/>
    </w:rPr>
  </w:style>
  <w:style w:type="paragraph" w:customStyle="1" w:styleId="579">
    <w:name w:val="Titre 2A"/>
    <w:basedOn w:val="3"/>
    <w:qFormat/>
    <w:uiPriority w:val="0"/>
    <w:pPr>
      <w:keepNext/>
      <w:keepLines/>
      <w:widowControl w:val="0"/>
      <w:pBdr>
        <w:bottom w:val="none" w:color="auto" w:sz="0" w:space="0"/>
      </w:pBdr>
      <w:suppressAutoHyphens w:val="0"/>
      <w:snapToGrid w:val="0"/>
      <w:spacing w:before="240" w:after="0"/>
      <w:ind w:left="708" w:hanging="708"/>
      <w:jc w:val="both"/>
      <w:outlineLvl w:val="9"/>
    </w:pPr>
    <w:rPr>
      <w:rFonts w:ascii="Arial" w:hAnsi="Arial" w:eastAsia="Calibri"/>
      <w:i/>
      <w:color w:val="000000"/>
      <w:sz w:val="20"/>
      <w:lang w:val="fr-FR" w:eastAsia="en-US"/>
    </w:rPr>
  </w:style>
  <w:style w:type="paragraph" w:customStyle="1" w:styleId="580">
    <w:name w:val="Titre figure"/>
    <w:basedOn w:val="1"/>
    <w:next w:val="1"/>
    <w:qFormat/>
    <w:uiPriority w:val="0"/>
    <w:pPr>
      <w:keepLines/>
      <w:widowControl w:val="0"/>
      <w:snapToGrid w:val="0"/>
      <w:spacing w:before="240" w:after="180" w:line="240" w:lineRule="auto"/>
      <w:jc w:val="center"/>
    </w:pPr>
    <w:rPr>
      <w:rFonts w:ascii="Arial" w:hAnsi="Arial" w:eastAsia="Times New Roman"/>
      <w:b/>
      <w:sz w:val="20"/>
      <w:szCs w:val="20"/>
      <w:lang w:val="fr-FR"/>
    </w:rPr>
  </w:style>
  <w:style w:type="paragraph" w:customStyle="1" w:styleId="581">
    <w:name w:val="Figure"/>
    <w:basedOn w:val="1"/>
    <w:next w:val="580"/>
    <w:qFormat/>
    <w:uiPriority w:val="0"/>
    <w:pPr>
      <w:keepNext/>
      <w:keepLines/>
      <w:widowControl w:val="0"/>
      <w:snapToGrid w:val="0"/>
      <w:spacing w:before="120" w:after="0" w:line="240" w:lineRule="auto"/>
      <w:jc w:val="center"/>
    </w:pPr>
    <w:rPr>
      <w:rFonts w:ascii="Arial" w:hAnsi="Arial" w:eastAsia="Times New Roman"/>
      <w:sz w:val="20"/>
      <w:szCs w:val="20"/>
      <w:lang w:val="fr-FR"/>
    </w:rPr>
  </w:style>
  <w:style w:type="paragraph" w:customStyle="1" w:styleId="582">
    <w:name w:val="Bildtext"/>
    <w:basedOn w:val="1"/>
    <w:qFormat/>
    <w:uiPriority w:val="0"/>
    <w:pPr>
      <w:suppressAutoHyphens/>
      <w:spacing w:before="100" w:after="200" w:line="240" w:lineRule="auto"/>
    </w:pPr>
    <w:rPr>
      <w:rFonts w:ascii="Helvetica" w:hAnsi="Helvetica" w:eastAsia="Times New Roman"/>
      <w:i/>
      <w:sz w:val="18"/>
      <w:szCs w:val="20"/>
    </w:rPr>
  </w:style>
  <w:style w:type="paragraph" w:customStyle="1" w:styleId="583">
    <w:name w:val="Paragraph 1"/>
    <w:basedOn w:val="1"/>
    <w:qFormat/>
    <w:uiPriority w:val="0"/>
    <w:pPr>
      <w:spacing w:before="60" w:after="60" w:line="240" w:lineRule="auto"/>
      <w:jc w:val="both"/>
    </w:pPr>
    <w:rPr>
      <w:rFonts w:ascii="Arial" w:hAnsi="Arial" w:eastAsia="Times New Roman"/>
      <w:sz w:val="24"/>
      <w:szCs w:val="20"/>
    </w:rPr>
  </w:style>
  <w:style w:type="paragraph" w:customStyle="1" w:styleId="584">
    <w:name w:val="Style1 Char"/>
    <w:basedOn w:val="1"/>
    <w:qFormat/>
    <w:uiPriority w:val="0"/>
    <w:pPr>
      <w:tabs>
        <w:tab w:val="left" w:pos="3969"/>
        <w:tab w:val="left" w:pos="5954"/>
        <w:tab w:val="right" w:pos="8505"/>
      </w:tabs>
      <w:spacing w:before="100" w:after="100" w:line="240" w:lineRule="auto"/>
      <w:ind w:left="1134"/>
      <w:jc w:val="both"/>
    </w:pPr>
    <w:rPr>
      <w:rFonts w:eastAsia="Times New Roman"/>
      <w:sz w:val="26"/>
      <w:szCs w:val="26"/>
    </w:rPr>
  </w:style>
  <w:style w:type="paragraph" w:customStyle="1" w:styleId="585">
    <w:name w:val="Style8"/>
    <w:basedOn w:val="1"/>
    <w:qFormat/>
    <w:uiPriority w:val="0"/>
    <w:pPr>
      <w:numPr>
        <w:ilvl w:val="0"/>
        <w:numId w:val="20"/>
      </w:numPr>
      <w:tabs>
        <w:tab w:val="left" w:pos="3969"/>
        <w:tab w:val="left" w:pos="5954"/>
        <w:tab w:val="right" w:pos="8505"/>
      </w:tabs>
      <w:spacing w:before="100" w:after="100" w:line="240" w:lineRule="auto"/>
      <w:jc w:val="both"/>
    </w:pPr>
    <w:rPr>
      <w:rFonts w:eastAsia="Times New Roman"/>
      <w:sz w:val="26"/>
      <w:szCs w:val="26"/>
    </w:rPr>
  </w:style>
  <w:style w:type="paragraph" w:customStyle="1" w:styleId="586">
    <w:name w:val="m6-Table"/>
    <w:qFormat/>
    <w:uiPriority w:val="0"/>
    <w:pPr>
      <w:numPr>
        <w:ilvl w:val="0"/>
        <w:numId w:val="21"/>
      </w:numPr>
      <w:tabs>
        <w:tab w:val="left" w:pos="0"/>
        <w:tab w:val="left" w:pos="1134"/>
      </w:tabs>
      <w:spacing w:before="40" w:after="40" w:line="276" w:lineRule="auto"/>
    </w:pPr>
    <w:rPr>
      <w:rFonts w:ascii="Times New Roman" w:hAnsi="Times New Roman" w:eastAsia="Times New Roman" w:cs="Times New Roman"/>
      <w:b/>
      <w:color w:val="000000"/>
      <w:sz w:val="24"/>
      <w:szCs w:val="24"/>
      <w:lang w:val="en-US" w:eastAsia="en-US" w:bidi="ar-SA"/>
    </w:rPr>
  </w:style>
  <w:style w:type="paragraph" w:customStyle="1" w:styleId="587">
    <w:name w:val="m6-Table1"/>
    <w:basedOn w:val="586"/>
    <w:qFormat/>
    <w:uiPriority w:val="0"/>
    <w:pPr>
      <w:widowControl w:val="0"/>
      <w:numPr>
        <w:ilvl w:val="1"/>
      </w:numPr>
      <w:spacing w:before="120" w:after="120"/>
      <w:jc w:val="both"/>
    </w:pPr>
    <w:rPr>
      <w:b w:val="0"/>
      <w:sz w:val="26"/>
      <w:lang w:val="en-GB"/>
    </w:rPr>
  </w:style>
  <w:style w:type="paragraph" w:customStyle="1" w:styleId="588">
    <w:name w:val="tieude1"/>
    <w:basedOn w:val="1"/>
    <w:autoRedefine/>
    <w:qFormat/>
    <w:uiPriority w:val="0"/>
    <w:pPr>
      <w:spacing w:after="0" w:line="240" w:lineRule="auto"/>
      <w:jc w:val="center"/>
    </w:pPr>
    <w:rPr>
      <w:rFonts w:ascii=".VnTime" w:hAnsi=".VnTime" w:eastAsia="Times New Roman"/>
      <w:b/>
      <w:i/>
      <w:position w:val="-24"/>
      <w:sz w:val="24"/>
      <w:szCs w:val="20"/>
    </w:rPr>
  </w:style>
  <w:style w:type="paragraph" w:customStyle="1" w:styleId="589">
    <w:name w:val="FR1"/>
    <w:qFormat/>
    <w:uiPriority w:val="0"/>
    <w:pPr>
      <w:widowControl w:val="0"/>
      <w:autoSpaceDE w:val="0"/>
      <w:autoSpaceDN w:val="0"/>
      <w:adjustRightInd w:val="0"/>
      <w:ind w:left="3320"/>
    </w:pPr>
    <w:rPr>
      <w:rFonts w:ascii="Arial" w:hAnsi="Arial" w:eastAsia="Times New Roman" w:cs="Arial"/>
      <w:lang w:val="en-US" w:eastAsia="en-US" w:bidi="ar-SA"/>
    </w:rPr>
  </w:style>
  <w:style w:type="paragraph" w:customStyle="1" w:styleId="590">
    <w:name w:val="Spezifikation"/>
    <w:basedOn w:val="1"/>
    <w:qFormat/>
    <w:uiPriority w:val="0"/>
    <w:pPr>
      <w:tabs>
        <w:tab w:val="left" w:pos="426"/>
        <w:tab w:val="right" w:pos="5387"/>
      </w:tabs>
      <w:overflowPunct w:val="0"/>
      <w:autoSpaceDE w:val="0"/>
      <w:autoSpaceDN w:val="0"/>
      <w:adjustRightInd w:val="0"/>
      <w:spacing w:before="20" w:after="220" w:line="240" w:lineRule="auto"/>
    </w:pPr>
    <w:rPr>
      <w:rFonts w:ascii="Arial" w:hAnsi="Arial" w:eastAsia="Times New Roman"/>
      <w:sz w:val="22"/>
      <w:szCs w:val="20"/>
      <w:lang w:val="de-DE"/>
    </w:rPr>
  </w:style>
  <w:style w:type="paragraph" w:customStyle="1" w:styleId="591">
    <w:name w:val="Style 13 pt Bold Before:  6 pt After:  6 pt Line spacing:  Mult"/>
    <w:basedOn w:val="1"/>
    <w:qFormat/>
    <w:uiPriority w:val="0"/>
    <w:pPr>
      <w:numPr>
        <w:ilvl w:val="0"/>
        <w:numId w:val="22"/>
      </w:numPr>
      <w:overflowPunct w:val="0"/>
      <w:autoSpaceDE w:val="0"/>
      <w:autoSpaceDN w:val="0"/>
      <w:adjustRightInd w:val="0"/>
      <w:spacing w:after="0" w:line="240" w:lineRule="auto"/>
    </w:pPr>
    <w:rPr>
      <w:rFonts w:eastAsia="Times New Roman"/>
      <w:sz w:val="24"/>
      <w:szCs w:val="20"/>
    </w:rPr>
  </w:style>
  <w:style w:type="paragraph" w:customStyle="1" w:styleId="592">
    <w:name w:val="Style Heading 1 + 16 pt1"/>
    <w:basedOn w:val="2"/>
    <w:next w:val="2"/>
    <w:qFormat/>
    <w:uiPriority w:val="0"/>
    <w:pPr>
      <w:keepNext w:val="0"/>
      <w:widowControl w:val="0"/>
      <w:numPr>
        <w:ilvl w:val="0"/>
        <w:numId w:val="23"/>
      </w:numPr>
      <w:spacing w:before="120" w:after="120" w:line="288" w:lineRule="auto"/>
      <w:jc w:val="both"/>
    </w:pPr>
    <w:rPr>
      <w:rFonts w:ascii="Calibri" w:hAnsi="Calibri" w:eastAsia="Calibri"/>
      <w:bCs w:val="0"/>
      <w:kern w:val="0"/>
      <w:szCs w:val="20"/>
    </w:rPr>
  </w:style>
  <w:style w:type="paragraph" w:customStyle="1" w:styleId="593">
    <w:name w:val="sub side headings"/>
    <w:qFormat/>
    <w:uiPriority w:val="0"/>
    <w:pPr>
      <w:keepNext/>
      <w:spacing w:line="288" w:lineRule="exact"/>
      <w:jc w:val="both"/>
    </w:pPr>
    <w:rPr>
      <w:rFonts w:ascii="Times" w:hAnsi="Times" w:eastAsia="Times New Roman" w:cs="Times New Roman"/>
      <w:b/>
      <w:sz w:val="24"/>
      <w:lang w:val="en-GB" w:eastAsia="en-US" w:bidi="ar-SA"/>
    </w:rPr>
  </w:style>
  <w:style w:type="paragraph" w:customStyle="1" w:styleId="594">
    <w:name w:val="first line indent text"/>
    <w:qFormat/>
    <w:uiPriority w:val="0"/>
    <w:pPr>
      <w:spacing w:line="288" w:lineRule="exact"/>
      <w:ind w:firstLine="720"/>
      <w:jc w:val="both"/>
    </w:pPr>
    <w:rPr>
      <w:rFonts w:ascii="Times New Roman" w:hAnsi="Times New Roman" w:eastAsia="Times New Roman" w:cs="Times New Roman"/>
      <w:sz w:val="22"/>
      <w:lang w:val="en-GB" w:eastAsia="en-US" w:bidi="ar-SA"/>
    </w:rPr>
  </w:style>
  <w:style w:type="paragraph" w:customStyle="1" w:styleId="595">
    <w:name w:val="SAR 1"/>
    <w:qFormat/>
    <w:uiPriority w:val="0"/>
    <w:pPr>
      <w:tabs>
        <w:tab w:val="left" w:pos="605"/>
        <w:tab w:val="left" w:pos="1210"/>
        <w:tab w:val="left" w:pos="1814"/>
        <w:tab w:val="left" w:pos="2419"/>
        <w:tab w:val="left" w:pos="3024"/>
      </w:tabs>
      <w:suppressAutoHyphens/>
    </w:pPr>
    <w:rPr>
      <w:rFonts w:ascii="Courier" w:hAnsi="Courier" w:eastAsia="Times New Roman" w:cs="Times New Roman"/>
      <w:sz w:val="24"/>
      <w:lang w:val="en-US" w:eastAsia="en-US" w:bidi="ar-SA"/>
    </w:rPr>
  </w:style>
  <w:style w:type="paragraph" w:customStyle="1" w:styleId="596">
    <w:name w:val="SAR 7"/>
    <w:qFormat/>
    <w:uiPriority w:val="0"/>
    <w:pPr>
      <w:tabs>
        <w:tab w:val="left" w:pos="-720"/>
      </w:tabs>
      <w:suppressAutoHyphens/>
    </w:pPr>
    <w:rPr>
      <w:rFonts w:ascii="Courier" w:hAnsi="Courier" w:eastAsia="Times New Roman" w:cs="Times New Roman"/>
      <w:sz w:val="24"/>
      <w:lang w:val="en-US" w:eastAsia="en-US" w:bidi="ar-SA"/>
    </w:rPr>
  </w:style>
  <w:style w:type="paragraph" w:customStyle="1" w:styleId="597">
    <w:name w:val="1 1"/>
    <w:qFormat/>
    <w:uiPriority w:val="0"/>
    <w:pPr>
      <w:tabs>
        <w:tab w:val="left" w:pos="-720"/>
      </w:tabs>
      <w:suppressAutoHyphens/>
    </w:pPr>
    <w:rPr>
      <w:rFonts w:ascii="Courier" w:hAnsi="Courier" w:eastAsia="Times New Roman" w:cs="Times New Roman"/>
      <w:sz w:val="24"/>
      <w:lang w:val="en-US" w:eastAsia="en-US" w:bidi="ar-SA"/>
    </w:rPr>
  </w:style>
  <w:style w:type="paragraph" w:customStyle="1" w:styleId="598">
    <w:name w:val="1 2"/>
    <w:qFormat/>
    <w:uiPriority w:val="0"/>
    <w:pPr>
      <w:tabs>
        <w:tab w:val="left" w:pos="-720"/>
      </w:tabs>
      <w:suppressAutoHyphens/>
    </w:pPr>
    <w:rPr>
      <w:rFonts w:ascii="Courier" w:hAnsi="Courier" w:eastAsia="Times New Roman" w:cs="Times New Roman"/>
      <w:sz w:val="24"/>
      <w:lang w:val="en-US" w:eastAsia="en-US" w:bidi="ar-SA"/>
    </w:rPr>
  </w:style>
  <w:style w:type="paragraph" w:customStyle="1" w:styleId="599">
    <w:name w:val="1 3"/>
    <w:qFormat/>
    <w:uiPriority w:val="0"/>
    <w:pPr>
      <w:tabs>
        <w:tab w:val="left" w:pos="-720"/>
      </w:tabs>
      <w:suppressAutoHyphens/>
    </w:pPr>
    <w:rPr>
      <w:rFonts w:ascii="Courier" w:hAnsi="Courier" w:eastAsia="Times New Roman" w:cs="Times New Roman"/>
      <w:sz w:val="24"/>
      <w:lang w:val="en-US" w:eastAsia="en-US" w:bidi="ar-SA"/>
    </w:rPr>
  </w:style>
  <w:style w:type="paragraph" w:customStyle="1" w:styleId="600">
    <w:name w:val="1 4"/>
    <w:qFormat/>
    <w:uiPriority w:val="0"/>
    <w:pPr>
      <w:tabs>
        <w:tab w:val="left" w:pos="-720"/>
      </w:tabs>
      <w:suppressAutoHyphens/>
    </w:pPr>
    <w:rPr>
      <w:rFonts w:ascii="Courier" w:hAnsi="Courier" w:eastAsia="Times New Roman" w:cs="Times New Roman"/>
      <w:sz w:val="24"/>
      <w:lang w:val="en-US" w:eastAsia="en-US" w:bidi="ar-SA"/>
    </w:rPr>
  </w:style>
  <w:style w:type="paragraph" w:customStyle="1" w:styleId="601">
    <w:name w:val="1 5"/>
    <w:qFormat/>
    <w:uiPriority w:val="0"/>
    <w:pPr>
      <w:tabs>
        <w:tab w:val="left" w:pos="-720"/>
      </w:tabs>
      <w:suppressAutoHyphens/>
    </w:pPr>
    <w:rPr>
      <w:rFonts w:ascii="Courier" w:hAnsi="Courier" w:eastAsia="Times New Roman" w:cs="Times New Roman"/>
      <w:sz w:val="24"/>
      <w:lang w:val="en-US" w:eastAsia="en-US" w:bidi="ar-SA"/>
    </w:rPr>
  </w:style>
  <w:style w:type="paragraph" w:customStyle="1" w:styleId="602">
    <w:name w:val="1 6"/>
    <w:qFormat/>
    <w:uiPriority w:val="0"/>
    <w:pPr>
      <w:tabs>
        <w:tab w:val="left" w:pos="-720"/>
      </w:tabs>
      <w:suppressAutoHyphens/>
    </w:pPr>
    <w:rPr>
      <w:rFonts w:ascii="Courier" w:hAnsi="Courier" w:eastAsia="Times New Roman" w:cs="Times New Roman"/>
      <w:sz w:val="24"/>
      <w:lang w:val="en-US" w:eastAsia="en-US" w:bidi="ar-SA"/>
    </w:rPr>
  </w:style>
  <w:style w:type="paragraph" w:customStyle="1" w:styleId="603">
    <w:name w:val="1 7"/>
    <w:qFormat/>
    <w:uiPriority w:val="0"/>
    <w:pPr>
      <w:tabs>
        <w:tab w:val="left" w:pos="-720"/>
      </w:tabs>
      <w:suppressAutoHyphens/>
    </w:pPr>
    <w:rPr>
      <w:rFonts w:ascii="Courier" w:hAnsi="Courier" w:eastAsia="Times New Roman" w:cs="Times New Roman"/>
      <w:sz w:val="24"/>
      <w:lang w:val="en-US" w:eastAsia="en-US" w:bidi="ar-SA"/>
    </w:rPr>
  </w:style>
  <w:style w:type="paragraph" w:customStyle="1" w:styleId="604">
    <w:name w:val="1 8"/>
    <w:qFormat/>
    <w:uiPriority w:val="0"/>
    <w:pPr>
      <w:tabs>
        <w:tab w:val="left" w:pos="-720"/>
      </w:tabs>
      <w:suppressAutoHyphens/>
    </w:pPr>
    <w:rPr>
      <w:rFonts w:ascii="Courier" w:hAnsi="Courier" w:eastAsia="Times New Roman" w:cs="Times New Roman"/>
      <w:sz w:val="24"/>
      <w:lang w:val="en-US" w:eastAsia="en-US" w:bidi="ar-SA"/>
    </w:rPr>
  </w:style>
  <w:style w:type="paragraph" w:customStyle="1" w:styleId="605">
    <w:name w:val="2 1a"/>
    <w:qFormat/>
    <w:uiPriority w:val="0"/>
    <w:pPr>
      <w:tabs>
        <w:tab w:val="left" w:pos="-720"/>
      </w:tabs>
      <w:suppressAutoHyphens/>
    </w:pPr>
    <w:rPr>
      <w:rFonts w:ascii="Courier" w:hAnsi="Courier" w:eastAsia="Times New Roman" w:cs="Times New Roman"/>
      <w:sz w:val="24"/>
      <w:lang w:val="en-US" w:eastAsia="en-US" w:bidi="ar-SA"/>
    </w:rPr>
  </w:style>
  <w:style w:type="paragraph" w:customStyle="1" w:styleId="606">
    <w:name w:val="2 2a"/>
    <w:qFormat/>
    <w:uiPriority w:val="0"/>
    <w:pPr>
      <w:tabs>
        <w:tab w:val="left" w:pos="-720"/>
      </w:tabs>
      <w:suppressAutoHyphens/>
    </w:pPr>
    <w:rPr>
      <w:rFonts w:ascii="Courier" w:hAnsi="Courier" w:eastAsia="Times New Roman" w:cs="Times New Roman"/>
      <w:sz w:val="24"/>
      <w:lang w:val="en-US" w:eastAsia="en-US" w:bidi="ar-SA"/>
    </w:rPr>
  </w:style>
  <w:style w:type="paragraph" w:customStyle="1" w:styleId="607">
    <w:name w:val="2 3a"/>
    <w:qFormat/>
    <w:uiPriority w:val="0"/>
    <w:pPr>
      <w:tabs>
        <w:tab w:val="left" w:pos="-720"/>
      </w:tabs>
      <w:suppressAutoHyphens/>
    </w:pPr>
    <w:rPr>
      <w:rFonts w:ascii="Courier" w:hAnsi="Courier" w:eastAsia="Times New Roman" w:cs="Times New Roman"/>
      <w:sz w:val="24"/>
      <w:lang w:val="en-US" w:eastAsia="en-US" w:bidi="ar-SA"/>
    </w:rPr>
  </w:style>
  <w:style w:type="paragraph" w:customStyle="1" w:styleId="608">
    <w:name w:val="Trennblatt"/>
    <w:basedOn w:val="2"/>
    <w:qFormat/>
    <w:uiPriority w:val="0"/>
    <w:pPr>
      <w:keepNext w:val="0"/>
      <w:tabs>
        <w:tab w:val="left" w:pos="432"/>
      </w:tabs>
      <w:suppressAutoHyphens/>
      <w:spacing w:before="120" w:after="120" w:line="240" w:lineRule="auto"/>
      <w:ind w:left="432" w:hanging="432"/>
      <w:jc w:val="center"/>
    </w:pPr>
    <w:rPr>
      <w:rFonts w:ascii="Calibri" w:hAnsi="Calibri" w:eastAsia="Calibri"/>
      <w:bCs w:val="0"/>
      <w:kern w:val="0"/>
      <w:sz w:val="72"/>
      <w:szCs w:val="20"/>
    </w:rPr>
  </w:style>
  <w:style w:type="paragraph" w:customStyle="1" w:styleId="609">
    <w:name w:val="chapter headings"/>
    <w:qFormat/>
    <w:uiPriority w:val="0"/>
    <w:pPr>
      <w:keepNext/>
      <w:spacing w:line="288" w:lineRule="exact"/>
      <w:jc w:val="center"/>
    </w:pPr>
    <w:rPr>
      <w:rFonts w:ascii="Times" w:hAnsi="Times" w:eastAsia="Times New Roman" w:cs="Times New Roman"/>
      <w:b/>
      <w:caps/>
      <w:sz w:val="24"/>
      <w:lang w:val="en-GB" w:eastAsia="en-US" w:bidi="ar-SA"/>
    </w:rPr>
  </w:style>
  <w:style w:type="paragraph" w:customStyle="1" w:styleId="610">
    <w:name w:val="main side headings"/>
    <w:qFormat/>
    <w:uiPriority w:val="0"/>
    <w:pPr>
      <w:keepNext/>
      <w:spacing w:line="288" w:lineRule="exact"/>
      <w:jc w:val="both"/>
    </w:pPr>
    <w:rPr>
      <w:rFonts w:ascii="Times" w:hAnsi="Times" w:eastAsia="Times New Roman" w:cs="Times New Roman"/>
      <w:b/>
      <w:caps/>
      <w:sz w:val="24"/>
      <w:lang w:val="en-GB" w:eastAsia="en-US" w:bidi="ar-SA"/>
    </w:rPr>
  </w:style>
  <w:style w:type="paragraph" w:customStyle="1" w:styleId="611">
    <w:name w:val="block indented text"/>
    <w:qFormat/>
    <w:uiPriority w:val="0"/>
    <w:pPr>
      <w:spacing w:line="288" w:lineRule="exact"/>
      <w:ind w:left="720"/>
      <w:jc w:val="both"/>
    </w:pPr>
    <w:rPr>
      <w:rFonts w:ascii="Times" w:hAnsi="Times" w:eastAsia="Times New Roman" w:cs="Times New Roman"/>
      <w:lang w:val="en-GB" w:eastAsia="en-US" w:bidi="ar-SA"/>
    </w:rPr>
  </w:style>
  <w:style w:type="paragraph" w:customStyle="1" w:styleId="612">
    <w:name w:val="Nur Text"/>
    <w:basedOn w:val="1"/>
    <w:qFormat/>
    <w:uiPriority w:val="0"/>
    <w:pPr>
      <w:spacing w:after="0" w:line="240" w:lineRule="auto"/>
    </w:pPr>
    <w:rPr>
      <w:rFonts w:ascii="Courier New" w:hAnsi="Courier New" w:eastAsia="Times New Roman"/>
      <w:sz w:val="20"/>
      <w:szCs w:val="20"/>
      <w:lang w:val="de-DE" w:eastAsia="ar-SA"/>
    </w:rPr>
  </w:style>
  <w:style w:type="paragraph" w:customStyle="1" w:styleId="613">
    <w:name w:val="Nur Text1"/>
    <w:basedOn w:val="1"/>
    <w:next w:val="1"/>
    <w:qFormat/>
    <w:uiPriority w:val="0"/>
    <w:pPr>
      <w:widowControl w:val="0"/>
      <w:suppressAutoHyphens/>
      <w:autoSpaceDE w:val="0"/>
      <w:spacing w:after="0" w:line="240" w:lineRule="auto"/>
      <w:jc w:val="both"/>
    </w:pPr>
    <w:rPr>
      <w:rFonts w:eastAsia="Times New Roman"/>
      <w:sz w:val="24"/>
      <w:szCs w:val="20"/>
      <w:lang w:eastAsia="hi-IN" w:bidi="hi-IN"/>
    </w:rPr>
  </w:style>
  <w:style w:type="paragraph" w:customStyle="1" w:styleId="614">
    <w:name w:val="Table Contents"/>
    <w:basedOn w:val="1"/>
    <w:qFormat/>
    <w:uiPriority w:val="0"/>
    <w:pPr>
      <w:widowControl w:val="0"/>
      <w:suppressLineNumbers/>
      <w:suppressAutoHyphens/>
      <w:spacing w:after="0" w:line="240" w:lineRule="auto"/>
    </w:pPr>
    <w:rPr>
      <w:rFonts w:eastAsia="Arial Unicode MS" w:cs="Tahoma"/>
      <w:kern w:val="2"/>
      <w:sz w:val="24"/>
      <w:szCs w:val="24"/>
      <w:lang w:eastAsia="vi-VN" w:bidi="vi-VN"/>
    </w:rPr>
  </w:style>
  <w:style w:type="paragraph" w:customStyle="1" w:styleId="615">
    <w:name w:val="Style10"/>
    <w:basedOn w:val="1"/>
    <w:qFormat/>
    <w:uiPriority w:val="0"/>
    <w:pPr>
      <w:tabs>
        <w:tab w:val="left" w:pos="2268"/>
        <w:tab w:val="left" w:pos="3969"/>
        <w:tab w:val="left" w:pos="5954"/>
        <w:tab w:val="right" w:pos="8505"/>
      </w:tabs>
      <w:spacing w:before="100" w:after="100" w:line="240" w:lineRule="auto"/>
      <w:jc w:val="both"/>
    </w:pPr>
    <w:rPr>
      <w:rFonts w:eastAsia="Times New Roman"/>
      <w:sz w:val="26"/>
      <w:szCs w:val="26"/>
    </w:rPr>
  </w:style>
  <w:style w:type="paragraph" w:customStyle="1" w:styleId="616">
    <w:name w:val="Dau dong (-)"/>
    <w:basedOn w:val="19"/>
    <w:qFormat/>
    <w:uiPriority w:val="0"/>
    <w:pPr>
      <w:widowControl w:val="0"/>
      <w:tabs>
        <w:tab w:val="left" w:pos="851"/>
        <w:tab w:val="clear" w:pos="720"/>
      </w:tabs>
      <w:snapToGrid w:val="0"/>
      <w:spacing w:before="120" w:after="120" w:line="288" w:lineRule="auto"/>
      <w:ind w:left="851" w:hanging="567"/>
      <w:jc w:val="both"/>
    </w:pPr>
    <w:rPr>
      <w:sz w:val="26"/>
      <w:lang w:val="en-US" w:eastAsia="en-US"/>
    </w:rPr>
  </w:style>
  <w:style w:type="paragraph" w:customStyle="1" w:styleId="617">
    <w:name w:val="Heading 1-H1"/>
    <w:basedOn w:val="2"/>
    <w:qFormat/>
    <w:uiPriority w:val="0"/>
    <w:pPr>
      <w:tabs>
        <w:tab w:val="left" w:pos="0"/>
      </w:tabs>
      <w:autoSpaceDE w:val="0"/>
      <w:autoSpaceDN w:val="0"/>
      <w:adjustRightInd w:val="0"/>
      <w:spacing w:before="180" w:line="360" w:lineRule="exact"/>
      <w:ind w:hanging="1418"/>
    </w:pPr>
    <w:rPr>
      <w:rFonts w:ascii="Times New Roman Bold" w:hAnsi="Times New Roman Bold"/>
      <w:caps/>
      <w:kern w:val="0"/>
      <w:sz w:val="26"/>
      <w:szCs w:val="24"/>
    </w:rPr>
  </w:style>
  <w:style w:type="paragraph" w:customStyle="1" w:styleId="618">
    <w:name w:val="Style Heading 1Chuong + Arial"/>
    <w:basedOn w:val="2"/>
    <w:autoRedefine/>
    <w:qFormat/>
    <w:uiPriority w:val="0"/>
    <w:pPr>
      <w:pageBreakBefore/>
      <w:numPr>
        <w:ilvl w:val="0"/>
        <w:numId w:val="24"/>
      </w:numPr>
      <w:spacing w:before="40" w:after="240" w:line="240" w:lineRule="auto"/>
      <w:jc w:val="center"/>
    </w:pPr>
    <w:rPr>
      <w:rFonts w:ascii="Times New Roman" w:hAnsi="Times New Roman"/>
      <w:caps/>
      <w:sz w:val="36"/>
    </w:rPr>
  </w:style>
  <w:style w:type="character" w:styleId="619">
    <w:name w:val="Placeholder Text"/>
    <w:semiHidden/>
    <w:qFormat/>
    <w:uiPriority w:val="99"/>
    <w:rPr>
      <w:color w:val="808080"/>
    </w:rPr>
  </w:style>
  <w:style w:type="character" w:customStyle="1" w:styleId="620">
    <w:name w:val="std nobr"/>
    <w:basedOn w:val="11"/>
    <w:qFormat/>
    <w:uiPriority w:val="0"/>
  </w:style>
  <w:style w:type="character" w:customStyle="1" w:styleId="621">
    <w:name w:val="SAR 8"/>
    <w:qFormat/>
    <w:uiPriority w:val="0"/>
    <w:rPr>
      <w:rFonts w:hint="default" w:ascii="Courier" w:hAnsi="Courier"/>
      <w:sz w:val="24"/>
      <w:lang w:val="en-US"/>
    </w:rPr>
  </w:style>
  <w:style w:type="character" w:customStyle="1" w:styleId="622">
    <w:name w:val="st1"/>
    <w:qFormat/>
    <w:uiPriority w:val="0"/>
  </w:style>
  <w:style w:type="character" w:customStyle="1" w:styleId="623">
    <w:name w:val="long_text"/>
    <w:qFormat/>
    <w:uiPriority w:val="0"/>
  </w:style>
  <w:style w:type="character" w:customStyle="1" w:styleId="624">
    <w:name w:val="Document Map Char1"/>
    <w:basedOn w:val="11"/>
    <w:semiHidden/>
    <w:qFormat/>
    <w:locked/>
    <w:uiPriority w:val="0"/>
    <w:rPr>
      <w:rFonts w:ascii="Tahoma" w:hAnsi="Tahoma" w:eastAsia="Times New Roman" w:cs="Tahoma"/>
      <w:shd w:val="clear" w:color="auto" w:fill="000080"/>
    </w:rPr>
  </w:style>
  <w:style w:type="character" w:customStyle="1" w:styleId="625">
    <w:name w:val="hps alt-edited"/>
    <w:qFormat/>
    <w:uiPriority w:val="0"/>
  </w:style>
  <w:style w:type="character" w:customStyle="1" w:styleId="626">
    <w:name w:val="Char Char43"/>
    <w:qFormat/>
    <w:uiPriority w:val="0"/>
    <w:rPr>
      <w:b/>
      <w:sz w:val="24"/>
      <w:lang w:val="de-DE" w:eastAsia="en-US" w:bidi="ar-SA"/>
    </w:rPr>
  </w:style>
  <w:style w:type="character" w:customStyle="1" w:styleId="627">
    <w:name w:val="Char Char46"/>
    <w:qFormat/>
    <w:uiPriority w:val="0"/>
    <w:rPr>
      <w:b/>
      <w:sz w:val="26"/>
      <w:lang w:val="en-GB" w:eastAsia="en-US" w:bidi="ar-SA"/>
    </w:rPr>
  </w:style>
  <w:style w:type="character" w:customStyle="1" w:styleId="628">
    <w:name w:val="WW8Num88z0"/>
    <w:qFormat/>
    <w:uiPriority w:val="0"/>
    <w:rPr>
      <w:rFonts w:hint="default" w:ascii="Times New Roman" w:hAnsi="Times New Roman" w:eastAsia="Times New Roman" w:cs="Times New Roman"/>
    </w:rPr>
  </w:style>
  <w:style w:type="character" w:customStyle="1" w:styleId="629">
    <w:name w:val="Style Blue"/>
    <w:qFormat/>
    <w:uiPriority w:val="0"/>
    <w:rPr>
      <w:color w:val="auto"/>
    </w:rPr>
  </w:style>
  <w:style w:type="table" w:customStyle="1" w:styleId="630">
    <w:name w:val="Table Grid1"/>
    <w:basedOn w:val="12"/>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1">
    <w:name w:val="Indent of body1"/>
    <w:basedOn w:val="444"/>
    <w:autoRedefine/>
    <w:qFormat/>
    <w:uiPriority w:val="0"/>
    <w:pPr>
      <w:ind w:left="1440"/>
    </w:pPr>
  </w:style>
  <w:style w:type="paragraph" w:customStyle="1" w:styleId="632">
    <w:name w:val="Indent of bd1"/>
    <w:basedOn w:val="631"/>
    <w:autoRedefine/>
    <w:qFormat/>
    <w:uiPriority w:val="0"/>
    <w:pPr>
      <w:tabs>
        <w:tab w:val="left" w:pos="1800"/>
      </w:tabs>
      <w:ind w:left="1080" w:hanging="360"/>
    </w:pPr>
    <w:rPr>
      <w:color w:val="0000FF"/>
    </w:rPr>
  </w:style>
  <w:style w:type="paragraph" w:customStyle="1" w:styleId="633">
    <w:name w:val="Aufzähl_2"/>
    <w:basedOn w:val="541"/>
    <w:qFormat/>
    <w:uiPriority w:val="0"/>
    <w:pPr>
      <w:tabs>
        <w:tab w:val="left" w:pos="1134"/>
      </w:tabs>
      <w:spacing w:after="60"/>
      <w:ind w:left="1134"/>
      <w:jc w:val="left"/>
    </w:pPr>
  </w:style>
  <w:style w:type="paragraph" w:customStyle="1" w:styleId="634">
    <w:name w:val="Aufzähl_4"/>
    <w:basedOn w:val="633"/>
    <w:qFormat/>
    <w:uiPriority w:val="0"/>
    <w:pPr>
      <w:tabs>
        <w:tab w:val="left" w:pos="284"/>
        <w:tab w:val="clear" w:pos="567"/>
        <w:tab w:val="clear" w:pos="1134"/>
      </w:tabs>
      <w:suppressAutoHyphens/>
      <w:spacing w:before="90" w:after="54"/>
      <w:ind w:left="284" w:hanging="284"/>
    </w:pPr>
  </w:style>
  <w:style w:type="paragraph" w:customStyle="1" w:styleId="635">
    <w:name w:val="Aufzähl_5"/>
    <w:basedOn w:val="634"/>
    <w:qFormat/>
    <w:uiPriority w:val="0"/>
    <w:pPr>
      <w:tabs>
        <w:tab w:val="left" w:pos="360"/>
      </w:tabs>
      <w:ind w:left="454"/>
    </w:pPr>
  </w:style>
  <w:style w:type="paragraph" w:customStyle="1" w:styleId="636">
    <w:name w:val="Bodytext"/>
    <w:basedOn w:val="1"/>
    <w:qFormat/>
    <w:uiPriority w:val="0"/>
    <w:pPr>
      <w:spacing w:after="0" w:line="240" w:lineRule="auto"/>
      <w:ind w:left="1985" w:right="-2"/>
    </w:pPr>
    <w:rPr>
      <w:rFonts w:eastAsia="Times New Roman"/>
      <w:sz w:val="22"/>
      <w:szCs w:val="20"/>
    </w:rPr>
  </w:style>
  <w:style w:type="paragraph" w:customStyle="1" w:styleId="637">
    <w:name w:val="m6"/>
    <w:basedOn w:val="330"/>
    <w:qFormat/>
    <w:uiPriority w:val="99"/>
    <w:pPr>
      <w:keepNext/>
      <w:numPr>
        <w:numId w:val="25"/>
      </w:numPr>
      <w:tabs>
        <w:tab w:val="left" w:pos="993"/>
        <w:tab w:val="clear" w:pos="567"/>
      </w:tabs>
      <w:autoSpaceDE w:val="0"/>
      <w:autoSpaceDN w:val="0"/>
      <w:adjustRightInd w:val="0"/>
      <w:ind w:left="0" w:firstLine="0"/>
      <w:jc w:val="left"/>
      <w:outlineLvl w:val="3"/>
    </w:pPr>
    <w:rPr>
      <w:rFonts w:ascii="Times New Roman Bold" w:hAnsi="Times New Roman Bold"/>
      <w:bCs/>
      <w:sz w:val="24"/>
      <w:lang w:eastAsia="zh-CN"/>
    </w:rPr>
  </w:style>
  <w:style w:type="paragraph" w:customStyle="1" w:styleId="638">
    <w:name w:val="ITBh2"/>
    <w:basedOn w:val="1"/>
    <w:qFormat/>
    <w:uiPriority w:val="0"/>
    <w:pPr>
      <w:numPr>
        <w:ilvl w:val="0"/>
        <w:numId w:val="26"/>
      </w:numPr>
      <w:tabs>
        <w:tab w:val="center" w:pos="4320"/>
        <w:tab w:val="right" w:pos="8640"/>
      </w:tabs>
      <w:suppressAutoHyphens/>
      <w:spacing w:after="200" w:line="240" w:lineRule="auto"/>
      <w:outlineLvl w:val="2"/>
    </w:pPr>
    <w:rPr>
      <w:rFonts w:eastAsia="Times New Roman"/>
      <w:b/>
      <w:sz w:val="24"/>
      <w:szCs w:val="24"/>
    </w:rPr>
  </w:style>
  <w:style w:type="paragraph" w:customStyle="1" w:styleId="639">
    <w:name w:val="SPD Clause No"/>
    <w:basedOn w:val="55"/>
    <w:qFormat/>
    <w:uiPriority w:val="0"/>
    <w:pPr>
      <w:tabs>
        <w:tab w:val="clear" w:pos="720"/>
      </w:tabs>
      <w:suppressAutoHyphens/>
      <w:spacing w:after="120"/>
      <w:ind w:left="432" w:hanging="432"/>
      <w:contextualSpacing/>
      <w:jc w:val="both"/>
    </w:pPr>
    <w:rPr>
      <w:spacing w:val="-2"/>
      <w:sz w:val="24"/>
    </w:rPr>
  </w:style>
  <w:style w:type="character" w:customStyle="1" w:styleId="640">
    <w:name w:val="Body Text Char1"/>
    <w:qFormat/>
    <w:locked/>
    <w:uiPriority w:val="0"/>
    <w:rPr>
      <w:rFonts w:ascii="Times New Roman" w:hAnsi="Times New Roman" w:cs="Times New Roman"/>
      <w:sz w:val="26"/>
      <w:szCs w:val="26"/>
      <w:u w:val="none"/>
    </w:rPr>
  </w:style>
  <w:style w:type="paragraph" w:customStyle="1" w:styleId="641">
    <w:name w:val="Char Char Char1 Char Char Char Char Char Char Char Char Char Char2"/>
    <w:basedOn w:val="1"/>
    <w:semiHidden/>
    <w:qFormat/>
    <w:uiPriority w:val="0"/>
    <w:pPr>
      <w:autoSpaceDE w:val="0"/>
      <w:autoSpaceDN w:val="0"/>
      <w:adjustRightInd w:val="0"/>
      <w:spacing w:before="120" w:line="240" w:lineRule="exact"/>
    </w:pPr>
    <w:rPr>
      <w:rFonts w:ascii="Verdana" w:hAnsi="Verdana" w:eastAsia="MS Mincho" w:cs="Verdana"/>
      <w:sz w:val="20"/>
      <w:szCs w:val="20"/>
    </w:rPr>
  </w:style>
  <w:style w:type="character" w:customStyle="1" w:styleId="642">
    <w:name w:val="Unresolved Mention1"/>
    <w:basedOn w:val="11"/>
    <w:semiHidden/>
    <w:unhideWhenUsed/>
    <w:qFormat/>
    <w:uiPriority w:val="99"/>
    <w:rPr>
      <w:color w:val="605E5C"/>
      <w:shd w:val="clear" w:color="auto" w:fill="E1DFDD"/>
    </w:rPr>
  </w:style>
  <w:style w:type="paragraph" w:customStyle="1" w:styleId="643">
    <w:name w:val="Char Char Char1 Char Char Char Char Char Char Char Char Char Char1"/>
    <w:basedOn w:val="1"/>
    <w:semiHidden/>
    <w:qFormat/>
    <w:uiPriority w:val="0"/>
    <w:pPr>
      <w:autoSpaceDE w:val="0"/>
      <w:autoSpaceDN w:val="0"/>
      <w:adjustRightInd w:val="0"/>
      <w:spacing w:before="120" w:line="240" w:lineRule="exact"/>
    </w:pPr>
    <w:rPr>
      <w:rFonts w:ascii="Verdana" w:hAnsi="Verdana" w:eastAsia="MS Mincho" w:cs="Verdana"/>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fontTable" Target="fontTable.xml"/><Relationship Id="rId34" Type="http://schemas.openxmlformats.org/officeDocument/2006/relationships/customXml" Target="../customXml/item2.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2.emf"/><Relationship Id="rId30" Type="http://schemas.openxmlformats.org/officeDocument/2006/relationships/image" Target="media/image1.png"/><Relationship Id="rId3" Type="http://schemas.openxmlformats.org/officeDocument/2006/relationships/footnotes" Target="footnotes.xml"/><Relationship Id="rId29" Type="http://schemas.openxmlformats.org/officeDocument/2006/relationships/theme" Target="theme/theme1.xml"/><Relationship Id="rId28" Type="http://schemas.openxmlformats.org/officeDocument/2006/relationships/footer" Target="footer11.xml"/><Relationship Id="rId27" Type="http://schemas.openxmlformats.org/officeDocument/2006/relationships/footer" Target="footer10.xml"/><Relationship Id="rId26" Type="http://schemas.openxmlformats.org/officeDocument/2006/relationships/header" Target="header13.xml"/><Relationship Id="rId25" Type="http://schemas.openxmlformats.org/officeDocument/2006/relationships/header" Target="header12.xml"/><Relationship Id="rId24" Type="http://schemas.openxmlformats.org/officeDocument/2006/relationships/header" Target="header11.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FA8DFD-ED3A-4D33-92D7-BCB46215914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144</Pages>
  <Words>40671</Words>
  <Characters>231830</Characters>
  <Lines>1931</Lines>
  <Paragraphs>543</Paragraphs>
  <TotalTime>12</TotalTime>
  <ScaleCrop>false</ScaleCrop>
  <LinksUpToDate>false</LinksUpToDate>
  <CharactersWithSpaces>271958</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2025-06-23T15:08:00Z</dcterms:created>
  <dc:creator>Admin</dc:creator>
  <cp:lastModifiedBy>huong thao phung</cp:lastModifiedBy>
  <cp:lastPrinted>2025-06-11T07:49:00Z</cp:lastPrinted>
  <dcterms:modified xsi:type="dcterms:W3CDTF">2025-09-08T09:24:12Z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5AA3437C61494FC88EA146893129EE2A_12</vt:lpwstr>
  </property>
</Properties>
</file>